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308610</wp:posOffset>
            </wp:positionV>
            <wp:extent cx="72339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9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325120</wp:posOffset>
            </wp:positionV>
            <wp:extent cx="7233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392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7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0" w:lineRule="exact"/>
        <w:rPr>
          <w:sz w:val="24"/>
          <w:szCs w:val="24"/>
          <w:color w:val="auto"/>
        </w:rPr>
      </w:pPr>
    </w:p>
    <w:p>
      <w:pPr>
        <w:ind w:left="3800" w:right="2260" w:hanging="3795"/>
        <w:spacing w:after="0" w:line="290" w:lineRule="auto"/>
        <w:tabs>
          <w:tab w:leader="none" w:pos="205"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 (d) OF THE SECURITIES EXCHANGE ACT OF 1934 For the quarterly period ended September 30, 2018</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73" w:lineRule="exact"/>
        <w:rPr>
          <w:sz w:val="24"/>
          <w:szCs w:val="24"/>
          <w:color w:val="auto"/>
        </w:rPr>
      </w:pPr>
    </w:p>
    <w:p>
      <w:pPr>
        <w:ind w:left="200" w:hanging="195"/>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 (d) OF THE SECURITIES EXCHANGE ACT OF 1934</w:t>
      </w:r>
    </w:p>
    <w:p>
      <w:pPr>
        <w:spacing w:after="0" w:line="29" w:lineRule="exact"/>
        <w:rPr>
          <w:sz w:val="24"/>
          <w:szCs w:val="24"/>
          <w:color w:val="auto"/>
        </w:rPr>
      </w:pPr>
    </w:p>
    <w:p>
      <w:pPr>
        <w:ind w:left="43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7"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Commission file number: 001-37352</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Virtu Financial,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150" w:lineRule="exact"/>
        <w:rPr>
          <w:sz w:val="24"/>
          <w:szCs w:val="24"/>
          <w:color w:val="auto"/>
        </w:rPr>
      </w:pPr>
    </w:p>
    <w:tbl>
      <w:tblPr>
        <w:tblLayout w:type="fixed"/>
        <w:tblInd w:w="1200" w:type="dxa"/>
        <w:tblCellMar>
          <w:top w:w="0" w:type="dxa"/>
          <w:left w:w="0" w:type="dxa"/>
          <w:bottom w:w="0" w:type="dxa"/>
          <w:right w:w="0" w:type="dxa"/>
        </w:tblCellMar>
      </w:tblPr>
      <w:tr>
        <w:trPr>
          <w:trHeight w:val="228"/>
        </w:trPr>
        <w:tc>
          <w:tcPr>
            <w:tcW w:w="4840" w:type="dxa"/>
            <w:vAlign w:val="bottom"/>
          </w:tcPr>
          <w:p>
            <w:pPr>
              <w:jc w:val="center"/>
              <w:ind w:right="1427"/>
              <w:spacing w:after="0"/>
              <w:rPr>
                <w:sz w:val="20"/>
                <w:szCs w:val="20"/>
                <w:color w:val="auto"/>
              </w:rPr>
            </w:pPr>
            <w:r>
              <w:rPr>
                <w:rFonts w:ascii="Arial" w:cs="Arial" w:eastAsia="Arial" w:hAnsi="Arial"/>
                <w:sz w:val="17"/>
                <w:szCs w:val="17"/>
                <w:b w:val="1"/>
                <w:bCs w:val="1"/>
                <w:color w:val="auto"/>
                <w:w w:val="93"/>
              </w:rPr>
              <w:t>Delaware</w:t>
            </w:r>
          </w:p>
        </w:tc>
        <w:tc>
          <w:tcPr>
            <w:tcW w:w="3540" w:type="dxa"/>
            <w:vAlign w:val="bottom"/>
          </w:tcPr>
          <w:p>
            <w:pPr>
              <w:jc w:val="right"/>
              <w:ind w:right="526"/>
              <w:spacing w:after="0"/>
              <w:rPr>
                <w:sz w:val="20"/>
                <w:szCs w:val="20"/>
                <w:color w:val="auto"/>
              </w:rPr>
            </w:pPr>
            <w:r>
              <w:rPr>
                <w:rFonts w:ascii="Arial" w:cs="Arial" w:eastAsia="Arial" w:hAnsi="Arial"/>
                <w:sz w:val="17"/>
                <w:szCs w:val="17"/>
                <w:b w:val="1"/>
                <w:bCs w:val="1"/>
                <w:color w:val="auto"/>
              </w:rPr>
              <w:t>32-0420206</w:t>
            </w:r>
          </w:p>
        </w:tc>
        <w:tc>
          <w:tcPr>
            <w:tcW w:w="0" w:type="dxa"/>
            <w:vAlign w:val="bottom"/>
          </w:tcPr>
          <w:p>
            <w:pPr>
              <w:spacing w:after="0"/>
              <w:rPr>
                <w:sz w:val="1"/>
                <w:szCs w:val="1"/>
                <w:color w:val="auto"/>
              </w:rPr>
            </w:pPr>
          </w:p>
        </w:tc>
      </w:tr>
      <w:tr>
        <w:trPr>
          <w:trHeight w:val="213"/>
        </w:trPr>
        <w:tc>
          <w:tcPr>
            <w:tcW w:w="4840" w:type="dxa"/>
            <w:vAlign w:val="bottom"/>
          </w:tcPr>
          <w:p>
            <w:pPr>
              <w:jc w:val="center"/>
              <w:ind w:right="1427"/>
              <w:spacing w:after="0"/>
              <w:rPr>
                <w:sz w:val="20"/>
                <w:szCs w:val="20"/>
                <w:color w:val="auto"/>
              </w:rPr>
            </w:pPr>
            <w:r>
              <w:rPr>
                <w:rFonts w:ascii="Arial" w:cs="Arial" w:eastAsia="Arial" w:hAnsi="Arial"/>
                <w:sz w:val="14"/>
                <w:szCs w:val="14"/>
                <w:color w:val="auto"/>
                <w:w w:val="92"/>
              </w:rPr>
              <w:t>(State or other jurisdiction of incorporation or organization)</w:t>
            </w:r>
          </w:p>
        </w:tc>
        <w:tc>
          <w:tcPr>
            <w:tcW w:w="3540" w:type="dxa"/>
            <w:vAlign w:val="bottom"/>
          </w:tcPr>
          <w:p>
            <w:pPr>
              <w:jc w:val="center"/>
              <w:ind w:left="1426"/>
              <w:spacing w:after="0"/>
              <w:rPr>
                <w:sz w:val="20"/>
                <w:szCs w:val="20"/>
                <w:color w:val="auto"/>
              </w:rPr>
            </w:pPr>
            <w:r>
              <w:rPr>
                <w:rFonts w:ascii="Arial" w:cs="Arial" w:eastAsia="Arial" w:hAnsi="Arial"/>
                <w:sz w:val="14"/>
                <w:szCs w:val="14"/>
                <w:color w:val="auto"/>
                <w:w w:val="94"/>
              </w:rPr>
              <w:t>(I.R.S. Employer Identification No.)</w:t>
            </w:r>
          </w:p>
        </w:tc>
        <w:tc>
          <w:tcPr>
            <w:tcW w:w="0" w:type="dxa"/>
            <w:vAlign w:val="bottom"/>
          </w:tcPr>
          <w:p>
            <w:pPr>
              <w:spacing w:after="0"/>
              <w:rPr>
                <w:sz w:val="1"/>
                <w:szCs w:val="1"/>
                <w:color w:val="auto"/>
              </w:rPr>
            </w:pPr>
          </w:p>
        </w:tc>
      </w:tr>
      <w:tr>
        <w:trPr>
          <w:trHeight w:val="290"/>
        </w:trPr>
        <w:tc>
          <w:tcPr>
            <w:tcW w:w="4840" w:type="dxa"/>
            <w:vAlign w:val="bottom"/>
          </w:tcPr>
          <w:p>
            <w:pPr>
              <w:jc w:val="center"/>
              <w:ind w:right="1427"/>
              <w:spacing w:after="0"/>
              <w:rPr>
                <w:sz w:val="20"/>
                <w:szCs w:val="20"/>
                <w:color w:val="auto"/>
              </w:rPr>
            </w:pPr>
            <w:r>
              <w:rPr>
                <w:rFonts w:ascii="Arial" w:cs="Arial" w:eastAsia="Arial" w:hAnsi="Arial"/>
                <w:sz w:val="14"/>
                <w:szCs w:val="14"/>
                <w:b w:val="1"/>
                <w:bCs w:val="1"/>
                <w:color w:val="auto"/>
                <w:w w:val="88"/>
              </w:rPr>
              <w:t>300 Vesey Street</w:t>
            </w:r>
          </w:p>
        </w:tc>
        <w:tc>
          <w:tcPr>
            <w:tcW w:w="3540" w:type="dxa"/>
            <w:vAlign w:val="bottom"/>
            <w:vMerge w:val="restart"/>
          </w:tcPr>
          <w:p>
            <w:pPr>
              <w:jc w:val="right"/>
              <w:ind w:right="766"/>
              <w:spacing w:after="0"/>
              <w:rPr>
                <w:sz w:val="20"/>
                <w:szCs w:val="20"/>
                <w:color w:val="auto"/>
              </w:rPr>
            </w:pPr>
            <w:r>
              <w:rPr>
                <w:rFonts w:ascii="Arial" w:cs="Arial" w:eastAsia="Arial" w:hAnsi="Arial"/>
                <w:sz w:val="14"/>
                <w:szCs w:val="14"/>
                <w:b w:val="1"/>
                <w:bCs w:val="1"/>
                <w:color w:val="auto"/>
              </w:rPr>
              <w:t>10282</w:t>
            </w:r>
          </w:p>
        </w:tc>
        <w:tc>
          <w:tcPr>
            <w:tcW w:w="0" w:type="dxa"/>
            <w:vAlign w:val="bottom"/>
          </w:tcPr>
          <w:p>
            <w:pPr>
              <w:spacing w:after="0"/>
              <w:rPr>
                <w:sz w:val="1"/>
                <w:szCs w:val="1"/>
                <w:color w:val="auto"/>
              </w:rPr>
            </w:pPr>
          </w:p>
        </w:tc>
      </w:tr>
      <w:tr>
        <w:trPr>
          <w:trHeight w:val="183"/>
        </w:trPr>
        <w:tc>
          <w:tcPr>
            <w:tcW w:w="4840" w:type="dxa"/>
            <w:vAlign w:val="bottom"/>
          </w:tcPr>
          <w:p>
            <w:pPr>
              <w:jc w:val="center"/>
              <w:ind w:right="1447"/>
              <w:spacing w:after="0"/>
              <w:rPr>
                <w:sz w:val="20"/>
                <w:szCs w:val="20"/>
                <w:color w:val="auto"/>
              </w:rPr>
            </w:pPr>
            <w:r>
              <w:rPr>
                <w:rFonts w:ascii="Arial" w:cs="Arial" w:eastAsia="Arial" w:hAnsi="Arial"/>
                <w:sz w:val="14"/>
                <w:szCs w:val="14"/>
                <w:b w:val="1"/>
                <w:bCs w:val="1"/>
                <w:color w:val="auto"/>
                <w:w w:val="92"/>
              </w:rPr>
              <w:t>New York, New York 10282</w:t>
            </w: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40" w:type="dxa"/>
            <w:vAlign w:val="bottom"/>
          </w:tcPr>
          <w:p>
            <w:pPr>
              <w:jc w:val="center"/>
              <w:ind w:right="1427"/>
              <w:spacing w:after="0"/>
              <w:rPr>
                <w:sz w:val="20"/>
                <w:szCs w:val="20"/>
                <w:color w:val="auto"/>
              </w:rPr>
            </w:pPr>
            <w:r>
              <w:rPr>
                <w:rFonts w:ascii="Arial" w:cs="Arial" w:eastAsia="Arial" w:hAnsi="Arial"/>
                <w:sz w:val="14"/>
                <w:szCs w:val="14"/>
                <w:color w:val="auto"/>
                <w:w w:val="92"/>
              </w:rPr>
              <w:t>(Address of principal executive offices)</w:t>
            </w:r>
          </w:p>
        </w:tc>
        <w:tc>
          <w:tcPr>
            <w:tcW w:w="3540" w:type="dxa"/>
            <w:vAlign w:val="bottom"/>
          </w:tcPr>
          <w:p>
            <w:pPr>
              <w:jc w:val="center"/>
              <w:ind w:left="1446"/>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(212) 418-0100</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23" w:lineRule="exact"/>
        <w:rPr>
          <w:sz w:val="24"/>
          <w:szCs w:val="24"/>
          <w:color w:val="auto"/>
        </w:rPr>
      </w:pPr>
    </w:p>
    <w:p>
      <w:pPr>
        <w:ind w:right="120" w:firstLine="315"/>
        <w:spacing w:after="0" w:line="21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5"/>
          <w:szCs w:val="15"/>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60" w:firstLine="315"/>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5"/>
          <w:szCs w:val="15"/>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300" w:firstLine="315"/>
        <w:spacing w:after="0" w:line="3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40" w:type="dxa"/>
        <w:tblCellMar>
          <w:top w:w="0" w:type="dxa"/>
          <w:left w:w="0" w:type="dxa"/>
          <w:bottom w:w="0" w:type="dxa"/>
          <w:right w:w="0" w:type="dxa"/>
        </w:tblCellMar>
      </w:tblPr>
      <w:tr>
        <w:trPr>
          <w:trHeight w:val="218"/>
        </w:trPr>
        <w:tc>
          <w:tcPr>
            <w:tcW w:w="25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760" w:type="dxa"/>
            <w:vAlign w:val="bottom"/>
          </w:tcPr>
          <w:p>
            <w:pPr>
              <w:ind w:left="11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3620" w:type="dxa"/>
            <w:vAlign w:val="bottom"/>
          </w:tcPr>
          <w:p>
            <w:pPr>
              <w:jc w:val="center"/>
              <w:ind w:right="94"/>
              <w:spacing w:after="0" w:line="161" w:lineRule="exact"/>
              <w:rPr>
                <w:sz w:val="20"/>
                <w:szCs w:val="20"/>
                <w:color w:val="auto"/>
              </w:rPr>
            </w:pPr>
            <w:r>
              <w:rPr>
                <w:rFonts w:ascii="Arial" w:cs="Arial" w:eastAsia="Arial" w:hAnsi="Arial"/>
                <w:sz w:val="14"/>
                <w:szCs w:val="14"/>
                <w:color w:val="auto"/>
                <w:w w:val="91"/>
              </w:rPr>
              <w:t xml:space="preserve">Non-accelerated filer </w:t>
            </w:r>
            <w:r>
              <w:rPr>
                <w:rFonts w:ascii="MS PGothic" w:cs="MS PGothic" w:eastAsia="MS PGothic" w:hAnsi="MS PGothic"/>
                <w:sz w:val="14"/>
                <w:szCs w:val="14"/>
                <w:color w:val="auto"/>
                <w:w w:val="91"/>
              </w:rPr>
              <w:t>☐</w:t>
            </w:r>
          </w:p>
        </w:tc>
        <w:tc>
          <w:tcPr>
            <w:tcW w:w="2460" w:type="dxa"/>
            <w:vAlign w:val="bottom"/>
          </w:tcPr>
          <w:p>
            <w:pPr>
              <w:ind w:left="760"/>
              <w:spacing w:after="0" w:line="161" w:lineRule="exact"/>
              <w:rPr>
                <w:sz w:val="20"/>
                <w:szCs w:val="20"/>
                <w:color w:val="auto"/>
              </w:rPr>
            </w:pPr>
            <w:r>
              <w:rPr>
                <w:rFonts w:ascii="Arial" w:cs="Arial" w:eastAsia="Arial" w:hAnsi="Arial"/>
                <w:sz w:val="14"/>
                <w:szCs w:val="14"/>
                <w:color w:val="auto"/>
                <w:w w:val="90"/>
              </w:rPr>
              <w:t xml:space="preserve">Smaller reporting company </w:t>
            </w:r>
            <w:r>
              <w:rPr>
                <w:rFonts w:ascii="MS PGothic" w:cs="MS PGothic" w:eastAsia="MS PGothic" w:hAnsi="MS PGothic"/>
                <w:sz w:val="14"/>
                <w:szCs w:val="14"/>
                <w:color w:val="auto"/>
                <w:w w:val="90"/>
              </w:rPr>
              <w:t>☐</w:t>
            </w:r>
          </w:p>
        </w:tc>
      </w:tr>
      <w:tr>
        <w:trPr>
          <w:trHeight w:val="223"/>
        </w:trPr>
        <w:tc>
          <w:tcPr>
            <w:tcW w:w="2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20" w:type="dxa"/>
            <w:vAlign w:val="bottom"/>
          </w:tcPr>
          <w:p>
            <w:pPr>
              <w:jc w:val="center"/>
              <w:ind w:right="114"/>
              <w:spacing w:after="0"/>
              <w:rPr>
                <w:sz w:val="20"/>
                <w:szCs w:val="20"/>
                <w:color w:val="auto"/>
              </w:rPr>
            </w:pPr>
            <w:r>
              <w:rPr>
                <w:rFonts w:ascii="Arial" w:cs="Arial" w:eastAsia="Arial" w:hAnsi="Arial"/>
                <w:sz w:val="12"/>
                <w:szCs w:val="12"/>
                <w:color w:val="auto"/>
                <w:w w:val="94"/>
              </w:rPr>
              <w:t>(Do not check if a smaller reporting company)</w:t>
            </w:r>
          </w:p>
        </w:tc>
        <w:tc>
          <w:tcPr>
            <w:tcW w:w="2460" w:type="dxa"/>
            <w:vAlign w:val="bottom"/>
          </w:tcPr>
          <w:p>
            <w:pPr>
              <w:ind w:left="760"/>
              <w:spacing w:after="0" w:line="161" w:lineRule="exact"/>
              <w:rPr>
                <w:sz w:val="20"/>
                <w:szCs w:val="20"/>
                <w:color w:val="auto"/>
              </w:rPr>
            </w:pPr>
            <w:r>
              <w:rPr>
                <w:rFonts w:ascii="Arial" w:cs="Arial" w:eastAsia="Arial" w:hAnsi="Arial"/>
                <w:sz w:val="14"/>
                <w:szCs w:val="14"/>
                <w:color w:val="auto"/>
                <w:w w:val="91"/>
              </w:rPr>
              <w:t xml:space="preserve">Emerging growth company </w:t>
            </w:r>
            <w:r>
              <w:rPr>
                <w:rFonts w:ascii="MS PGothic" w:cs="MS PGothic" w:eastAsia="MS PGothic" w:hAnsi="MS PGothic"/>
                <w:sz w:val="14"/>
                <w:szCs w:val="14"/>
                <w:color w:val="auto"/>
                <w:w w:val="91"/>
              </w:rPr>
              <w:t>☒</w:t>
            </w:r>
          </w:p>
        </w:tc>
      </w:tr>
    </w:tbl>
    <w:p>
      <w:pPr>
        <w:spacing w:after="0" w:line="131" w:lineRule="exact"/>
        <w:rPr>
          <w:sz w:val="24"/>
          <w:szCs w:val="24"/>
          <w:color w:val="auto"/>
        </w:rPr>
      </w:pPr>
    </w:p>
    <w:p>
      <w:pPr>
        <w:ind w:right="140" w:firstLine="315"/>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Securities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7"/>
          <w:szCs w:val="17"/>
          <w:color w:val="auto"/>
        </w:rPr>
        <w:t>x</w:t>
      </w:r>
    </w:p>
    <w:p>
      <w:pPr>
        <w:ind w:left="320"/>
        <w:spacing w:after="0" w:line="173" w:lineRule="exact"/>
        <w:tabs>
          <w:tab w:leader="none" w:pos="81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24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Class of Stock</w:t>
            </w:r>
          </w:p>
        </w:tc>
        <w:tc>
          <w:tcPr>
            <w:tcW w:w="120" w:type="dxa"/>
            <w:vAlign w:val="bottom"/>
            <w:vMerge w:val="restart"/>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Outstanding as of</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November 8, 2018</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A common stock, par value $0.00001 per share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106,145,686</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Class C common stock, par value $0.00001 per share</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14,001,131</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D common stock, par value $0.00001 per share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69,091,740</w:t>
            </w: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232" w:right="259" w:bottom="1440" w:gutter="0" w:footer="0" w:header="0"/>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FORM 10-Q</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SEPTEMBER 30, 2018</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PAGE</w:t>
            </w:r>
          </w:p>
        </w:tc>
      </w:tr>
      <w:tr>
        <w:trPr>
          <w:trHeight w:val="186"/>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NUMBER</w:t>
            </w:r>
          </w:p>
        </w:tc>
      </w:tr>
      <w:tr>
        <w:trPr>
          <w:trHeight w:val="459"/>
        </w:trPr>
        <w:tc>
          <w:tcPr>
            <w:tcW w:w="660" w:type="dxa"/>
            <w:vAlign w:val="bottom"/>
            <w:gridSpan w:val="2"/>
          </w:tcPr>
          <w:p>
            <w:pPr>
              <w:spacing w:after="0"/>
              <w:rPr>
                <w:rFonts w:ascii="Arial" w:cs="Arial" w:eastAsia="Arial" w:hAnsi="Arial"/>
                <w:sz w:val="17"/>
                <w:szCs w:val="17"/>
                <w:color w:val="0000EE"/>
                <w:w w:val="98"/>
              </w:rPr>
            </w:pPr>
            <w:hyperlink w:anchor="page3">
              <w:r>
                <w:rPr>
                  <w:rFonts w:ascii="Arial" w:cs="Arial" w:eastAsia="Arial" w:hAnsi="Arial"/>
                  <w:sz w:val="17"/>
                  <w:szCs w:val="17"/>
                  <w:color w:val="0000EE"/>
                  <w:w w:val="98"/>
                </w:rPr>
                <w:t>PART I -</w:t>
              </w:r>
            </w:hyperlink>
          </w:p>
        </w:tc>
        <w:tc>
          <w:tcPr>
            <w:tcW w:w="580" w:type="dxa"/>
            <w:vAlign w:val="bottom"/>
            <w:gridSpan w:val="2"/>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INFORMATION</w:t>
              </w:r>
            </w:hyperlink>
          </w:p>
        </w:tc>
        <w:tc>
          <w:tcPr>
            <w:tcW w:w="11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3">
              <w:r>
                <w:rPr>
                  <w:rFonts w:ascii="Arial" w:cs="Arial" w:eastAsia="Arial" w:hAnsi="Arial"/>
                  <w:sz w:val="17"/>
                  <w:szCs w:val="17"/>
                  <w:color w:val="0000EE"/>
                  <w:w w:val="99"/>
                </w:rPr>
                <w:t>Item 1.</w:t>
              </w:r>
            </w:hyperlink>
          </w:p>
        </w:tc>
        <w:tc>
          <w:tcPr>
            <w:tcW w:w="1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414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3">
              <w:r>
                <w:rPr>
                  <w:rFonts w:ascii="Arial" w:cs="Arial" w:eastAsia="Arial" w:hAnsi="Arial"/>
                  <w:sz w:val="17"/>
                  <w:szCs w:val="17"/>
                  <w:color w:val="0000EE"/>
                  <w:w w:val="91"/>
                </w:rPr>
                <w:t>Condensed Consolidated Financial Statements (Unaudited)</w:t>
              </w:r>
            </w:hyperlink>
          </w:p>
        </w:tc>
        <w:tc>
          <w:tcPr>
            <w:tcW w:w="486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Statements of Financial Condition</w:t>
              </w:r>
            </w:hyperlink>
          </w:p>
        </w:tc>
        <w:tc>
          <w:tcPr>
            <w:tcW w:w="1140" w:type="dxa"/>
            <w:vAlign w:val="bottom"/>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Condensed Consolidated Statements of Comprehensive Income (Loss)</w:t>
              </w:r>
            </w:hyperlink>
          </w:p>
        </w:tc>
        <w:tc>
          <w:tcPr>
            <w:tcW w:w="1140" w:type="dxa"/>
            <w:vAlign w:val="bottom"/>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5</w:t>
              </w:r>
            </w:hyperlink>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8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1"/>
              </w:rPr>
            </w:pPr>
            <w:hyperlink w:anchor="page6">
              <w:r>
                <w:rPr>
                  <w:rFonts w:ascii="Arial" w:cs="Arial" w:eastAsia="Arial" w:hAnsi="Arial"/>
                  <w:sz w:val="17"/>
                  <w:szCs w:val="17"/>
                  <w:color w:val="0000EE"/>
                  <w:w w:val="91"/>
                </w:rPr>
                <w:t>Condensed Consolidated Statements of Changes in Equity</w:t>
              </w:r>
            </w:hyperlink>
          </w:p>
        </w:tc>
        <w:tc>
          <w:tcPr>
            <w:tcW w:w="860" w:type="dxa"/>
            <w:vAlign w:val="bottom"/>
            <w:tcBorders>
              <w:top w:val="single" w:sz="8" w:color="0000EE"/>
            </w:tcBorders>
            <w:gridSpan w:val="6"/>
          </w:tcPr>
          <w:p>
            <w:pPr>
              <w:spacing w:after="0"/>
              <w:rPr>
                <w:sz w:val="24"/>
                <w:szCs w:val="24"/>
                <w:color w:val="auto"/>
              </w:rPr>
            </w:pPr>
          </w:p>
        </w:tc>
        <w:tc>
          <w:tcPr>
            <w:tcW w:w="4060" w:type="dxa"/>
            <w:vAlign w:val="bottom"/>
            <w:gridSpan w:val="2"/>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Condensed Consolidated Statements of Cash Flows</w:t>
              </w:r>
            </w:hyperlink>
          </w:p>
        </w:tc>
        <w:tc>
          <w:tcPr>
            <w:tcW w:w="114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Notes to Condensed Consolidated Financial Statements (Unaudited)</w:t>
              </w:r>
            </w:hyperlink>
          </w:p>
        </w:tc>
        <w:tc>
          <w:tcPr>
            <w:tcW w:w="1140" w:type="dxa"/>
            <w:vAlign w:val="bottom"/>
          </w:tcPr>
          <w:p>
            <w:pPr>
              <w:jc w:val="right"/>
              <w:spacing w:after="0"/>
              <w:rPr>
                <w:rFonts w:ascii="Arial" w:cs="Arial" w:eastAsia="Arial" w:hAnsi="Arial"/>
                <w:sz w:val="17"/>
                <w:szCs w:val="17"/>
                <w:color w:val="auto"/>
              </w:rPr>
            </w:pPr>
            <w:hyperlink w:anchor="page9">
              <w:r>
                <w:rPr>
                  <w:rFonts w:ascii="Arial" w:cs="Arial" w:eastAsia="Arial" w:hAnsi="Arial"/>
                  <w:sz w:val="17"/>
                  <w:szCs w:val="17"/>
                  <w:color w:val="auto"/>
                </w:rPr>
                <w:t>9</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44">
              <w:r>
                <w:rPr>
                  <w:rFonts w:ascii="Arial" w:cs="Arial" w:eastAsia="Arial" w:hAnsi="Arial"/>
                  <w:sz w:val="17"/>
                  <w:szCs w:val="17"/>
                  <w:color w:val="0000EE"/>
                  <w:w w:val="99"/>
                </w:rPr>
                <w:t>Item 2.</w:t>
              </w:r>
            </w:hyperlink>
          </w:p>
        </w:tc>
        <w:tc>
          <w:tcPr>
            <w:tcW w:w="700" w:type="dxa"/>
            <w:vAlign w:val="bottom"/>
            <w:gridSpan w:val="3"/>
          </w:tcPr>
          <w:p>
            <w:pPr>
              <w:spacing w:after="0"/>
              <w:rPr>
                <w:sz w:val="24"/>
                <w:szCs w:val="24"/>
                <w:color w:val="auto"/>
              </w:rPr>
            </w:pPr>
          </w:p>
        </w:tc>
        <w:tc>
          <w:tcPr>
            <w:tcW w:w="6280" w:type="dxa"/>
            <w:vAlign w:val="bottom"/>
            <w:tcBorders>
              <w:bottom w:val="single" w:sz="8" w:color="0000EE"/>
            </w:tcBorders>
            <w:gridSpan w:val="18"/>
          </w:tcPr>
          <w:p>
            <w:pPr>
              <w:spacing w:after="0"/>
              <w:rPr>
                <w:rFonts w:ascii="Arial" w:cs="Arial" w:eastAsia="Arial" w:hAnsi="Arial"/>
                <w:sz w:val="17"/>
                <w:szCs w:val="17"/>
                <w:color w:val="0000EE"/>
                <w:w w:val="93"/>
              </w:rPr>
            </w:pPr>
            <w:hyperlink w:anchor="page44">
              <w:r>
                <w:rPr>
                  <w:rFonts w:ascii="Arial" w:cs="Arial" w:eastAsia="Arial" w:hAnsi="Arial"/>
                  <w:sz w:val="17"/>
                  <w:szCs w:val="17"/>
                  <w:color w:val="0000EE"/>
                  <w:w w:val="93"/>
                </w:rPr>
                <w:t>Management’s Discussion and Analysis of Financial Condition and Results of Operations</w:t>
              </w:r>
            </w:hyperlink>
          </w:p>
        </w:tc>
        <w:tc>
          <w:tcPr>
            <w:tcW w:w="272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44">
              <w:r>
                <w:rPr>
                  <w:rFonts w:ascii="Arial" w:cs="Arial" w:eastAsia="Arial" w:hAnsi="Arial"/>
                  <w:sz w:val="17"/>
                  <w:szCs w:val="17"/>
                  <w:color w:val="auto"/>
                </w:rPr>
                <w:t>44</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74">
              <w:r>
                <w:rPr>
                  <w:rFonts w:ascii="Arial" w:cs="Arial" w:eastAsia="Arial" w:hAnsi="Arial"/>
                  <w:sz w:val="17"/>
                  <w:szCs w:val="17"/>
                  <w:color w:val="0000EE"/>
                  <w:w w:val="99"/>
                </w:rPr>
                <w:t>Item 3.</w:t>
              </w:r>
            </w:hyperlink>
          </w:p>
        </w:tc>
        <w:tc>
          <w:tcPr>
            <w:tcW w:w="700" w:type="dxa"/>
            <w:vAlign w:val="bottom"/>
            <w:gridSpan w:val="3"/>
          </w:tcPr>
          <w:p>
            <w:pPr>
              <w:spacing w:after="0"/>
              <w:rPr>
                <w:sz w:val="24"/>
                <w:szCs w:val="24"/>
                <w:color w:val="auto"/>
              </w:rPr>
            </w:pPr>
          </w:p>
        </w:tc>
        <w:tc>
          <w:tcPr>
            <w:tcW w:w="4240" w:type="dxa"/>
            <w:vAlign w:val="bottom"/>
            <w:tcBorders>
              <w:bottom w:val="single" w:sz="8" w:color="0000EE"/>
            </w:tcBorders>
            <w:gridSpan w:val="15"/>
          </w:tcPr>
          <w:p>
            <w:pPr>
              <w:spacing w:after="0"/>
              <w:rPr>
                <w:rFonts w:ascii="Arial" w:cs="Arial" w:eastAsia="Arial" w:hAnsi="Arial"/>
                <w:sz w:val="17"/>
                <w:szCs w:val="17"/>
                <w:color w:val="0000EE"/>
                <w:w w:val="94"/>
              </w:rPr>
            </w:pPr>
            <w:hyperlink w:anchor="page74">
              <w:r>
                <w:rPr>
                  <w:rFonts w:ascii="Arial" w:cs="Arial" w:eastAsia="Arial" w:hAnsi="Arial"/>
                  <w:sz w:val="17"/>
                  <w:szCs w:val="17"/>
                  <w:color w:val="0000EE"/>
                  <w:w w:val="94"/>
                </w:rPr>
                <w:t>Quantitative and Qualitative Disclosures About Market Risk</w:t>
              </w:r>
            </w:hyperlink>
          </w:p>
        </w:tc>
        <w:tc>
          <w:tcPr>
            <w:tcW w:w="4760" w:type="dxa"/>
            <w:vAlign w:val="bottom"/>
            <w:gridSpan w:val="4"/>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4">
              <w:r>
                <w:rPr>
                  <w:rFonts w:ascii="Arial" w:cs="Arial" w:eastAsia="Arial" w:hAnsi="Arial"/>
                  <w:sz w:val="17"/>
                  <w:szCs w:val="17"/>
                  <w:color w:val="auto"/>
                </w:rPr>
                <w:t>74</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76">
              <w:r>
                <w:rPr>
                  <w:rFonts w:ascii="Arial" w:cs="Arial" w:eastAsia="Arial" w:hAnsi="Arial"/>
                  <w:sz w:val="17"/>
                  <w:szCs w:val="17"/>
                  <w:color w:val="0000EE"/>
                  <w:w w:val="99"/>
                </w:rPr>
                <w:t>Item 4.</w:t>
              </w:r>
            </w:hyperlink>
          </w:p>
        </w:tc>
        <w:tc>
          <w:tcPr>
            <w:tcW w:w="700" w:type="dxa"/>
            <w:vAlign w:val="bottom"/>
            <w:gridSpan w:val="3"/>
          </w:tcPr>
          <w:p>
            <w:pPr>
              <w:spacing w:after="0"/>
              <w:rPr>
                <w:sz w:val="24"/>
                <w:szCs w:val="24"/>
                <w:color w:val="auto"/>
              </w:rPr>
            </w:pPr>
          </w:p>
        </w:tc>
        <w:tc>
          <w:tcPr>
            <w:tcW w:w="172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76">
              <w:r>
                <w:rPr>
                  <w:rFonts w:ascii="Arial" w:cs="Arial" w:eastAsia="Arial" w:hAnsi="Arial"/>
                  <w:sz w:val="17"/>
                  <w:szCs w:val="17"/>
                  <w:color w:val="0000EE"/>
                  <w:w w:val="90"/>
                </w:rPr>
                <w:t>Controls and Procedures</w:t>
              </w:r>
            </w:hyperlink>
          </w:p>
        </w:tc>
        <w:tc>
          <w:tcPr>
            <w:tcW w:w="7280" w:type="dxa"/>
            <w:vAlign w:val="bottom"/>
            <w:gridSpan w:val="13"/>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6">
              <w:r>
                <w:rPr>
                  <w:rFonts w:ascii="Arial" w:cs="Arial" w:eastAsia="Arial" w:hAnsi="Arial"/>
                  <w:sz w:val="17"/>
                  <w:szCs w:val="17"/>
                  <w:color w:val="auto"/>
                </w:rPr>
                <w:t>76</w:t>
              </w:r>
            </w:hyperlink>
          </w:p>
        </w:tc>
      </w:tr>
      <w:tr>
        <w:trPr>
          <w:trHeight w:val="505"/>
        </w:trPr>
        <w:tc>
          <w:tcPr>
            <w:tcW w:w="720" w:type="dxa"/>
            <w:vAlign w:val="bottom"/>
            <w:gridSpan w:val="3"/>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PART II -</w:t>
              </w:r>
            </w:hyperlink>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OTHER INFORMATION</w:t>
              </w:r>
            </w:hyperlink>
          </w:p>
        </w:tc>
        <w:tc>
          <w:tcPr>
            <w:tcW w:w="1140" w:type="dxa"/>
            <w:vAlign w:val="bottom"/>
          </w:tcPr>
          <w:p>
            <w:pPr>
              <w:spacing w:after="0"/>
              <w:rPr>
                <w:sz w:val="24"/>
                <w:szCs w:val="24"/>
                <w:color w:val="auto"/>
              </w:rPr>
            </w:pPr>
          </w:p>
        </w:tc>
      </w:tr>
      <w:tr>
        <w:trPr>
          <w:trHeight w:val="505"/>
        </w:trPr>
        <w:tc>
          <w:tcPr>
            <w:tcW w:w="540" w:type="dxa"/>
            <w:vAlign w:val="bottom"/>
            <w:tcBorders>
              <w:top w:val="single" w:sz="8" w:color="0000EE"/>
              <w:bottom w:val="single" w:sz="8" w:color="0000EE"/>
            </w:tcBorders>
          </w:tcPr>
          <w:p>
            <w:pPr>
              <w:spacing w:after="0"/>
              <w:rPr>
                <w:rFonts w:ascii="Arial" w:cs="Arial" w:eastAsia="Arial" w:hAnsi="Arial"/>
                <w:sz w:val="17"/>
                <w:szCs w:val="17"/>
                <w:color w:val="0000EE"/>
                <w:w w:val="99"/>
              </w:rPr>
            </w:pPr>
            <w:hyperlink w:anchor="page77">
              <w:r>
                <w:rPr>
                  <w:rFonts w:ascii="Arial" w:cs="Arial" w:eastAsia="Arial" w:hAnsi="Arial"/>
                  <w:sz w:val="17"/>
                  <w:szCs w:val="17"/>
                  <w:color w:val="0000EE"/>
                  <w:w w:val="99"/>
                </w:rPr>
                <w:t>Item 1.</w:t>
              </w:r>
            </w:hyperlink>
          </w:p>
        </w:tc>
        <w:tc>
          <w:tcPr>
            <w:tcW w:w="180" w:type="dxa"/>
            <w:vAlign w:val="bottom"/>
            <w:tcBorders>
              <w:top w:val="single" w:sz="8" w:color="0000EE"/>
            </w:tcBorders>
            <w:gridSpan w:val="2"/>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0"/>
              </w:rPr>
            </w:pPr>
            <w:hyperlink w:anchor="page77">
              <w:r>
                <w:rPr>
                  <w:rFonts w:ascii="Arial" w:cs="Arial" w:eastAsia="Arial" w:hAnsi="Arial"/>
                  <w:sz w:val="17"/>
                  <w:szCs w:val="17"/>
                  <w:color w:val="0000EE"/>
                  <w:w w:val="90"/>
                </w:rPr>
                <w:t>Legal Proceedings</w:t>
              </w:r>
            </w:hyperlink>
          </w:p>
        </w:tc>
        <w:tc>
          <w:tcPr>
            <w:tcW w:w="520" w:type="dxa"/>
            <w:vAlign w:val="bottom"/>
            <w:tcBorders>
              <w:top w:val="single" w:sz="8" w:color="0000EE"/>
            </w:tcBorders>
            <w:gridSpan w:val="2"/>
          </w:tcPr>
          <w:p>
            <w:pPr>
              <w:spacing w:after="0"/>
              <w:rPr>
                <w:sz w:val="24"/>
                <w:szCs w:val="24"/>
                <w:color w:val="auto"/>
              </w:rPr>
            </w:pPr>
          </w:p>
        </w:tc>
        <w:tc>
          <w:tcPr>
            <w:tcW w:w="7180" w:type="dxa"/>
            <w:vAlign w:val="bottom"/>
            <w:gridSpan w:val="12"/>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7">
              <w:r>
                <w:rPr>
                  <w:rFonts w:ascii="Arial" w:cs="Arial" w:eastAsia="Arial" w:hAnsi="Arial"/>
                  <w:sz w:val="17"/>
                  <w:szCs w:val="17"/>
                  <w:color w:val="auto"/>
                </w:rPr>
                <w:t>77</w:t>
              </w:r>
            </w:hyperlink>
          </w:p>
        </w:tc>
      </w:tr>
      <w:tr>
        <w:trPr>
          <w:trHeight w:val="505"/>
        </w:trPr>
        <w:tc>
          <w:tcPr>
            <w:tcW w:w="660" w:type="dxa"/>
            <w:vAlign w:val="bottom"/>
            <w:tcBorders>
              <w:bottom w:val="single" w:sz="8" w:color="0000EE"/>
            </w:tcBorders>
            <w:gridSpan w:val="2"/>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Item 1A.</w:t>
              </w:r>
            </w:hyperlink>
          </w:p>
        </w:tc>
        <w:tc>
          <w:tcPr>
            <w:tcW w:w="580" w:type="dxa"/>
            <w:vAlign w:val="bottom"/>
            <w:gridSpan w:val="2"/>
          </w:tcPr>
          <w:p>
            <w:pPr>
              <w:spacing w:after="0"/>
              <w:rPr>
                <w:sz w:val="24"/>
                <w:szCs w:val="24"/>
                <w:color w:val="auto"/>
              </w:rPr>
            </w:pPr>
          </w:p>
        </w:tc>
        <w:tc>
          <w:tcPr>
            <w:tcW w:w="88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77">
              <w:r>
                <w:rPr>
                  <w:rFonts w:ascii="Arial" w:cs="Arial" w:eastAsia="Arial" w:hAnsi="Arial"/>
                  <w:sz w:val="17"/>
                  <w:szCs w:val="17"/>
                  <w:color w:val="0000EE"/>
                  <w:w w:val="90"/>
                </w:rPr>
                <w:t>Risk Factors</w:t>
              </w:r>
            </w:hyperlink>
          </w:p>
        </w:tc>
        <w:tc>
          <w:tcPr>
            <w:tcW w:w="8120" w:type="dxa"/>
            <w:vAlign w:val="bottom"/>
            <w:gridSpan w:val="17"/>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7">
              <w:r>
                <w:rPr>
                  <w:rFonts w:ascii="Arial" w:cs="Arial" w:eastAsia="Arial" w:hAnsi="Arial"/>
                  <w:sz w:val="17"/>
                  <w:szCs w:val="17"/>
                  <w:color w:val="auto"/>
                </w:rPr>
                <w:t>77</w:t>
              </w:r>
            </w:hyperlink>
          </w:p>
        </w:tc>
      </w:tr>
      <w:tr>
        <w:trPr>
          <w:trHeight w:val="505"/>
        </w:trPr>
        <w:tc>
          <w:tcPr>
            <w:tcW w:w="540" w:type="dxa"/>
            <w:vAlign w:val="bottom"/>
          </w:tcPr>
          <w:p>
            <w:pPr>
              <w:spacing w:after="0"/>
              <w:rPr>
                <w:rFonts w:ascii="Arial" w:cs="Arial" w:eastAsia="Arial" w:hAnsi="Arial"/>
                <w:sz w:val="17"/>
                <w:szCs w:val="17"/>
                <w:color w:val="0000EE"/>
                <w:w w:val="99"/>
              </w:rPr>
            </w:pPr>
            <w:hyperlink w:anchor="page79">
              <w:r>
                <w:rPr>
                  <w:rFonts w:ascii="Arial" w:cs="Arial" w:eastAsia="Arial" w:hAnsi="Arial"/>
                  <w:sz w:val="17"/>
                  <w:szCs w:val="17"/>
                  <w:color w:val="0000EE"/>
                  <w:w w:val="99"/>
                </w:rPr>
                <w:t>Item 2.</w:t>
              </w:r>
            </w:hyperlink>
          </w:p>
        </w:tc>
        <w:tc>
          <w:tcPr>
            <w:tcW w:w="700" w:type="dxa"/>
            <w:vAlign w:val="bottom"/>
            <w:gridSpan w:val="3"/>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Unregistered Sales of Equity Securities and Use of Proceeds</w:t>
              </w:r>
            </w:hyperlink>
          </w:p>
        </w:tc>
        <w:tc>
          <w:tcPr>
            <w:tcW w:w="1140" w:type="dxa"/>
            <w:vAlign w:val="bottom"/>
          </w:tcPr>
          <w:p>
            <w:pPr>
              <w:jc w:val="right"/>
              <w:spacing w:after="0"/>
              <w:rPr>
                <w:rFonts w:ascii="Arial" w:cs="Arial" w:eastAsia="Arial" w:hAnsi="Arial"/>
                <w:sz w:val="17"/>
                <w:szCs w:val="17"/>
                <w:color w:val="auto"/>
              </w:rPr>
            </w:pPr>
            <w:hyperlink w:anchor="page79">
              <w:r>
                <w:rPr>
                  <w:rFonts w:ascii="Arial" w:cs="Arial" w:eastAsia="Arial" w:hAnsi="Arial"/>
                  <w:sz w:val="17"/>
                  <w:szCs w:val="17"/>
                  <w:color w:val="auto"/>
                </w:rPr>
                <w:t>79</w:t>
              </w:r>
            </w:hyperlink>
          </w:p>
        </w:tc>
      </w:tr>
      <w:tr>
        <w:trPr>
          <w:trHeight w:val="505"/>
        </w:trPr>
        <w:tc>
          <w:tcPr>
            <w:tcW w:w="540" w:type="dxa"/>
            <w:vAlign w:val="bottom"/>
            <w:tcBorders>
              <w:top w:val="single" w:sz="8" w:color="0000EE"/>
              <w:bottom w:val="single" w:sz="8" w:color="0000EE"/>
            </w:tcBorders>
          </w:tcPr>
          <w:p>
            <w:pPr>
              <w:spacing w:after="0"/>
              <w:rPr>
                <w:rFonts w:ascii="Arial" w:cs="Arial" w:eastAsia="Arial" w:hAnsi="Arial"/>
                <w:sz w:val="17"/>
                <w:szCs w:val="17"/>
                <w:color w:val="0000EE"/>
                <w:w w:val="99"/>
              </w:rPr>
            </w:pPr>
            <w:hyperlink w:anchor="page80">
              <w:r>
                <w:rPr>
                  <w:rFonts w:ascii="Arial" w:cs="Arial" w:eastAsia="Arial" w:hAnsi="Arial"/>
                  <w:sz w:val="17"/>
                  <w:szCs w:val="17"/>
                  <w:color w:val="0000EE"/>
                  <w:w w:val="99"/>
                </w:rPr>
                <w:t>Item 3.</w:t>
              </w:r>
            </w:hyperlink>
          </w:p>
        </w:tc>
        <w:tc>
          <w:tcPr>
            <w:tcW w:w="700" w:type="dxa"/>
            <w:vAlign w:val="bottom"/>
            <w:gridSpan w:val="3"/>
          </w:tcPr>
          <w:p>
            <w:pPr>
              <w:spacing w:after="0"/>
              <w:rPr>
                <w:sz w:val="24"/>
                <w:szCs w:val="24"/>
                <w:color w:val="auto"/>
              </w:rPr>
            </w:pPr>
          </w:p>
        </w:tc>
        <w:tc>
          <w:tcPr>
            <w:tcW w:w="226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2"/>
              </w:rPr>
            </w:pPr>
            <w:hyperlink w:anchor="page80">
              <w:r>
                <w:rPr>
                  <w:rFonts w:ascii="Arial" w:cs="Arial" w:eastAsia="Arial" w:hAnsi="Arial"/>
                  <w:sz w:val="17"/>
                  <w:szCs w:val="17"/>
                  <w:color w:val="0000EE"/>
                  <w:w w:val="92"/>
                </w:rPr>
                <w:t>Defaults Upon Senior Securities</w:t>
              </w:r>
            </w:hyperlink>
          </w:p>
        </w:tc>
        <w:tc>
          <w:tcPr>
            <w:tcW w:w="1960" w:type="dxa"/>
            <w:vAlign w:val="bottom"/>
            <w:tcBorders>
              <w:top w:val="single" w:sz="8" w:color="0000EE"/>
            </w:tcBorders>
            <w:gridSpan w:val="5"/>
          </w:tcPr>
          <w:p>
            <w:pPr>
              <w:spacing w:after="0"/>
              <w:rPr>
                <w:sz w:val="24"/>
                <w:szCs w:val="24"/>
                <w:color w:val="auto"/>
              </w:rPr>
            </w:pPr>
          </w:p>
        </w:tc>
        <w:tc>
          <w:tcPr>
            <w:tcW w:w="4780" w:type="dxa"/>
            <w:vAlign w:val="bottom"/>
            <w:gridSpan w:val="5"/>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80">
              <w:r>
                <w:rPr>
                  <w:rFonts w:ascii="Arial" w:cs="Arial" w:eastAsia="Arial" w:hAnsi="Arial"/>
                  <w:sz w:val="17"/>
                  <w:szCs w:val="17"/>
                  <w:color w:val="auto"/>
                </w:rPr>
                <w:t>80</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81">
              <w:r>
                <w:rPr>
                  <w:rFonts w:ascii="Arial" w:cs="Arial" w:eastAsia="Arial" w:hAnsi="Arial"/>
                  <w:sz w:val="17"/>
                  <w:szCs w:val="17"/>
                  <w:color w:val="0000EE"/>
                  <w:w w:val="99"/>
                </w:rPr>
                <w:t>Item 4.</w:t>
              </w:r>
            </w:hyperlink>
          </w:p>
        </w:tc>
        <w:tc>
          <w:tcPr>
            <w:tcW w:w="700" w:type="dxa"/>
            <w:vAlign w:val="bottom"/>
            <w:gridSpan w:val="3"/>
          </w:tcPr>
          <w:p>
            <w:pPr>
              <w:spacing w:after="0"/>
              <w:rPr>
                <w:sz w:val="24"/>
                <w:szCs w:val="24"/>
                <w:color w:val="auto"/>
              </w:rPr>
            </w:pPr>
          </w:p>
        </w:tc>
        <w:tc>
          <w:tcPr>
            <w:tcW w:w="1720" w:type="dxa"/>
            <w:vAlign w:val="bottom"/>
            <w:tcBorders>
              <w:bottom w:val="single" w:sz="8" w:color="0000EE"/>
            </w:tcBorders>
            <w:gridSpan w:val="6"/>
          </w:tcPr>
          <w:p>
            <w:pPr>
              <w:spacing w:after="0"/>
              <w:rPr>
                <w:rFonts w:ascii="Arial" w:cs="Arial" w:eastAsia="Arial" w:hAnsi="Arial"/>
                <w:sz w:val="17"/>
                <w:szCs w:val="17"/>
                <w:color w:val="0000EE"/>
                <w:w w:val="93"/>
              </w:rPr>
            </w:pPr>
            <w:hyperlink w:anchor="page81">
              <w:r>
                <w:rPr>
                  <w:rFonts w:ascii="Arial" w:cs="Arial" w:eastAsia="Arial" w:hAnsi="Arial"/>
                  <w:sz w:val="17"/>
                  <w:szCs w:val="17"/>
                  <w:color w:val="0000EE"/>
                  <w:w w:val="93"/>
                </w:rPr>
                <w:t>Mine Safety Disclosures</w:t>
              </w:r>
            </w:hyperlink>
          </w:p>
        </w:tc>
        <w:tc>
          <w:tcPr>
            <w:tcW w:w="7280" w:type="dxa"/>
            <w:vAlign w:val="bottom"/>
            <w:gridSpan w:val="13"/>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81">
              <w:r>
                <w:rPr>
                  <w:rFonts w:ascii="Arial" w:cs="Arial" w:eastAsia="Arial" w:hAnsi="Arial"/>
                  <w:sz w:val="17"/>
                  <w:szCs w:val="17"/>
                  <w:color w:val="auto"/>
                </w:rPr>
                <w:t>81</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81">
              <w:r>
                <w:rPr>
                  <w:rFonts w:ascii="Arial" w:cs="Arial" w:eastAsia="Arial" w:hAnsi="Arial"/>
                  <w:sz w:val="17"/>
                  <w:szCs w:val="17"/>
                  <w:color w:val="0000EE"/>
                  <w:w w:val="99"/>
                </w:rPr>
                <w:t>Item 5.</w:t>
              </w:r>
            </w:hyperlink>
          </w:p>
        </w:tc>
        <w:tc>
          <w:tcPr>
            <w:tcW w:w="700" w:type="dxa"/>
            <w:vAlign w:val="bottom"/>
            <w:gridSpan w:val="3"/>
          </w:tcPr>
          <w:p>
            <w:pPr>
              <w:spacing w:after="0"/>
              <w:rPr>
                <w:sz w:val="24"/>
                <w:szCs w:val="24"/>
                <w:color w:val="auto"/>
              </w:rPr>
            </w:pPr>
          </w:p>
        </w:tc>
        <w:tc>
          <w:tcPr>
            <w:tcW w:w="1280" w:type="dxa"/>
            <w:vAlign w:val="bottom"/>
            <w:tcBorders>
              <w:bottom w:val="single" w:sz="8" w:color="0000EE"/>
            </w:tcBorders>
            <w:gridSpan w:val="4"/>
          </w:tcPr>
          <w:p>
            <w:pPr>
              <w:spacing w:after="0"/>
              <w:rPr>
                <w:rFonts w:ascii="Arial" w:cs="Arial" w:eastAsia="Arial" w:hAnsi="Arial"/>
                <w:sz w:val="17"/>
                <w:szCs w:val="17"/>
                <w:color w:val="0000EE"/>
                <w:w w:val="95"/>
              </w:rPr>
            </w:pPr>
            <w:hyperlink w:anchor="page81">
              <w:r>
                <w:rPr>
                  <w:rFonts w:ascii="Arial" w:cs="Arial" w:eastAsia="Arial" w:hAnsi="Arial"/>
                  <w:sz w:val="17"/>
                  <w:szCs w:val="17"/>
                  <w:color w:val="0000EE"/>
                  <w:w w:val="95"/>
                </w:rPr>
                <w:t>Other Information</w:t>
              </w:r>
            </w:hyperlink>
          </w:p>
        </w:tc>
        <w:tc>
          <w:tcPr>
            <w:tcW w:w="7720" w:type="dxa"/>
            <w:vAlign w:val="bottom"/>
            <w:gridSpan w:val="15"/>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81">
              <w:r>
                <w:rPr>
                  <w:rFonts w:ascii="Arial" w:cs="Arial" w:eastAsia="Arial" w:hAnsi="Arial"/>
                  <w:sz w:val="17"/>
                  <w:szCs w:val="17"/>
                  <w:color w:val="auto"/>
                </w:rPr>
                <w:t>81</w:t>
              </w:r>
            </w:hyperlink>
          </w:p>
        </w:tc>
      </w:tr>
      <w:tr>
        <w:trPr>
          <w:trHeight w:val="505"/>
        </w:trPr>
        <w:tc>
          <w:tcPr>
            <w:tcW w:w="540" w:type="dxa"/>
            <w:vAlign w:val="bottom"/>
          </w:tcPr>
          <w:p>
            <w:pPr>
              <w:spacing w:after="0"/>
              <w:rPr>
                <w:rFonts w:ascii="Arial" w:cs="Arial" w:eastAsia="Arial" w:hAnsi="Arial"/>
                <w:sz w:val="17"/>
                <w:szCs w:val="17"/>
                <w:color w:val="0000EE"/>
                <w:w w:val="99"/>
              </w:rPr>
            </w:pPr>
            <w:hyperlink w:anchor="page82">
              <w:r>
                <w:rPr>
                  <w:rFonts w:ascii="Arial" w:cs="Arial" w:eastAsia="Arial" w:hAnsi="Arial"/>
                  <w:sz w:val="17"/>
                  <w:szCs w:val="17"/>
                  <w:color w:val="0000EE"/>
                  <w:w w:val="99"/>
                </w:rPr>
                <w:t>Item 6.</w:t>
              </w:r>
            </w:hyperlink>
          </w:p>
        </w:tc>
        <w:tc>
          <w:tcPr>
            <w:tcW w:w="700" w:type="dxa"/>
            <w:vAlign w:val="bottom"/>
            <w:gridSpan w:val="3"/>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82">
              <w:r>
                <w:rPr>
                  <w:rFonts w:ascii="Arial" w:cs="Arial" w:eastAsia="Arial" w:hAnsi="Arial"/>
                  <w:sz w:val="17"/>
                  <w:szCs w:val="17"/>
                  <w:color w:val="0000EE"/>
                </w:rPr>
                <w:t>Exhibits</w:t>
              </w:r>
            </w:hyperlink>
          </w:p>
        </w:tc>
        <w:tc>
          <w:tcPr>
            <w:tcW w:w="1140" w:type="dxa"/>
            <w:vAlign w:val="bottom"/>
          </w:tcPr>
          <w:p>
            <w:pPr>
              <w:jc w:val="right"/>
              <w:spacing w:after="0"/>
              <w:rPr>
                <w:rFonts w:ascii="Arial" w:cs="Arial" w:eastAsia="Arial" w:hAnsi="Arial"/>
                <w:sz w:val="17"/>
                <w:szCs w:val="17"/>
                <w:color w:val="auto"/>
              </w:rPr>
            </w:pPr>
            <w:hyperlink w:anchor="page82">
              <w:r>
                <w:rPr>
                  <w:rFonts w:ascii="Arial" w:cs="Arial" w:eastAsia="Arial" w:hAnsi="Arial"/>
                  <w:sz w:val="17"/>
                  <w:szCs w:val="17"/>
                  <w:color w:val="auto"/>
                </w:rPr>
                <w:t>82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940" w:type="dxa"/>
            <w:vAlign w:val="bottom"/>
            <w:gridSpan w:val="1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86">
              <w:r>
                <w:rPr>
                  <w:rFonts w:ascii="Arial" w:cs="Arial" w:eastAsia="Arial" w:hAnsi="Arial"/>
                  <w:sz w:val="17"/>
                  <w:szCs w:val="17"/>
                  <w:color w:val="0000EE"/>
                </w:rPr>
                <w:t>SIGNATURES</w:t>
              </w:r>
            </w:hyperlink>
          </w:p>
        </w:tc>
        <w:tc>
          <w:tcPr>
            <w:tcW w:w="1140" w:type="dxa"/>
            <w:vAlign w:val="bottom"/>
          </w:tcPr>
          <w:p>
            <w:pPr>
              <w:jc w:val="right"/>
              <w:spacing w:after="0"/>
              <w:rPr>
                <w:rFonts w:ascii="Arial" w:cs="Arial" w:eastAsia="Arial" w:hAnsi="Arial"/>
                <w:sz w:val="17"/>
                <w:szCs w:val="17"/>
                <w:color w:val="auto"/>
              </w:rPr>
            </w:pPr>
            <w:hyperlink w:anchor="page86">
              <w:r>
                <w:rPr>
                  <w:rFonts w:ascii="Arial" w:cs="Arial" w:eastAsia="Arial" w:hAnsi="Arial"/>
                  <w:sz w:val="17"/>
                  <w:szCs w:val="17"/>
                  <w:color w:val="auto"/>
                </w:rPr>
                <w:t>86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right="20" w:firstLine="315"/>
        <w:spacing w:after="0" w:line="323" w:lineRule="auto"/>
        <w:rPr>
          <w:sz w:val="20"/>
          <w:szCs w:val="20"/>
          <w:color w:val="auto"/>
        </w:rPr>
      </w:pPr>
      <w:r>
        <w:rPr>
          <w:rFonts w:ascii="Arial" w:cs="Arial" w:eastAsia="Arial" w:hAnsi="Arial"/>
          <w:sz w:val="16"/>
          <w:szCs w:val="16"/>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Condensed Consolidated Financial Statements (Unaudited)</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40" w:type="dxa"/>
            <w:vAlign w:val="bottom"/>
          </w:tcPr>
          <w:p>
            <w:pPr>
              <w:jc w:val="right"/>
              <w:ind w:right="370"/>
              <w:spacing w:after="0"/>
              <w:rPr>
                <w:sz w:val="20"/>
                <w:szCs w:val="20"/>
                <w:color w:val="auto"/>
              </w:rPr>
            </w:pPr>
            <w:r>
              <w:rPr>
                <w:rFonts w:ascii="Arial" w:cs="Arial" w:eastAsia="Arial" w:hAnsi="Arial"/>
                <w:sz w:val="14"/>
                <w:szCs w:val="14"/>
                <w:b w:val="1"/>
                <w:bCs w:val="1"/>
                <w:color w:val="auto"/>
              </w:rPr>
              <w:t>PAGE</w:t>
            </w:r>
          </w:p>
        </w:tc>
      </w:tr>
      <w:tr>
        <w:trPr>
          <w:trHeight w:val="188"/>
        </w:trPr>
        <w:tc>
          <w:tcPr>
            <w:tcW w:w="3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NUMBER</w:t>
            </w:r>
          </w:p>
        </w:tc>
      </w:tr>
      <w:tr>
        <w:trPr>
          <w:trHeight w:val="720"/>
        </w:trPr>
        <w:tc>
          <w:tcPr>
            <w:tcW w:w="422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4">
              <w:r>
                <w:rPr>
                  <w:rFonts w:ascii="Arial" w:cs="Arial" w:eastAsia="Arial" w:hAnsi="Arial"/>
                  <w:sz w:val="17"/>
                  <w:szCs w:val="17"/>
                  <w:color w:val="0000EE"/>
                  <w:w w:val="93"/>
                </w:rPr>
                <w:t>Condensed Consolidated Statements of Financial Condition</w:t>
              </w:r>
            </w:hyperlink>
          </w:p>
        </w:tc>
        <w:tc>
          <w:tcPr>
            <w:tcW w:w="1060" w:type="dxa"/>
            <w:vAlign w:val="bottom"/>
            <w:gridSpan w:val="3"/>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r>
      <w:tr>
        <w:trPr>
          <w:trHeight w:val="505"/>
        </w:trPr>
        <w:tc>
          <w:tcPr>
            <w:tcW w:w="49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5">
              <w:r>
                <w:rPr>
                  <w:rFonts w:ascii="Arial" w:cs="Arial" w:eastAsia="Arial" w:hAnsi="Arial"/>
                  <w:sz w:val="17"/>
                  <w:szCs w:val="17"/>
                  <w:color w:val="0000EE"/>
                  <w:w w:val="91"/>
                </w:rPr>
                <w:t>Condensed Consolidated Statements of Comprehensive Income (Loss)</w:t>
              </w:r>
            </w:hyperlink>
          </w:p>
        </w:tc>
        <w:tc>
          <w:tcPr>
            <w:tcW w:w="340" w:type="dxa"/>
            <w:vAlign w:val="bottom"/>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5</w:t>
              </w:r>
            </w:hyperlink>
          </w:p>
        </w:tc>
      </w:tr>
      <w:tr>
        <w:trPr>
          <w:trHeight w:val="505"/>
        </w:trPr>
        <w:tc>
          <w:tcPr>
            <w:tcW w:w="4120" w:type="dxa"/>
            <w:vAlign w:val="bottom"/>
            <w:tcBorders>
              <w:bottom w:val="single" w:sz="8" w:color="0000EE"/>
            </w:tcBorders>
            <w:gridSpan w:val="2"/>
          </w:tcPr>
          <w:p>
            <w:pPr>
              <w:spacing w:after="0"/>
              <w:rPr>
                <w:rFonts w:ascii="Arial" w:cs="Arial" w:eastAsia="Arial" w:hAnsi="Arial"/>
                <w:sz w:val="17"/>
                <w:szCs w:val="17"/>
                <w:color w:val="0000EE"/>
                <w:w w:val="92"/>
              </w:rPr>
            </w:pPr>
            <w:hyperlink w:anchor="page6">
              <w:r>
                <w:rPr>
                  <w:rFonts w:ascii="Arial" w:cs="Arial" w:eastAsia="Arial" w:hAnsi="Arial"/>
                  <w:sz w:val="17"/>
                  <w:szCs w:val="17"/>
                  <w:color w:val="0000EE"/>
                  <w:w w:val="92"/>
                </w:rPr>
                <w:t>Condensed Consolidated Statements of Changes in Equity</w:t>
              </w:r>
            </w:hyperlink>
          </w:p>
        </w:tc>
        <w:tc>
          <w:tcPr>
            <w:tcW w:w="1160" w:type="dxa"/>
            <w:vAlign w:val="bottom"/>
            <w:gridSpan w:val="4"/>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r>
      <w:tr>
        <w:trPr>
          <w:trHeight w:val="505"/>
        </w:trPr>
        <w:tc>
          <w:tcPr>
            <w:tcW w:w="3640" w:type="dxa"/>
            <w:vAlign w:val="bottom"/>
            <w:tcBorders>
              <w:bottom w:val="single" w:sz="8" w:color="0000EE"/>
            </w:tcBorders>
          </w:tcPr>
          <w:p>
            <w:pPr>
              <w:spacing w:after="0"/>
              <w:rPr>
                <w:rFonts w:ascii="Arial" w:cs="Arial" w:eastAsia="Arial" w:hAnsi="Arial"/>
                <w:sz w:val="17"/>
                <w:szCs w:val="17"/>
                <w:color w:val="0000EE"/>
                <w:w w:val="91"/>
              </w:rPr>
            </w:pPr>
            <w:hyperlink w:anchor="page7">
              <w:r>
                <w:rPr>
                  <w:rFonts w:ascii="Arial" w:cs="Arial" w:eastAsia="Arial" w:hAnsi="Arial"/>
                  <w:sz w:val="17"/>
                  <w:szCs w:val="17"/>
                  <w:color w:val="0000EE"/>
                  <w:w w:val="91"/>
                </w:rPr>
                <w:t>Condensed Consolidated Statements of Cash Flows</w:t>
              </w:r>
            </w:hyperlink>
          </w:p>
        </w:tc>
        <w:tc>
          <w:tcPr>
            <w:tcW w:w="1640" w:type="dxa"/>
            <w:vAlign w:val="bottom"/>
            <w:gridSpan w:val="5"/>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r>
      <w:tr>
        <w:trPr>
          <w:trHeight w:val="505"/>
        </w:trPr>
        <w:tc>
          <w:tcPr>
            <w:tcW w:w="5280" w:type="dxa"/>
            <w:vAlign w:val="bottom"/>
            <w:gridSpan w:val="6"/>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Notes to Condensed Consolidated Financial Statements (Unaudited)</w:t>
              </w:r>
            </w:hyperlink>
          </w:p>
        </w:tc>
        <w:tc>
          <w:tcPr>
            <w:tcW w:w="6100" w:type="dxa"/>
            <w:vAlign w:val="bottom"/>
            <w:gridSpan w:val="2"/>
          </w:tcPr>
          <w:p>
            <w:pPr>
              <w:jc w:val="right"/>
              <w:spacing w:after="0"/>
              <w:rPr>
                <w:rFonts w:ascii="Arial" w:cs="Arial" w:eastAsia="Arial" w:hAnsi="Arial"/>
                <w:sz w:val="17"/>
                <w:szCs w:val="17"/>
                <w:color w:val="auto"/>
              </w:rPr>
            </w:pPr>
            <w:hyperlink w:anchor="page9">
              <w:r>
                <w:rPr>
                  <w:rFonts w:ascii="Arial" w:cs="Arial" w:eastAsia="Arial" w:hAnsi="Arial"/>
                  <w:sz w:val="17"/>
                  <w:szCs w:val="17"/>
                  <w:color w:val="auto"/>
                </w:rPr>
                <w:t>9</w:t>
              </w:r>
            </w:hyperlink>
          </w:p>
        </w:tc>
      </w:tr>
      <w:tr>
        <w:trPr>
          <w:trHeight w:val="491"/>
        </w:trPr>
        <w:tc>
          <w:tcPr>
            <w:tcW w:w="36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tcPr>
          <w:p>
            <w:pPr>
              <w:jc w:val="right"/>
              <w:ind w:right="4333"/>
              <w:spacing w:after="0"/>
              <w:rPr>
                <w:sz w:val="20"/>
                <w:szCs w:val="20"/>
                <w:color w:val="auto"/>
              </w:rPr>
            </w:pPr>
            <w:r>
              <w:rPr>
                <w:rFonts w:ascii="Arial" w:cs="Arial" w:eastAsia="Arial" w:hAnsi="Arial"/>
                <w:sz w:val="17"/>
                <w:szCs w:val="17"/>
                <w:color w:val="auto"/>
              </w:rPr>
              <w:t>3</w:t>
            </w: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w w:val="88"/>
              </w:rPr>
              <w:t>December 31,</w:t>
            </w:r>
          </w:p>
        </w:tc>
      </w:tr>
      <w:tr>
        <w:trPr>
          <w:trHeight w:val="204"/>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interest data)</w:t>
            </w:r>
          </w:p>
        </w:tc>
        <w:tc>
          <w:tcPr>
            <w:tcW w:w="120" w:type="dxa"/>
            <w:vAlign w:val="bottom"/>
          </w:tcPr>
          <w:p>
            <w:pPr>
              <w:spacing w:after="0"/>
              <w:rPr>
                <w:sz w:val="17"/>
                <w:szCs w:val="17"/>
                <w:color w:val="auto"/>
              </w:rPr>
            </w:pPr>
          </w:p>
        </w:tc>
        <w:tc>
          <w:tcPr>
            <w:tcW w:w="1140" w:type="dxa"/>
            <w:vAlign w:val="bottom"/>
          </w:tcPr>
          <w:p>
            <w:pPr>
              <w:jc w:val="right"/>
              <w:ind w:right="40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6"/>
                <w:szCs w:val="16"/>
                <w:b w:val="1"/>
                <w:bCs w:val="1"/>
                <w:color w:val="auto"/>
              </w:rPr>
              <w:t>2017</w:t>
            </w:r>
          </w:p>
        </w:tc>
      </w:tr>
      <w:tr>
        <w:trPr>
          <w:trHeight w:val="33"/>
        </w:trPr>
        <w:tc>
          <w:tcPr>
            <w:tcW w:w="8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415,933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532,887</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Securities borrowed</w:t>
            </w:r>
          </w:p>
        </w:tc>
        <w:tc>
          <w:tcPr>
            <w:tcW w:w="1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1,305,789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1,471,172</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Securities purchased under agreements to resell</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Receivables from broker dealers and clearing organizations</w:t>
            </w:r>
          </w:p>
        </w:tc>
        <w:tc>
          <w:tcPr>
            <w:tcW w:w="1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1,115,764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972,018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Trading assets,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8760" w:type="dxa"/>
            <w:vAlign w:val="bottom"/>
            <w:gridSpan w:val="2"/>
          </w:tcPr>
          <w:p>
            <w:pPr>
              <w:ind w:left="260"/>
              <w:spacing w:after="0"/>
              <w:rPr>
                <w:sz w:val="20"/>
                <w:szCs w:val="20"/>
                <w:color w:val="auto"/>
              </w:rPr>
            </w:pPr>
            <w:r>
              <w:rPr>
                <w:rFonts w:ascii="Arial" w:cs="Arial" w:eastAsia="Arial" w:hAnsi="Arial"/>
                <w:sz w:val="16"/>
                <w:szCs w:val="16"/>
                <w:color w:val="auto"/>
              </w:rPr>
              <w:t>Financial instruments owned</w:t>
            </w:r>
          </w:p>
        </w:tc>
        <w:tc>
          <w:tcPr>
            <w:tcW w:w="1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2,374,124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2,117,579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owned and pledged</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552,629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595,043</w:t>
            </w:r>
          </w:p>
        </w:tc>
      </w:tr>
      <w:tr>
        <w:trPr>
          <w:trHeight w:val="213"/>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1"/>
              </w:rPr>
              <w:t>Property, equipment and capitalized software (net of accumulated depreciation of $324,732 and $375,656 as of September 30, 2018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and December 31, 2017, respectively)</w:t>
            </w:r>
          </w:p>
        </w:tc>
        <w:tc>
          <w:tcPr>
            <w:tcW w:w="12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117,501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137,018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836,583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844,883</w:t>
            </w:r>
          </w:p>
        </w:tc>
      </w:tr>
      <w:tr>
        <w:trPr>
          <w:trHeight w:val="213"/>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8"/>
              </w:rPr>
              <w:t>Intangibles (net of accumulated amortization of $142,564 and $123,408 as of September 30, 2018 and December 31, 2017,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respectively)</w:t>
            </w:r>
          </w:p>
        </w:tc>
        <w:tc>
          <w:tcPr>
            <w:tcW w:w="12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90,069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111,224</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178,087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125,760</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Assets of business held for sale</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55,070</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assets ($42,375 and $98,364, at fair value, as of September 30, 2018 and December 31, 2017, respectively)</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242,037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357,352</w:t>
            </w:r>
          </w:p>
        </w:tc>
      </w:tr>
      <w:tr>
        <w:trPr>
          <w:trHeight w:val="276"/>
        </w:trPr>
        <w:tc>
          <w:tcPr>
            <w:tcW w:w="8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7,238,530</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7,320,006</w:t>
            </w:r>
          </w:p>
        </w:tc>
      </w:tr>
      <w:tr>
        <w:trPr>
          <w:trHeight w:val="262"/>
        </w:trPr>
        <w:tc>
          <w:tcPr>
            <w:tcW w:w="8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Short-term borrowings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14,567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27,883</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Securities loaned</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800,145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754,687</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Securities sold under agreements to repurchase</w:t>
            </w:r>
          </w:p>
        </w:tc>
        <w:tc>
          <w:tcPr>
            <w:tcW w:w="1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301,238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390,642</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Payables to broker dealers and clearing organizations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952,343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716,205</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Trading liabilities, at fair value: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sold, not yet purchased</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2,398,094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2,384,598</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Tax receivable agreement obligations</w:t>
            </w:r>
          </w:p>
        </w:tc>
        <w:tc>
          <w:tcPr>
            <w:tcW w:w="1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199,264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147,040</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and accrued expenses and 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284,241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358,825</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Long-term borrowings</w:t>
            </w:r>
          </w:p>
        </w:tc>
        <w:tc>
          <w:tcPr>
            <w:tcW w:w="1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904,027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1,388,548</w:t>
            </w:r>
          </w:p>
        </w:tc>
      </w:tr>
      <w:tr>
        <w:trPr>
          <w:trHeight w:val="33"/>
        </w:trPr>
        <w:tc>
          <w:tcPr>
            <w:tcW w:w="8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5,853,919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6,168,428</w:t>
            </w:r>
          </w:p>
        </w:tc>
      </w:tr>
      <w:tr>
        <w:trPr>
          <w:trHeight w:val="276"/>
        </w:trPr>
        <w:tc>
          <w:tcPr>
            <w:tcW w:w="8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2"/>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6"/>
        </w:trPr>
        <w:tc>
          <w:tcPr>
            <w:tcW w:w="8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2"/>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13"/>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3"/>
              </w:rPr>
              <w:t>Class A common stock (par value $0.00001), Authorized — 1,000,000,000 and 1,000,000,000 shares, Issued — 108,507,227 and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0"/>
              </w:rPr>
              <w:t>90,415,532 shares, Outstanding — 106,328,456 and 89,798,609 shares at September 30, 2018 and December 31, 2017, respectively</w:t>
            </w:r>
          </w:p>
        </w:tc>
        <w:tc>
          <w:tcPr>
            <w:tcW w:w="12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0"/>
              </w:rPr>
              <w:t>Class B common stock (par value $0.00001), Authorized — 175,000,000 and 175,000,000 shares, Issued and Outstanding — 0 and 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shares at September 30, 2018 and December 31, 2017, respectively</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13"/>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8"/>
              </w:rPr>
              <w:t>Class C common stock (par value $0.00001), Authorized — 90,000,000 and 90,000,000 shares, Issued and Outstanding —</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14,001,131 and 17,880,239 shares at September 30, 2018 and December 31, 2017, respectively</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Class D common stock (par value $0.00001), Authorized — 175,000,000 and 175,000,000 shares, Issued and Outstanding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69,091,740 and 79,610,490 shares at September 30, 2018 and December 31, 2017, respectively</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Treasury stock, at cost, 2,178,771 and 616,923 shares at September 30, 2018 and December 31, 2017, respectively</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(55,005)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(11,041)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1,002,059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900,746</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Retained earnings (accumulated deficit)</w:t>
            </w:r>
          </w:p>
        </w:tc>
        <w:tc>
          <w:tcPr>
            <w:tcW w:w="1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49,647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(62,129)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2,991</w:t>
            </w:r>
          </w:p>
        </w:tc>
      </w:tr>
      <w:tr>
        <w:trPr>
          <w:trHeight w:val="210"/>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997,424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830,569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387,187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321,009</w:t>
            </w:r>
          </w:p>
        </w:tc>
      </w:tr>
      <w:tr>
        <w:trPr>
          <w:trHeight w:val="210"/>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Total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1,384,611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1,151,578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6"/>
        </w:trPr>
        <w:tc>
          <w:tcPr>
            <w:tcW w:w="8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23"/>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7,238,530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7,320,006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5586730</wp:posOffset>
            </wp:positionH>
            <wp:positionV relativeFrom="paragraph">
              <wp:posOffset>12700</wp:posOffset>
            </wp:positionV>
            <wp:extent cx="16503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0365" cy="24765"/>
                    </a:xfrm>
                    <a:prstGeom prst="rect">
                      <a:avLst/>
                    </a:prstGeom>
                    <a:noFill/>
                  </pic:spPr>
                </pic:pic>
              </a:graphicData>
            </a:graphic>
          </wp:anchor>
        </w:drawing>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ectPr>
          <w:pgSz w:w="11900" w:h="16838" w:orient="portrait"/>
          <w:cols w:equalWidth="0" w:num="1">
            <w:col w:w="11400"/>
          </w:cols>
          <w:pgMar w:left="240" w:top="127" w:right="259" w:bottom="1037" w:gutter="0" w:footer="0" w:header="0"/>
        </w:sect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127" w:right="259" w:bottom="1037" w:gutter="0" w:footer="0" w:header="0"/>
          <w:type w:val="continuous"/>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Condensed Consolidated Statements of Comprehensive Income (Loss) (unaudited)</w:t>
      </w:r>
    </w:p>
    <w:p>
      <w:pPr>
        <w:spacing w:after="0" w:line="200" w:lineRule="exact"/>
        <w:rPr>
          <w:sz w:val="20"/>
          <w:szCs w:val="20"/>
          <w:color w:val="auto"/>
        </w:rPr>
      </w:pP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For the Three Months Ended</w:t>
            </w:r>
          </w:p>
        </w:tc>
        <w:tc>
          <w:tcPr>
            <w:tcW w:w="200" w:type="dxa"/>
            <w:vAlign w:val="bottom"/>
          </w:tcPr>
          <w:p>
            <w:pPr>
              <w:spacing w:after="0"/>
              <w:rPr>
                <w:sz w:val="17"/>
                <w:szCs w:val="17"/>
                <w:color w:val="auto"/>
              </w:rPr>
            </w:pPr>
          </w:p>
        </w:tc>
        <w:tc>
          <w:tcPr>
            <w:tcW w:w="2320" w:type="dxa"/>
            <w:vAlign w:val="bottom"/>
            <w:gridSpan w:val="4"/>
          </w:tcPr>
          <w:p>
            <w:pPr>
              <w:jc w:val="right"/>
              <w:ind w:right="221"/>
              <w:spacing w:after="0"/>
              <w:rPr>
                <w:sz w:val="20"/>
                <w:szCs w:val="20"/>
                <w:color w:val="auto"/>
              </w:rPr>
            </w:pPr>
            <w:r>
              <w:rPr>
                <w:rFonts w:ascii="Arial" w:cs="Arial" w:eastAsia="Arial" w:hAnsi="Arial"/>
                <w:sz w:val="16"/>
                <w:szCs w:val="16"/>
                <w:b w:val="1"/>
                <w:bCs w:val="1"/>
                <w:color w:val="auto"/>
                <w:w w:val="96"/>
              </w:rPr>
              <w:t>For the Nine Months Ended</w:t>
            </w:r>
          </w:p>
        </w:tc>
      </w:tr>
      <w:tr>
        <w:trPr>
          <w:trHeight w:val="262"/>
        </w:trPr>
        <w:tc>
          <w:tcPr>
            <w:tcW w:w="5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7"/>
              </w:rPr>
              <w:t>September 30,</w:t>
            </w:r>
          </w:p>
        </w:tc>
        <w:tc>
          <w:tcPr>
            <w:tcW w:w="200" w:type="dxa"/>
            <w:vAlign w:val="bottom"/>
          </w:tcPr>
          <w:p>
            <w:pPr>
              <w:spacing w:after="0"/>
              <w:rPr>
                <w:sz w:val="22"/>
                <w:szCs w:val="22"/>
                <w:color w:val="auto"/>
              </w:rPr>
            </w:pPr>
          </w:p>
        </w:tc>
        <w:tc>
          <w:tcPr>
            <w:tcW w:w="2320" w:type="dxa"/>
            <w:vAlign w:val="bottom"/>
            <w:gridSpan w:val="4"/>
          </w:tcPr>
          <w:p>
            <w:pPr>
              <w:jc w:val="right"/>
              <w:ind w:right="68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9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9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share and per share data)</w:t>
            </w:r>
          </w:p>
        </w:tc>
        <w:tc>
          <w:tcPr>
            <w:tcW w:w="220" w:type="dxa"/>
            <w:vAlign w:val="bottom"/>
          </w:tcPr>
          <w:p>
            <w:pPr>
              <w:spacing w:after="0"/>
              <w:rPr>
                <w:sz w:val="19"/>
                <w:szCs w:val="19"/>
                <w:color w:val="auto"/>
              </w:rPr>
            </w:pPr>
          </w:p>
        </w:tc>
        <w:tc>
          <w:tcPr>
            <w:tcW w:w="1040" w:type="dxa"/>
            <w:vAlign w:val="bottom"/>
          </w:tcPr>
          <w:p>
            <w:pPr>
              <w:jc w:val="right"/>
              <w:ind w:right="40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6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61"/>
              <w:spacing w:after="0"/>
              <w:rPr>
                <w:sz w:val="20"/>
                <w:szCs w:val="20"/>
                <w:color w:val="auto"/>
              </w:rPr>
            </w:pPr>
            <w:r>
              <w:rPr>
                <w:rFonts w:ascii="Arial" w:cs="Arial" w:eastAsia="Arial" w:hAnsi="Arial"/>
                <w:sz w:val="16"/>
                <w:szCs w:val="16"/>
                <w:b w:val="1"/>
                <w:bCs w:val="1"/>
                <w:color w:val="auto"/>
              </w:rPr>
              <w:t>2017</w:t>
            </w:r>
          </w:p>
        </w:tc>
      </w:tr>
      <w:tr>
        <w:trPr>
          <w:trHeight w:val="33"/>
        </w:trPr>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96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Trading income, net</w:t>
            </w: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235,699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203,907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900,454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479,644</w:t>
            </w: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Interest and dividends income</w:t>
            </w: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21,451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20,430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61,337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30,933</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Commissions, net and technology services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140,661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49,237</w:t>
            </w: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(2,279)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3,598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335,851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3,647</w:t>
            </w: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5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295,123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271,286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1,438,303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563,461</w:t>
            </w:r>
          </w:p>
        </w:tc>
      </w:tr>
      <w:tr>
        <w:trPr>
          <w:trHeight w:val="276"/>
        </w:trPr>
        <w:tc>
          <w:tcPr>
            <w:tcW w:w="5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2"/>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Brokerage, exchange and clearance fees, net</w:t>
            </w: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68,638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64,584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229,779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170,253</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Communication and data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39,516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137,793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83,190</w:t>
            </w: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Employee compensation and payroll taxes</w:t>
            </w: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44,827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72,341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150,723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111,053</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Payments for order flow</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50,381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12,071</w:t>
            </w: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Interest and dividends expense</w:t>
            </w: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32,566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31,242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101,199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58,456</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Operations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53,671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35,931</w:t>
            </w: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16,012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15,602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47,558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29,157</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6,546</w:t>
            </w: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Termination of office leases</w:t>
            </w: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23,300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Debt issue cost related to debt refinancing and prepayment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9,351</w:t>
            </w: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Transaction advisory fees and expenses</w:t>
            </w:r>
          </w:p>
        </w:tc>
        <w:tc>
          <w:tcPr>
            <w:tcW w:w="2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15,677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8,985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24,188</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Charges related to share based compensation at IPO</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545</w:t>
            </w: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Financing interest expense on long-term borrowings</w:t>
            </w: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17,709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24,593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55,536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40,141</w:t>
            </w: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265,698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317,781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890,718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580,882</w:t>
            </w:r>
          </w:p>
        </w:tc>
      </w:tr>
      <w:tr>
        <w:trPr>
          <w:trHeight w:val="21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Income (loss) before income taxes and noncontrolling interest</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29,425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547,585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(17,421)</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13,815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75,330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(2,918)</w:t>
            </w:r>
          </w:p>
        </w:tc>
      </w:tr>
      <w:tr>
        <w:trPr>
          <w:trHeight w:val="210"/>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15,610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(39,990)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472,255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(14,503)</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(6,998)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26,472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(263,682)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6,466</w:t>
            </w:r>
          </w:p>
        </w:tc>
      </w:tr>
      <w:tr>
        <w:trPr>
          <w:trHeight w:val="269"/>
        </w:trPr>
        <w:tc>
          <w:tcPr>
            <w:tcW w:w="5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r>
      <w:tr>
        <w:trPr>
          <w:trHeight w:val="236"/>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available for common stockholders</w:t>
            </w: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8,612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208,573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(8,037)</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2"/>
        </w:trPr>
        <w:tc>
          <w:tcPr>
            <w:tcW w:w="5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42"/>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r>
      <w:tr>
        <w:trPr>
          <w:trHeight w:val="276"/>
        </w:trPr>
        <w:tc>
          <w:tcPr>
            <w:tcW w:w="5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2"/>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0"/>
        </w:trPr>
        <w:tc>
          <w:tcPr>
            <w:tcW w:w="596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106,692,034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79,199,142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99,038,084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53,520,346</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107,128,206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79,199,142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8"/>
              </w:rPr>
              <w:t>100,468,860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53,520,346</w:t>
            </w:r>
          </w:p>
        </w:tc>
      </w:tr>
      <w:tr>
        <w:trPr>
          <w:trHeight w:val="276"/>
        </w:trPr>
        <w:tc>
          <w:tcPr>
            <w:tcW w:w="5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2"/>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472,255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(14,503)</w:t>
            </w:r>
          </w:p>
        </w:tc>
      </w:tr>
      <w:tr>
        <w:trPr>
          <w:trHeight w:val="230"/>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2"/>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Foreign exchange translation adjustment, net of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8,300</w:t>
            </w:r>
          </w:p>
        </w:tc>
      </w:tr>
      <w:tr>
        <w:trPr>
          <w:trHeight w:val="210"/>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Comprehensive income (loss)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14,944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(37,432)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468,542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(6,203)</w:t>
            </w: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2"/>
        </w:trPr>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25,122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(262,239)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1,014</w:t>
            </w:r>
          </w:p>
        </w:tc>
      </w:tr>
      <w:tr>
        <w:trPr>
          <w:trHeight w:val="236"/>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Comprehensive income (loss) attributable to common stockholders</w:t>
            </w: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8,236</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(12,310)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206,303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(5,189)</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ectPr>
          <w:pgSz w:w="11900" w:h="16838" w:orient="portrait"/>
          <w:cols w:equalWidth="0" w:num="1">
            <w:col w:w="11320"/>
          </w:cols>
          <w:pgMar w:left="240" w:top="127" w:right="339" w:bottom="1440" w:gutter="0" w:footer="0" w:header="0"/>
        </w:sect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20"/>
          </w:cols>
          <w:pgMar w:left="240" w:top="127" w:right="339" w:bottom="1440" w:gutter="0" w:footer="0" w:header="0"/>
          <w:type w:val="continuous"/>
        </w:sectPr>
      </w:pPr>
    </w:p>
    <w:bookmarkStart w:id="5" w:name="page6"/>
    <w:bookmarkEnd w:id="5"/>
    <w:p>
      <w:pPr>
        <w:ind w:left="16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Nine Months Ended September 30, 2018 and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18"/>
        </w:trPr>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8"/>
              </w:rPr>
              <w:t>Additional</w:t>
            </w: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Total Virtu</w:t>
            </w: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32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w:t>
            </w: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Paid-in</w:t>
            </w: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3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20" w:type="dxa"/>
            <w:vAlign w:val="bottom"/>
            <w:vMerge w:val="restart"/>
          </w:tcPr>
          <w:p>
            <w:pPr>
              <w:jc w:val="center"/>
              <w:ind w:left="8"/>
              <w:spacing w:after="0"/>
              <w:rPr>
                <w:sz w:val="20"/>
                <w:szCs w:val="20"/>
                <w:color w:val="auto"/>
              </w:rPr>
            </w:pPr>
            <w:r>
              <w:rPr>
                <w:rFonts w:ascii="Arial" w:cs="Arial" w:eastAsia="Arial" w:hAnsi="Arial"/>
                <w:sz w:val="10"/>
                <w:szCs w:val="10"/>
                <w:b w:val="1"/>
                <w:bCs w:val="1"/>
                <w:color w:val="auto"/>
                <w:w w:val="94"/>
              </w:rPr>
              <w:t>Retained</w:t>
            </w:r>
          </w:p>
        </w:tc>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Accumulated</w:t>
            </w:r>
          </w:p>
        </w:tc>
        <w:tc>
          <w:tcPr>
            <w:tcW w:w="7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Financial</w:t>
            </w: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320" w:type="dxa"/>
            <w:vAlign w:val="bottom"/>
            <w:vMerge w:val="restart"/>
          </w:tcPr>
          <w:p>
            <w:pPr>
              <w:spacing w:after="0"/>
              <w:rPr>
                <w:sz w:val="20"/>
                <w:szCs w:val="20"/>
                <w:color w:val="auto"/>
              </w:rPr>
            </w:pPr>
            <w:r>
              <w:rPr>
                <w:rFonts w:ascii="Arial" w:cs="Arial" w:eastAsia="Arial" w:hAnsi="Arial"/>
                <w:sz w:val="10"/>
                <w:szCs w:val="10"/>
                <w:b w:val="1"/>
                <w:bCs w:val="1"/>
                <w:color w:val="auto"/>
              </w:rPr>
              <w:t>share and interest data)</w:t>
            </w:r>
          </w:p>
        </w:tc>
        <w:tc>
          <w:tcPr>
            <w:tcW w:w="1340" w:type="dxa"/>
            <w:vAlign w:val="bottom"/>
            <w:gridSpan w:val="3"/>
            <w:vMerge w:val="restart"/>
          </w:tcPr>
          <w:p>
            <w:pPr>
              <w:ind w:left="100"/>
              <w:spacing w:after="0"/>
              <w:rPr>
                <w:sz w:val="20"/>
                <w:szCs w:val="20"/>
                <w:color w:val="auto"/>
              </w:rPr>
            </w:pPr>
            <w:r>
              <w:rPr>
                <w:rFonts w:ascii="Arial" w:cs="Arial" w:eastAsia="Arial" w:hAnsi="Arial"/>
                <w:sz w:val="10"/>
                <w:szCs w:val="10"/>
                <w:b w:val="1"/>
                <w:bCs w:val="1"/>
                <w:color w:val="auto"/>
              </w:rPr>
              <w:t>Class A Common Stock</w:t>
            </w: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0"/>
                <w:szCs w:val="10"/>
                <w:b w:val="1"/>
                <w:bCs w:val="1"/>
                <w:color w:val="auto"/>
                <w:w w:val="99"/>
              </w:rPr>
              <w:t>Class C Common Stock</w:t>
            </w:r>
          </w:p>
        </w:tc>
        <w:tc>
          <w:tcPr>
            <w:tcW w:w="1360" w:type="dxa"/>
            <w:vAlign w:val="bottom"/>
            <w:gridSpan w:val="3"/>
            <w:vMerge w:val="restart"/>
          </w:tcPr>
          <w:p>
            <w:pPr>
              <w:ind w:left="100"/>
              <w:spacing w:after="0"/>
              <w:rPr>
                <w:sz w:val="20"/>
                <w:szCs w:val="20"/>
                <w:color w:val="auto"/>
              </w:rPr>
            </w:pPr>
            <w:r>
              <w:rPr>
                <w:rFonts w:ascii="Arial" w:cs="Arial" w:eastAsia="Arial" w:hAnsi="Arial"/>
                <w:sz w:val="10"/>
                <w:szCs w:val="10"/>
                <w:b w:val="1"/>
                <w:bCs w:val="1"/>
                <w:color w:val="auto"/>
              </w:rPr>
              <w:t>Class D Common Stock</w:t>
            </w:r>
          </w:p>
        </w:tc>
        <w:tc>
          <w:tcPr>
            <w:tcW w:w="132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Treasury Stock</w:t>
            </w:r>
          </w:p>
        </w:tc>
        <w:tc>
          <w:tcPr>
            <w:tcW w:w="6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Capital</w:t>
            </w:r>
          </w:p>
        </w:tc>
        <w:tc>
          <w:tcPr>
            <w:tcW w:w="8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320" w:type="dxa"/>
            <w:vAlign w:val="bottom"/>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8"/>
              </w:rPr>
              <w:t>Earnings</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7"/>
              </w:rPr>
              <w:t>Other</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Inc.</w:t>
            </w:r>
          </w:p>
        </w:tc>
        <w:tc>
          <w:tcPr>
            <w:tcW w:w="720" w:type="dxa"/>
            <w:vAlign w:val="bottom"/>
          </w:tcPr>
          <w:p>
            <w:pPr>
              <w:jc w:val="center"/>
              <w:ind w:right="8"/>
              <w:spacing w:after="0"/>
              <w:rPr>
                <w:sz w:val="20"/>
                <w:szCs w:val="20"/>
                <w:color w:val="auto"/>
              </w:rPr>
            </w:pPr>
            <w:r>
              <w:rPr>
                <w:rFonts w:ascii="Arial" w:cs="Arial" w:eastAsia="Arial" w:hAnsi="Arial"/>
                <w:sz w:val="10"/>
                <w:szCs w:val="10"/>
                <w:b w:val="1"/>
                <w:bCs w:val="1"/>
                <w:color w:val="auto"/>
                <w:w w:val="96"/>
              </w:rPr>
              <w:t>Non-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20" w:type="dxa"/>
            <w:vAlign w:val="bottom"/>
          </w:tcPr>
          <w:p>
            <w:pPr>
              <w:jc w:val="center"/>
              <w:ind w:left="28"/>
              <w:spacing w:after="0" w:line="98" w:lineRule="exact"/>
              <w:rPr>
                <w:sz w:val="20"/>
                <w:szCs w:val="20"/>
                <w:color w:val="auto"/>
              </w:rPr>
            </w:pPr>
            <w:r>
              <w:rPr>
                <w:rFonts w:ascii="Arial" w:cs="Arial" w:eastAsia="Arial" w:hAnsi="Arial"/>
                <w:sz w:val="10"/>
                <w:szCs w:val="10"/>
                <w:b w:val="1"/>
                <w:bCs w:val="1"/>
                <w:color w:val="auto"/>
                <w:w w:val="93"/>
              </w:rPr>
              <w:t>(Accumulated</w:t>
            </w:r>
          </w:p>
        </w:tc>
        <w:tc>
          <w:tcPr>
            <w:tcW w:w="8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0"/>
              </w:rPr>
              <w:t>Comprehensive</w:t>
            </w:r>
          </w:p>
        </w:tc>
        <w:tc>
          <w:tcPr>
            <w:tcW w:w="76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1"/>
              </w:rPr>
              <w:t>Stockholders'</w:t>
            </w:r>
          </w:p>
        </w:tc>
        <w:tc>
          <w:tcPr>
            <w:tcW w:w="72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7"/>
              </w:rPr>
              <w:t>Controlling</w:t>
            </w:r>
          </w:p>
        </w:tc>
        <w:tc>
          <w:tcPr>
            <w:tcW w:w="440" w:type="dxa"/>
            <w:vAlign w:val="bottom"/>
          </w:tcPr>
          <w:p>
            <w:pPr>
              <w:jc w:val="center"/>
              <w:ind w:left="68"/>
              <w:spacing w:after="0" w:line="9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620" w:type="dxa"/>
            <w:vAlign w:val="bottom"/>
          </w:tcPr>
          <w:p>
            <w:pPr>
              <w:ind w:left="160"/>
              <w:spacing w:after="0"/>
              <w:rPr>
                <w:sz w:val="20"/>
                <w:szCs w:val="20"/>
                <w:color w:val="auto"/>
              </w:rPr>
            </w:pPr>
            <w:r>
              <w:rPr>
                <w:rFonts w:ascii="Arial" w:cs="Arial" w:eastAsia="Arial" w:hAnsi="Arial"/>
                <w:sz w:val="10"/>
                <w:szCs w:val="10"/>
                <w:b w:val="1"/>
                <w:bCs w:val="1"/>
                <w:color w:val="auto"/>
              </w:rPr>
              <w:t>Shares</w:t>
            </w:r>
          </w:p>
        </w:tc>
        <w:tc>
          <w:tcPr>
            <w:tcW w:w="720" w:type="dxa"/>
            <w:vAlign w:val="bottom"/>
            <w:gridSpan w:val="2"/>
          </w:tcPr>
          <w:p>
            <w:pPr>
              <w:ind w:left="160"/>
              <w:spacing w:after="0"/>
              <w:rPr>
                <w:sz w:val="20"/>
                <w:szCs w:val="20"/>
                <w:color w:val="auto"/>
              </w:rPr>
            </w:pPr>
            <w:r>
              <w:rPr>
                <w:rFonts w:ascii="Arial" w:cs="Arial" w:eastAsia="Arial" w:hAnsi="Arial"/>
                <w:sz w:val="10"/>
                <w:szCs w:val="10"/>
                <w:b w:val="1"/>
                <w:bCs w:val="1"/>
                <w:color w:val="auto"/>
              </w:rPr>
              <w:t>Amounts</w:t>
            </w:r>
          </w:p>
        </w:tc>
        <w:tc>
          <w:tcPr>
            <w:tcW w:w="580" w:type="dxa"/>
            <w:vAlign w:val="bottom"/>
          </w:tcPr>
          <w:p>
            <w:pPr>
              <w:ind w:left="140"/>
              <w:spacing w:after="0"/>
              <w:rPr>
                <w:sz w:val="20"/>
                <w:szCs w:val="20"/>
                <w:color w:val="auto"/>
              </w:rPr>
            </w:pPr>
            <w:r>
              <w:rPr>
                <w:rFonts w:ascii="Arial" w:cs="Arial" w:eastAsia="Arial" w:hAnsi="Arial"/>
                <w:sz w:val="10"/>
                <w:szCs w:val="10"/>
                <w:b w:val="1"/>
                <w:bCs w:val="1"/>
                <w:color w:val="auto"/>
              </w:rPr>
              <w:t>Shares</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Amounts</w:t>
            </w:r>
          </w:p>
        </w:tc>
        <w:tc>
          <w:tcPr>
            <w:tcW w:w="620" w:type="dxa"/>
            <w:vAlign w:val="bottom"/>
          </w:tcPr>
          <w:p>
            <w:pPr>
              <w:ind w:left="160"/>
              <w:spacing w:after="0"/>
              <w:rPr>
                <w:sz w:val="20"/>
                <w:szCs w:val="20"/>
                <w:color w:val="auto"/>
              </w:rPr>
            </w:pPr>
            <w:r>
              <w:rPr>
                <w:rFonts w:ascii="Arial" w:cs="Arial" w:eastAsia="Arial" w:hAnsi="Arial"/>
                <w:sz w:val="10"/>
                <w:szCs w:val="10"/>
                <w:b w:val="1"/>
                <w:bCs w:val="1"/>
                <w:color w:val="auto"/>
              </w:rPr>
              <w:t>Shares</w:t>
            </w:r>
          </w:p>
        </w:tc>
        <w:tc>
          <w:tcPr>
            <w:tcW w:w="740" w:type="dxa"/>
            <w:vAlign w:val="bottom"/>
            <w:gridSpan w:val="2"/>
          </w:tcPr>
          <w:p>
            <w:pPr>
              <w:ind w:left="160"/>
              <w:spacing w:after="0"/>
              <w:rPr>
                <w:sz w:val="20"/>
                <w:szCs w:val="20"/>
                <w:color w:val="auto"/>
              </w:rPr>
            </w:pPr>
            <w:r>
              <w:rPr>
                <w:rFonts w:ascii="Arial" w:cs="Arial" w:eastAsia="Arial" w:hAnsi="Arial"/>
                <w:sz w:val="10"/>
                <w:szCs w:val="10"/>
                <w:b w:val="1"/>
                <w:bCs w:val="1"/>
                <w:color w:val="auto"/>
              </w:rPr>
              <w:t>Amounts</w:t>
            </w:r>
          </w:p>
        </w:tc>
        <w:tc>
          <w:tcPr>
            <w:tcW w:w="600" w:type="dxa"/>
            <w:vAlign w:val="bottom"/>
          </w:tcPr>
          <w:p>
            <w:pPr>
              <w:ind w:left="140"/>
              <w:spacing w:after="0"/>
              <w:rPr>
                <w:sz w:val="20"/>
                <w:szCs w:val="20"/>
                <w:color w:val="auto"/>
              </w:rPr>
            </w:pPr>
            <w:r>
              <w:rPr>
                <w:rFonts w:ascii="Arial" w:cs="Arial" w:eastAsia="Arial" w:hAnsi="Arial"/>
                <w:sz w:val="10"/>
                <w:szCs w:val="10"/>
                <w:b w:val="1"/>
                <w:bCs w:val="1"/>
                <w:color w:val="auto"/>
              </w:rPr>
              <w:t>Shares</w:t>
            </w:r>
          </w:p>
        </w:tc>
        <w:tc>
          <w:tcPr>
            <w:tcW w:w="720" w:type="dxa"/>
            <w:vAlign w:val="bottom"/>
            <w:gridSpan w:val="2"/>
          </w:tcPr>
          <w:p>
            <w:pPr>
              <w:ind w:left="160"/>
              <w:spacing w:after="0"/>
              <w:rPr>
                <w:sz w:val="20"/>
                <w:szCs w:val="20"/>
                <w:color w:val="auto"/>
              </w:rPr>
            </w:pPr>
            <w:r>
              <w:rPr>
                <w:rFonts w:ascii="Arial" w:cs="Arial" w:eastAsia="Arial" w:hAnsi="Arial"/>
                <w:sz w:val="10"/>
                <w:szCs w:val="10"/>
                <w:b w:val="1"/>
                <w:bCs w:val="1"/>
                <w:color w:val="auto"/>
              </w:rPr>
              <w:t>Amounts</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2"/>
              </w:rPr>
              <w:t>Amounts</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Deficit)</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1"/>
              </w:rPr>
              <w:t>Income (Loss)</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8"/>
              </w:rPr>
              <w:t>Equity</w:t>
            </w:r>
          </w:p>
        </w:tc>
        <w:tc>
          <w:tcPr>
            <w:tcW w:w="720" w:type="dxa"/>
            <w:vAlign w:val="bottom"/>
          </w:tcPr>
          <w:p>
            <w:pPr>
              <w:jc w:val="center"/>
              <w:ind w:right="28"/>
              <w:spacing w:after="0"/>
              <w:rPr>
                <w:sz w:val="20"/>
                <w:szCs w:val="20"/>
                <w:color w:val="auto"/>
              </w:rPr>
            </w:pPr>
            <w:r>
              <w:rPr>
                <w:rFonts w:ascii="Arial" w:cs="Arial" w:eastAsia="Arial" w:hAnsi="Arial"/>
                <w:sz w:val="10"/>
                <w:szCs w:val="10"/>
                <w:b w:val="1"/>
                <w:bCs w:val="1"/>
                <w:color w:val="auto"/>
                <w:w w:val="99"/>
              </w:rPr>
              <w:t>Interest</w:t>
            </w:r>
          </w:p>
        </w:tc>
        <w:tc>
          <w:tcPr>
            <w:tcW w:w="440" w:type="dxa"/>
            <w:vAlign w:val="bottom"/>
          </w:tcPr>
          <w:p>
            <w:pPr>
              <w:jc w:val="center"/>
              <w:ind w:left="88"/>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975475" cy="200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5475" cy="20002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at December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40" w:type="dxa"/>
            <w:vAlign w:val="bottom"/>
          </w:tcPr>
          <w:p>
            <w:pPr>
              <w:ind w:left="20"/>
              <w:spacing w:after="0"/>
              <w:rPr>
                <w:sz w:val="20"/>
                <w:szCs w:val="20"/>
                <w:color w:val="auto"/>
              </w:rPr>
            </w:pPr>
            <w:r>
              <w:rPr>
                <w:rFonts w:ascii="Arial" w:cs="Arial" w:eastAsia="Arial" w:hAnsi="Arial"/>
                <w:sz w:val="12"/>
                <w:szCs w:val="12"/>
                <w:color w:val="auto"/>
              </w:rPr>
              <w:t>31, 2017</w:t>
            </w:r>
          </w:p>
        </w:tc>
        <w:tc>
          <w:tcPr>
            <w:tcW w:w="620" w:type="dxa"/>
            <w:vAlign w:val="bottom"/>
          </w:tcPr>
          <w:p>
            <w:pPr>
              <w:jc w:val="right"/>
              <w:ind w:right="28"/>
              <w:spacing w:after="0"/>
              <w:rPr>
                <w:sz w:val="20"/>
                <w:szCs w:val="20"/>
                <w:color w:val="auto"/>
              </w:rPr>
            </w:pPr>
            <w:r>
              <w:rPr>
                <w:rFonts w:ascii="Arial" w:cs="Arial" w:eastAsia="Arial" w:hAnsi="Arial"/>
                <w:sz w:val="10"/>
                <w:szCs w:val="10"/>
                <w:color w:val="auto"/>
              </w:rPr>
              <w:t>90,415,532</w:t>
            </w:r>
          </w:p>
        </w:tc>
        <w:tc>
          <w:tcPr>
            <w:tcW w:w="100" w:type="dxa"/>
            <w:vAlign w:val="bottom"/>
          </w:tcPr>
          <w:p>
            <w:pPr>
              <w:spacing w:after="0"/>
              <w:rPr>
                <w:sz w:val="13"/>
                <w:szCs w:val="13"/>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2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w w:val="95"/>
              </w:rPr>
              <w:t>17,880,239</w:t>
            </w:r>
          </w:p>
        </w:tc>
        <w:tc>
          <w:tcPr>
            <w:tcW w:w="100" w:type="dxa"/>
            <w:vAlign w:val="bottom"/>
          </w:tcPr>
          <w:p>
            <w:pPr>
              <w:spacing w:after="0"/>
              <w:rPr>
                <w:sz w:val="13"/>
                <w:szCs w:val="13"/>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48"/>
              <w:spacing w:after="0"/>
              <w:rPr>
                <w:sz w:val="20"/>
                <w:szCs w:val="20"/>
                <w:color w:val="auto"/>
              </w:rPr>
            </w:pPr>
            <w:r>
              <w:rPr>
                <w:rFonts w:ascii="Arial" w:cs="Arial" w:eastAsia="Arial" w:hAnsi="Arial"/>
                <w:sz w:val="10"/>
                <w:szCs w:val="10"/>
                <w:color w:val="auto"/>
              </w:rPr>
              <w:t>79,610,490</w:t>
            </w:r>
          </w:p>
        </w:tc>
        <w:tc>
          <w:tcPr>
            <w:tcW w:w="100" w:type="dxa"/>
            <w:vAlign w:val="bottom"/>
          </w:tcPr>
          <w:p>
            <w:pPr>
              <w:spacing w:after="0"/>
              <w:rPr>
                <w:sz w:val="13"/>
                <w:szCs w:val="13"/>
                <w:color w:val="auto"/>
              </w:rPr>
            </w:pPr>
          </w:p>
        </w:tc>
        <w:tc>
          <w:tcPr>
            <w:tcW w:w="1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(616,923)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8"/>
              <w:spacing w:after="0"/>
              <w:rPr>
                <w:sz w:val="20"/>
                <w:szCs w:val="20"/>
                <w:color w:val="auto"/>
              </w:rPr>
            </w:pPr>
            <w:r>
              <w:rPr>
                <w:rFonts w:ascii="Arial" w:cs="Arial" w:eastAsia="Arial" w:hAnsi="Arial"/>
                <w:sz w:val="10"/>
                <w:szCs w:val="10"/>
                <w:color w:val="auto"/>
                <w:w w:val="96"/>
              </w:rPr>
              <w:t>(11,041)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900,746</w:t>
            </w:r>
          </w:p>
        </w:tc>
        <w:tc>
          <w:tcPr>
            <w:tcW w:w="12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(62,129)</w:t>
            </w:r>
          </w:p>
        </w:tc>
        <w:tc>
          <w:tcPr>
            <w:tcW w:w="120" w:type="dxa"/>
            <w:vAlign w:val="bottom"/>
          </w:tcPr>
          <w:p>
            <w:pPr>
              <w:spacing w:after="0"/>
              <w:rPr>
                <w:sz w:val="13"/>
                <w:szCs w:val="13"/>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8"/>
              <w:spacing w:after="0"/>
              <w:rPr>
                <w:sz w:val="20"/>
                <w:szCs w:val="20"/>
                <w:color w:val="auto"/>
              </w:rPr>
            </w:pPr>
            <w:r>
              <w:rPr>
                <w:rFonts w:ascii="Arial" w:cs="Arial" w:eastAsia="Arial" w:hAnsi="Arial"/>
                <w:sz w:val="10"/>
                <w:szCs w:val="10"/>
                <w:color w:val="auto"/>
              </w:rPr>
              <w:t>2,991</w:t>
            </w:r>
          </w:p>
        </w:tc>
        <w:tc>
          <w:tcPr>
            <w:tcW w:w="12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830,569</w:t>
            </w:r>
          </w:p>
        </w:tc>
        <w:tc>
          <w:tcPr>
            <w:tcW w:w="120" w:type="dxa"/>
            <w:vAlign w:val="bottom"/>
          </w:tcPr>
          <w:p>
            <w:pPr>
              <w:spacing w:after="0"/>
              <w:rPr>
                <w:sz w:val="13"/>
                <w:szCs w:val="13"/>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$ 321,009</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1,151,578</w:t>
            </w:r>
          </w:p>
        </w:tc>
      </w:tr>
      <w:tr>
        <w:trPr>
          <w:trHeight w:val="150"/>
        </w:trPr>
        <w:tc>
          <w:tcPr>
            <w:tcW w:w="1340" w:type="dxa"/>
            <w:vAlign w:val="bottom"/>
          </w:tcPr>
          <w:p>
            <w:pPr>
              <w:ind w:left="160"/>
              <w:spacing w:after="0"/>
              <w:rPr>
                <w:sz w:val="20"/>
                <w:szCs w:val="20"/>
                <w:color w:val="auto"/>
              </w:rPr>
            </w:pPr>
            <w:r>
              <w:rPr>
                <w:rFonts w:ascii="Arial" w:cs="Arial" w:eastAsia="Arial" w:hAnsi="Arial"/>
                <w:sz w:val="12"/>
                <w:szCs w:val="12"/>
                <w:color w:val="auto"/>
              </w:rPr>
              <w:t>Share based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3"/>
        </w:trPr>
        <w:tc>
          <w:tcPr>
            <w:tcW w:w="1340" w:type="dxa"/>
            <w:vAlign w:val="bottom"/>
          </w:tcPr>
          <w:p>
            <w:pPr>
              <w:ind w:left="160"/>
              <w:spacing w:after="0"/>
              <w:rPr>
                <w:sz w:val="20"/>
                <w:szCs w:val="20"/>
                <w:color w:val="auto"/>
              </w:rPr>
            </w:pPr>
            <w:r>
              <w:rPr>
                <w:rFonts w:ascii="Arial" w:cs="Arial" w:eastAsia="Arial" w:hAnsi="Arial"/>
                <w:sz w:val="12"/>
                <w:szCs w:val="12"/>
                <w:color w:val="auto"/>
              </w:rPr>
              <w:t>compensation</w:t>
            </w:r>
          </w:p>
        </w:tc>
        <w:tc>
          <w:tcPr>
            <w:tcW w:w="620" w:type="dxa"/>
            <w:vAlign w:val="bottom"/>
          </w:tcPr>
          <w:p>
            <w:pPr>
              <w:jc w:val="right"/>
              <w:ind w:right="28"/>
              <w:spacing w:after="0"/>
              <w:rPr>
                <w:sz w:val="20"/>
                <w:szCs w:val="20"/>
                <w:color w:val="auto"/>
              </w:rPr>
            </w:pPr>
            <w:r>
              <w:rPr>
                <w:rFonts w:ascii="Arial" w:cs="Arial" w:eastAsia="Arial" w:hAnsi="Arial"/>
                <w:sz w:val="10"/>
                <w:szCs w:val="10"/>
                <w:color w:val="auto"/>
              </w:rPr>
              <w:t>670,505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28,708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28,708</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28,708</w:t>
            </w:r>
          </w:p>
        </w:tc>
      </w:tr>
      <w:tr>
        <w:trPr>
          <w:trHeight w:val="15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 of Class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 common stock</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(370,891)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(8,216)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(8,216)</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(8,216)</w:t>
            </w:r>
          </w:p>
        </w:tc>
      </w:tr>
      <w:tr>
        <w:trPr>
          <w:trHeight w:val="143"/>
        </w:trPr>
        <w:tc>
          <w:tcPr>
            <w:tcW w:w="1340" w:type="dxa"/>
            <w:vAlign w:val="bottom"/>
          </w:tcPr>
          <w:p>
            <w:pPr>
              <w:ind w:left="160"/>
              <w:spacing w:after="0"/>
              <w:rPr>
                <w:sz w:val="20"/>
                <w:szCs w:val="20"/>
                <w:color w:val="auto"/>
              </w:rPr>
            </w:pPr>
            <w:r>
              <w:rPr>
                <w:rFonts w:ascii="Arial" w:cs="Arial" w:eastAsia="Arial" w:hAnsi="Arial"/>
                <w:sz w:val="12"/>
                <w:szCs w:val="12"/>
                <w:color w:val="auto"/>
              </w:rPr>
              <w:t>Treasury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3"/>
        </w:trPr>
        <w:tc>
          <w:tcPr>
            <w:tcW w:w="1340" w:type="dxa"/>
            <w:vAlign w:val="bottom"/>
          </w:tcPr>
          <w:p>
            <w:pPr>
              <w:ind w:left="160"/>
              <w:spacing w:after="0"/>
              <w:rPr>
                <w:sz w:val="20"/>
                <w:szCs w:val="20"/>
                <w:color w:val="auto"/>
              </w:rPr>
            </w:pPr>
            <w:r>
              <w:rPr>
                <w:rFonts w:ascii="Arial" w:cs="Arial" w:eastAsia="Arial" w:hAnsi="Arial"/>
                <w:sz w:val="12"/>
                <w:szCs w:val="12"/>
                <w:color w:val="auto"/>
              </w:rPr>
              <w:t>purchases</w:t>
            </w:r>
          </w:p>
        </w:tc>
        <w:tc>
          <w:tcPr>
            <w:tcW w:w="620" w:type="dxa"/>
            <w:vAlign w:val="bottom"/>
          </w:tcPr>
          <w:p>
            <w:pPr>
              <w:jc w:val="right"/>
              <w:spacing w:after="0"/>
              <w:rPr>
                <w:sz w:val="20"/>
                <w:szCs w:val="20"/>
                <w:color w:val="auto"/>
              </w:rPr>
            </w:pPr>
            <w:r>
              <w:rPr>
                <w:rFonts w:ascii="Arial" w:cs="Arial" w:eastAsia="Arial" w:hAnsi="Arial"/>
                <w:sz w:val="10"/>
                <w:szCs w:val="10"/>
                <w:color w:val="auto"/>
              </w:rPr>
              <w:t>(664,450)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(1,561,848)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w w:val="96"/>
              </w:rPr>
              <w:t>(43,964)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(14,254)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(58,218)</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0"/>
                <w:szCs w:val="10"/>
                <w:color w:val="auto"/>
              </w:rPr>
              <w:t>(58,218)</w:t>
            </w:r>
          </w:p>
        </w:tc>
      </w:tr>
      <w:tr>
        <w:trPr>
          <w:trHeight w:val="15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Stock option</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exercised</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4,058,673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76,754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76,754</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76,754</w:t>
            </w:r>
          </w:p>
        </w:tc>
      </w:tr>
      <w:tr>
        <w:trPr>
          <w:trHeight w:val="254"/>
        </w:trPr>
        <w:tc>
          <w:tcPr>
            <w:tcW w:w="1340" w:type="dxa"/>
            <w:vAlign w:val="bottom"/>
          </w:tcPr>
          <w:p>
            <w:pPr>
              <w:ind w:left="160"/>
              <w:spacing w:after="0"/>
              <w:rPr>
                <w:sz w:val="20"/>
                <w:szCs w:val="20"/>
                <w:color w:val="auto"/>
              </w:rPr>
            </w:pPr>
            <w:r>
              <w:rPr>
                <w:rFonts w:ascii="Arial" w:cs="Arial" w:eastAsia="Arial" w:hAnsi="Arial"/>
                <w:sz w:val="12"/>
                <w:szCs w:val="12"/>
                <w:color w:val="auto"/>
              </w:rPr>
              <w:t>Net income</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2"/>
                <w:szCs w:val="22"/>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208,573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208,573</w:t>
            </w: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263,682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472,255</w:t>
            </w:r>
          </w:p>
        </w:tc>
      </w:tr>
      <w:tr>
        <w:trPr>
          <w:trHeight w:val="15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exchange</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translation</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adjustment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(2,270)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(2,270)</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(1,443)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(3,713)</w:t>
            </w:r>
          </w:p>
        </w:tc>
      </w:tr>
      <w:tr>
        <w:trPr>
          <w:trHeight w:val="143"/>
        </w:trPr>
        <w:tc>
          <w:tcPr>
            <w:tcW w:w="1340" w:type="dxa"/>
            <w:vAlign w:val="bottom"/>
          </w:tcPr>
          <w:p>
            <w:pPr>
              <w:ind w:left="160"/>
              <w:spacing w:after="0"/>
              <w:rPr>
                <w:sz w:val="20"/>
                <w:szCs w:val="20"/>
                <w:color w:val="auto"/>
              </w:rPr>
            </w:pPr>
            <w:r>
              <w:rPr>
                <w:rFonts w:ascii="Arial" w:cs="Arial" w:eastAsia="Arial" w:hAnsi="Arial"/>
                <w:sz w:val="12"/>
                <w:szCs w:val="12"/>
                <w:color w:val="auto"/>
              </w:rPr>
              <w:t>Distribution from</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Virtu Financial to</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non-controlling</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3"/>
        </w:trPr>
        <w:tc>
          <w:tcPr>
            <w:tcW w:w="1340" w:type="dxa"/>
            <w:vAlign w:val="bottom"/>
          </w:tcPr>
          <w:p>
            <w:pPr>
              <w:ind w:left="160"/>
              <w:spacing w:after="0"/>
              <w:rPr>
                <w:sz w:val="20"/>
                <w:szCs w:val="20"/>
                <w:color w:val="auto"/>
              </w:rPr>
            </w:pPr>
            <w:r>
              <w:rPr>
                <w:rFonts w:ascii="Arial" w:cs="Arial" w:eastAsia="Arial" w:hAnsi="Arial"/>
                <w:sz w:val="12"/>
                <w:szCs w:val="12"/>
                <w:color w:val="auto"/>
              </w:rPr>
              <w:t>interest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28"/>
              <w:spacing w:after="0"/>
              <w:rPr>
                <w:sz w:val="20"/>
                <w:szCs w:val="20"/>
                <w:color w:val="auto"/>
              </w:rPr>
            </w:pPr>
            <w:r>
              <w:rPr>
                <w:rFonts w:ascii="Arial" w:cs="Arial" w:eastAsia="Arial" w:hAnsi="Arial"/>
                <w:sz w:val="10"/>
                <w:szCs w:val="10"/>
                <w:color w:val="auto"/>
              </w:rPr>
              <w:t>(196,061)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0"/>
                <w:szCs w:val="10"/>
                <w:color w:val="auto"/>
              </w:rPr>
              <w:t>(196,061)</w:t>
            </w:r>
          </w:p>
        </w:tc>
      </w:tr>
      <w:tr>
        <w:trPr>
          <w:trHeight w:val="271"/>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Dividends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(74,327)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(74,327)</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(74,327)</w:t>
            </w:r>
          </w:p>
        </w:tc>
      </w:tr>
      <w:tr>
        <w:trPr>
          <w:trHeight w:val="143"/>
        </w:trPr>
        <w:tc>
          <w:tcPr>
            <w:tcW w:w="1340" w:type="dxa"/>
            <w:vAlign w:val="bottom"/>
          </w:tcPr>
          <w:p>
            <w:pPr>
              <w:ind w:left="160"/>
              <w:spacing w:after="0"/>
              <w:rPr>
                <w:sz w:val="20"/>
                <w:szCs w:val="20"/>
                <w:color w:val="auto"/>
              </w:rPr>
            </w:pPr>
            <w:r>
              <w:rPr>
                <w:rFonts w:ascii="Arial" w:cs="Arial" w:eastAsia="Arial" w:hAnsi="Arial"/>
                <w:sz w:val="12"/>
                <w:szCs w:val="12"/>
                <w:color w:val="auto"/>
              </w:rPr>
              <w:t>Issuance of common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stock in connection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with employee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3"/>
        </w:trPr>
        <w:tc>
          <w:tcPr>
            <w:tcW w:w="1340" w:type="dxa"/>
            <w:vAlign w:val="bottom"/>
          </w:tcPr>
          <w:p>
            <w:pPr>
              <w:ind w:left="160"/>
              <w:spacing w:after="0"/>
              <w:rPr>
                <w:sz w:val="20"/>
                <w:szCs w:val="20"/>
                <w:color w:val="auto"/>
              </w:rPr>
            </w:pPr>
            <w:r>
              <w:rPr>
                <w:rFonts w:ascii="Arial" w:cs="Arial" w:eastAsia="Arial" w:hAnsi="Arial"/>
                <w:sz w:val="12"/>
                <w:szCs w:val="12"/>
                <w:color w:val="auto"/>
              </w:rPr>
              <w:t>exchanges</w:t>
            </w:r>
          </w:p>
        </w:tc>
        <w:tc>
          <w:tcPr>
            <w:tcW w:w="620" w:type="dxa"/>
            <w:vAlign w:val="bottom"/>
          </w:tcPr>
          <w:p>
            <w:pPr>
              <w:jc w:val="right"/>
              <w:ind w:right="28"/>
              <w:spacing w:after="0"/>
              <w:rPr>
                <w:sz w:val="20"/>
                <w:szCs w:val="20"/>
                <w:color w:val="auto"/>
              </w:rPr>
            </w:pPr>
            <w:r>
              <w:rPr>
                <w:rFonts w:ascii="Arial" w:cs="Arial" w:eastAsia="Arial" w:hAnsi="Arial"/>
                <w:sz w:val="10"/>
                <w:szCs w:val="10"/>
                <w:color w:val="auto"/>
              </w:rPr>
              <w:t>3,508,217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w:t>
            </w:r>
          </w:p>
        </w:tc>
      </w:tr>
      <w:tr>
        <w:trPr>
          <w:trHeight w:val="15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Issuance of</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Common Stock in</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secondary offering,</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of offering costs</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10,518,750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98"/>
              </w:rPr>
              <w:t>(10,518,750)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(710)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(710)</w:t>
            </w:r>
          </w:p>
        </w:tc>
      </w:tr>
      <w:tr>
        <w:trPr>
          <w:trHeight w:val="143"/>
        </w:trPr>
        <w:tc>
          <w:tcPr>
            <w:tcW w:w="1340" w:type="dxa"/>
            <w:vAlign w:val="bottom"/>
          </w:tcPr>
          <w:p>
            <w:pPr>
              <w:ind w:left="160"/>
              <w:spacing w:after="0"/>
              <w:rPr>
                <w:sz w:val="20"/>
                <w:szCs w:val="20"/>
                <w:color w:val="auto"/>
              </w:rPr>
            </w:pPr>
            <w:r>
              <w:rPr>
                <w:rFonts w:ascii="Arial" w:cs="Arial" w:eastAsia="Arial" w:hAnsi="Arial"/>
                <w:sz w:val="12"/>
                <w:szCs w:val="12"/>
                <w:color w:val="auto"/>
              </w:rPr>
              <w:t>Repurchase of Virtu</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Financial Units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corresponding</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number of Class C</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common stock in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3"/>
        </w:trPr>
        <w:tc>
          <w:tcPr>
            <w:tcW w:w="1340" w:type="dxa"/>
            <w:vAlign w:val="bottom"/>
          </w:tcPr>
          <w:p>
            <w:pPr>
              <w:ind w:left="160"/>
              <w:spacing w:after="0"/>
              <w:rPr>
                <w:sz w:val="20"/>
                <w:szCs w:val="20"/>
                <w:color w:val="auto"/>
              </w:rPr>
            </w:pPr>
            <w:r>
              <w:rPr>
                <w:rFonts w:ascii="Arial" w:cs="Arial" w:eastAsia="Arial" w:hAnsi="Arial"/>
                <w:sz w:val="12"/>
                <w:szCs w:val="12"/>
                <w:color w:val="auto"/>
              </w:rPr>
              <w:t>employee exchanges</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(3,508,217)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w:t>
            </w:r>
          </w:p>
        </w:tc>
      </w:tr>
      <w:tr>
        <w:trPr>
          <w:trHeight w:val="15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Issuance of tax</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receivable</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agreements in</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employee exchange</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(3,439)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(3,439)</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(3,439)</w:t>
            </w:r>
          </w:p>
        </w:tc>
      </w:tr>
      <w:tr>
        <w:trPr>
          <w:trHeight w:val="123"/>
        </w:trPr>
        <w:tc>
          <w:tcPr>
            <w:tcW w:w="1340" w:type="dxa"/>
            <w:vAlign w:val="bottom"/>
          </w:tcPr>
          <w:p>
            <w:pPr>
              <w:ind w:left="20"/>
              <w:spacing w:after="0" w:line="124" w:lineRule="exact"/>
              <w:rPr>
                <w:sz w:val="20"/>
                <w:szCs w:val="20"/>
                <w:color w:val="auto"/>
              </w:rPr>
            </w:pPr>
            <w:r>
              <w:rPr>
                <w:rFonts w:ascii="Arial" w:cs="Arial" w:eastAsia="Arial" w:hAnsi="Arial"/>
                <w:sz w:val="12"/>
                <w:szCs w:val="12"/>
                <w:color w:val="auto"/>
              </w:rPr>
              <w:t>Balance at</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97"/>
        </w:trPr>
        <w:tc>
          <w:tcPr>
            <w:tcW w:w="1340" w:type="dxa"/>
            <w:vAlign w:val="bottom"/>
          </w:tcPr>
          <w:p>
            <w:pPr>
              <w:ind w:left="20"/>
              <w:spacing w:after="0"/>
              <w:rPr>
                <w:sz w:val="20"/>
                <w:szCs w:val="20"/>
                <w:color w:val="auto"/>
              </w:rPr>
            </w:pPr>
            <w:r>
              <w:rPr>
                <w:rFonts w:ascii="Arial" w:cs="Arial" w:eastAsia="Arial" w:hAnsi="Arial"/>
                <w:sz w:val="12"/>
                <w:szCs w:val="12"/>
                <w:color w:val="auto"/>
              </w:rPr>
              <w:t>September 30, 2018</w:t>
            </w:r>
          </w:p>
        </w:tc>
        <w:tc>
          <w:tcPr>
            <w:tcW w:w="620" w:type="dxa"/>
            <w:vAlign w:val="bottom"/>
          </w:tcPr>
          <w:p>
            <w:pPr>
              <w:jc w:val="right"/>
              <w:ind w:right="28"/>
              <w:spacing w:after="0"/>
              <w:rPr>
                <w:sz w:val="20"/>
                <w:szCs w:val="20"/>
                <w:color w:val="auto"/>
              </w:rPr>
            </w:pPr>
            <w:r>
              <w:rPr>
                <w:rFonts w:ascii="Arial" w:cs="Arial" w:eastAsia="Arial" w:hAnsi="Arial"/>
                <w:sz w:val="10"/>
                <w:szCs w:val="10"/>
                <w:color w:val="auto"/>
                <w:w w:val="93"/>
              </w:rPr>
              <w:t>108,507,227</w:t>
            </w:r>
          </w:p>
        </w:tc>
        <w:tc>
          <w:tcPr>
            <w:tcW w:w="100" w:type="dxa"/>
            <w:vAlign w:val="bottom"/>
          </w:tcPr>
          <w:p>
            <w:pPr>
              <w:spacing w:after="0"/>
              <w:rPr>
                <w:sz w:val="17"/>
                <w:szCs w:val="17"/>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2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w w:val="95"/>
              </w:rPr>
              <w:t>14,001,131</w:t>
            </w:r>
          </w:p>
        </w:tc>
        <w:tc>
          <w:tcPr>
            <w:tcW w:w="100" w:type="dxa"/>
            <w:vAlign w:val="bottom"/>
          </w:tcPr>
          <w:p>
            <w:pPr>
              <w:spacing w:after="0"/>
              <w:rPr>
                <w:sz w:val="17"/>
                <w:szCs w:val="17"/>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48"/>
              <w:spacing w:after="0"/>
              <w:rPr>
                <w:sz w:val="20"/>
                <w:szCs w:val="20"/>
                <w:color w:val="auto"/>
              </w:rPr>
            </w:pPr>
            <w:r>
              <w:rPr>
                <w:rFonts w:ascii="Arial" w:cs="Arial" w:eastAsia="Arial" w:hAnsi="Arial"/>
                <w:sz w:val="10"/>
                <w:szCs w:val="10"/>
                <w:color w:val="auto"/>
              </w:rPr>
              <w:t>69,091,740</w:t>
            </w:r>
          </w:p>
        </w:tc>
        <w:tc>
          <w:tcPr>
            <w:tcW w:w="100" w:type="dxa"/>
            <w:vAlign w:val="bottom"/>
          </w:tcPr>
          <w:p>
            <w:pPr>
              <w:spacing w:after="0"/>
              <w:rPr>
                <w:sz w:val="17"/>
                <w:szCs w:val="17"/>
                <w:color w:val="auto"/>
              </w:rPr>
            </w:pPr>
          </w:p>
        </w:tc>
        <w:tc>
          <w:tcPr>
            <w:tcW w:w="1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(2,178,771)</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8"/>
              <w:spacing w:after="0"/>
              <w:rPr>
                <w:sz w:val="20"/>
                <w:szCs w:val="20"/>
                <w:color w:val="auto"/>
              </w:rPr>
            </w:pPr>
            <w:r>
              <w:rPr>
                <w:rFonts w:ascii="Arial" w:cs="Arial" w:eastAsia="Arial" w:hAnsi="Arial"/>
                <w:sz w:val="10"/>
                <w:szCs w:val="10"/>
                <w:color w:val="auto"/>
                <w:w w:val="96"/>
              </w:rPr>
              <w:t>(55,005)</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48"/>
              <w:spacing w:after="0"/>
              <w:rPr>
                <w:sz w:val="20"/>
                <w:szCs w:val="20"/>
                <w:color w:val="auto"/>
              </w:rPr>
            </w:pPr>
            <w:r>
              <w:rPr>
                <w:rFonts w:ascii="Arial" w:cs="Arial" w:eastAsia="Arial" w:hAnsi="Arial"/>
                <w:sz w:val="10"/>
                <w:szCs w:val="10"/>
                <w:color w:val="auto"/>
                <w:w w:val="89"/>
              </w:rPr>
              <w:t>1,002,059</w:t>
            </w:r>
          </w:p>
        </w:tc>
        <w:tc>
          <w:tcPr>
            <w:tcW w:w="120" w:type="dxa"/>
            <w:vAlign w:val="bottom"/>
          </w:tcPr>
          <w:p>
            <w:pPr>
              <w:spacing w:after="0"/>
              <w:rPr>
                <w:sz w:val="17"/>
                <w:szCs w:val="17"/>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49,647</w:t>
            </w:r>
          </w:p>
        </w:tc>
        <w:tc>
          <w:tcPr>
            <w:tcW w:w="120" w:type="dxa"/>
            <w:vAlign w:val="bottom"/>
          </w:tcPr>
          <w:p>
            <w:pPr>
              <w:spacing w:after="0"/>
              <w:rPr>
                <w:sz w:val="17"/>
                <w:szCs w:val="17"/>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8"/>
              <w:spacing w:after="0"/>
              <w:rPr>
                <w:sz w:val="20"/>
                <w:szCs w:val="20"/>
                <w:color w:val="auto"/>
              </w:rPr>
            </w:pPr>
            <w:r>
              <w:rPr>
                <w:rFonts w:ascii="Arial" w:cs="Arial" w:eastAsia="Arial" w:hAnsi="Arial"/>
                <w:sz w:val="10"/>
                <w:szCs w:val="10"/>
                <w:color w:val="auto"/>
              </w:rPr>
              <w:t>721</w:t>
            </w:r>
          </w:p>
        </w:tc>
        <w:tc>
          <w:tcPr>
            <w:tcW w:w="120" w:type="dxa"/>
            <w:vAlign w:val="bottom"/>
          </w:tcPr>
          <w:p>
            <w:pPr>
              <w:spacing w:after="0"/>
              <w:rPr>
                <w:sz w:val="17"/>
                <w:szCs w:val="17"/>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997,424</w:t>
            </w:r>
          </w:p>
        </w:tc>
        <w:tc>
          <w:tcPr>
            <w:tcW w:w="12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$ 387,187</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1,384,611</w:t>
            </w:r>
          </w:p>
        </w:tc>
      </w:tr>
      <w:tr>
        <w:trPr>
          <w:trHeight w:val="204"/>
        </w:trPr>
        <w:tc>
          <w:tcPr>
            <w:tcW w:w="1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315"/>
        </w:trPr>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43"/>
        </w:trPr>
        <w:tc>
          <w:tcPr>
            <w:tcW w:w="1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December</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2"/>
        </w:trPr>
        <w:tc>
          <w:tcPr>
            <w:tcW w:w="1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31, 2016</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40,436,580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95"/>
              </w:rPr>
              <w:t>19,810,707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79,610,490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(453,066)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(8,358)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155,536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(1,254)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(252)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145,673</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94"/>
              </w:rPr>
              <w:t>$ 388,739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534,412</w:t>
            </w:r>
          </w:p>
        </w:tc>
      </w:tr>
      <w:tr>
        <w:trPr>
          <w:trHeight w:val="143"/>
        </w:trPr>
        <w:tc>
          <w:tcPr>
            <w:tcW w:w="1340" w:type="dxa"/>
            <w:vAlign w:val="bottom"/>
          </w:tcPr>
          <w:p>
            <w:pPr>
              <w:ind w:left="160"/>
              <w:spacing w:after="0"/>
              <w:rPr>
                <w:sz w:val="20"/>
                <w:szCs w:val="20"/>
                <w:color w:val="auto"/>
              </w:rPr>
            </w:pPr>
            <w:r>
              <w:rPr>
                <w:rFonts w:ascii="Arial" w:cs="Arial" w:eastAsia="Arial" w:hAnsi="Arial"/>
                <w:sz w:val="12"/>
                <w:szCs w:val="12"/>
                <w:color w:val="auto"/>
              </w:rPr>
              <w:t>Share based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3"/>
        </w:trPr>
        <w:tc>
          <w:tcPr>
            <w:tcW w:w="1340" w:type="dxa"/>
            <w:vAlign w:val="bottom"/>
          </w:tcPr>
          <w:p>
            <w:pPr>
              <w:ind w:left="160"/>
              <w:spacing w:after="0"/>
              <w:rPr>
                <w:sz w:val="20"/>
                <w:szCs w:val="20"/>
                <w:color w:val="auto"/>
              </w:rPr>
            </w:pPr>
            <w:r>
              <w:rPr>
                <w:rFonts w:ascii="Arial" w:cs="Arial" w:eastAsia="Arial" w:hAnsi="Arial"/>
                <w:sz w:val="12"/>
                <w:szCs w:val="12"/>
                <w:color w:val="auto"/>
              </w:rPr>
              <w:t>compensation</w:t>
            </w:r>
          </w:p>
        </w:tc>
        <w:tc>
          <w:tcPr>
            <w:tcW w:w="620" w:type="dxa"/>
            <w:vAlign w:val="bottom"/>
          </w:tcPr>
          <w:p>
            <w:pPr>
              <w:jc w:val="right"/>
              <w:ind w:right="28"/>
              <w:spacing w:after="0"/>
              <w:rPr>
                <w:sz w:val="20"/>
                <w:szCs w:val="20"/>
                <w:color w:val="auto"/>
              </w:rPr>
            </w:pPr>
            <w:r>
              <w:rPr>
                <w:rFonts w:ascii="Arial" w:cs="Arial" w:eastAsia="Arial" w:hAnsi="Arial"/>
                <w:sz w:val="10"/>
                <w:szCs w:val="10"/>
                <w:color w:val="auto"/>
              </w:rPr>
              <w:t>58,536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(34,019)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12,314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12,314</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12,314</w:t>
            </w:r>
          </w:p>
        </w:tc>
      </w:tr>
      <w:tr>
        <w:trPr>
          <w:trHeight w:val="15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 of Class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 common stock</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(286,150)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(4,592)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(4,592)</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(4,592)</w:t>
            </w:r>
          </w:p>
        </w:tc>
      </w:tr>
      <w:tr>
        <w:trPr>
          <w:trHeight w:val="143"/>
        </w:trPr>
        <w:tc>
          <w:tcPr>
            <w:tcW w:w="1340" w:type="dxa"/>
            <w:vAlign w:val="bottom"/>
          </w:tcPr>
          <w:p>
            <w:pPr>
              <w:ind w:left="160"/>
              <w:spacing w:after="0"/>
              <w:rPr>
                <w:sz w:val="20"/>
                <w:szCs w:val="20"/>
                <w:color w:val="auto"/>
              </w:rPr>
            </w:pPr>
            <w:r>
              <w:rPr>
                <w:rFonts w:ascii="Arial" w:cs="Arial" w:eastAsia="Arial" w:hAnsi="Arial"/>
                <w:sz w:val="12"/>
                <w:szCs w:val="12"/>
                <w:color w:val="auto"/>
              </w:rPr>
              <w:t>Treasury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3"/>
        </w:trPr>
        <w:tc>
          <w:tcPr>
            <w:tcW w:w="1340" w:type="dxa"/>
            <w:vAlign w:val="bottom"/>
          </w:tcPr>
          <w:p>
            <w:pPr>
              <w:ind w:left="160"/>
              <w:spacing w:after="0"/>
              <w:rPr>
                <w:sz w:val="20"/>
                <w:szCs w:val="20"/>
                <w:color w:val="auto"/>
              </w:rPr>
            </w:pPr>
            <w:r>
              <w:rPr>
                <w:rFonts w:ascii="Arial" w:cs="Arial" w:eastAsia="Arial" w:hAnsi="Arial"/>
                <w:sz w:val="12"/>
                <w:szCs w:val="12"/>
                <w:color w:val="auto"/>
              </w:rPr>
              <w:t>purchases</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(8,326)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rPr>
              <w:t>(147)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(147)</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0"/>
                <w:szCs w:val="10"/>
                <w:color w:val="auto"/>
              </w:rPr>
              <w:t>(147)</w:t>
            </w:r>
          </w:p>
        </w:tc>
      </w:tr>
      <w:tr>
        <w:trPr>
          <w:trHeight w:val="271"/>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income</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(8,037)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(8,037)</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(6,466)</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(14,503)</w:t>
            </w:r>
          </w:p>
        </w:tc>
      </w:tr>
      <w:tr>
        <w:trPr>
          <w:trHeight w:val="143"/>
        </w:trPr>
        <w:tc>
          <w:tcPr>
            <w:tcW w:w="1340" w:type="dxa"/>
            <w:vAlign w:val="bottom"/>
          </w:tcPr>
          <w:p>
            <w:pPr>
              <w:ind w:left="160"/>
              <w:spacing w:after="0"/>
              <w:rPr>
                <w:sz w:val="20"/>
                <w:szCs w:val="20"/>
                <w:color w:val="auto"/>
              </w:rPr>
            </w:pPr>
            <w:r>
              <w:rPr>
                <w:rFonts w:ascii="Arial" w:cs="Arial" w:eastAsia="Arial" w:hAnsi="Arial"/>
                <w:sz w:val="12"/>
                <w:szCs w:val="12"/>
                <w:color w:val="auto"/>
              </w:rPr>
              <w:t>Foreign exchange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translation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3"/>
        </w:trPr>
        <w:tc>
          <w:tcPr>
            <w:tcW w:w="1340" w:type="dxa"/>
            <w:vAlign w:val="bottom"/>
          </w:tcPr>
          <w:p>
            <w:pPr>
              <w:ind w:left="160"/>
              <w:spacing w:after="0"/>
              <w:rPr>
                <w:sz w:val="20"/>
                <w:szCs w:val="20"/>
                <w:color w:val="auto"/>
              </w:rPr>
            </w:pPr>
            <w:r>
              <w:rPr>
                <w:rFonts w:ascii="Arial" w:cs="Arial" w:eastAsia="Arial" w:hAnsi="Arial"/>
                <w:sz w:val="12"/>
                <w:szCs w:val="12"/>
                <w:color w:val="auto"/>
              </w:rPr>
              <w:t>adjustment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0"/>
                <w:szCs w:val="10"/>
                <w:color w:val="auto"/>
              </w:rPr>
              <w:t>2,848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2,848</w:t>
            </w:r>
          </w:p>
        </w:tc>
        <w:tc>
          <w:tcPr>
            <w:tcW w:w="12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5,452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8,300</w:t>
            </w:r>
          </w:p>
        </w:tc>
      </w:tr>
      <w:tr>
        <w:trPr>
          <w:trHeight w:val="15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Distribution from</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Virtu Financial to</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non-controlling</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interest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(65,573)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(65,573)</w:t>
            </w:r>
          </w:p>
        </w:tc>
      </w:tr>
      <w:tr>
        <w:trPr>
          <w:trHeight w:val="254"/>
        </w:trPr>
        <w:tc>
          <w:tcPr>
            <w:tcW w:w="1340" w:type="dxa"/>
            <w:vAlign w:val="bottom"/>
          </w:tcPr>
          <w:p>
            <w:pPr>
              <w:ind w:left="160"/>
              <w:spacing w:after="0"/>
              <w:rPr>
                <w:sz w:val="20"/>
                <w:szCs w:val="20"/>
                <w:color w:val="auto"/>
              </w:rPr>
            </w:pPr>
            <w:r>
              <w:rPr>
                <w:rFonts w:ascii="Arial" w:cs="Arial" w:eastAsia="Arial" w:hAnsi="Arial"/>
                <w:sz w:val="12"/>
                <w:szCs w:val="12"/>
                <w:color w:val="auto"/>
              </w:rPr>
              <w:t>Dividends</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2"/>
                <w:szCs w:val="22"/>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(42,013)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(42,013)</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0"/>
                <w:szCs w:val="10"/>
                <w:color w:val="auto"/>
              </w:rPr>
              <w:t>(42,013)</w:t>
            </w:r>
          </w:p>
        </w:tc>
      </w:tr>
      <w:tr>
        <w:trPr>
          <w:trHeight w:val="15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Issuance of Class A</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common stock</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48,076,924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735,973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735,974</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735,974</w:t>
            </w:r>
          </w:p>
        </w:tc>
      </w:tr>
      <w:tr>
        <w:trPr>
          <w:trHeight w:val="143"/>
        </w:trPr>
        <w:tc>
          <w:tcPr>
            <w:tcW w:w="1340" w:type="dxa"/>
            <w:vAlign w:val="bottom"/>
          </w:tcPr>
          <w:p>
            <w:pPr>
              <w:ind w:left="160"/>
              <w:spacing w:after="0"/>
              <w:rPr>
                <w:sz w:val="20"/>
                <w:szCs w:val="20"/>
                <w:color w:val="auto"/>
              </w:rPr>
            </w:pPr>
            <w:r>
              <w:rPr>
                <w:rFonts w:ascii="Arial" w:cs="Arial" w:eastAsia="Arial" w:hAnsi="Arial"/>
                <w:sz w:val="12"/>
                <w:szCs w:val="12"/>
                <w:color w:val="auto"/>
              </w:rPr>
              <w:t>Issuance of common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stock in connection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with employee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3"/>
        </w:trPr>
        <w:tc>
          <w:tcPr>
            <w:tcW w:w="1340" w:type="dxa"/>
            <w:vAlign w:val="bottom"/>
          </w:tcPr>
          <w:p>
            <w:pPr>
              <w:ind w:left="160"/>
              <w:spacing w:after="0"/>
              <w:rPr>
                <w:sz w:val="20"/>
                <w:szCs w:val="20"/>
                <w:color w:val="auto"/>
              </w:rPr>
            </w:pPr>
            <w:r>
              <w:rPr>
                <w:rFonts w:ascii="Arial" w:cs="Arial" w:eastAsia="Arial" w:hAnsi="Arial"/>
                <w:sz w:val="12"/>
                <w:szCs w:val="12"/>
                <w:color w:val="auto"/>
              </w:rPr>
              <w:t>exchanges</w:t>
            </w:r>
          </w:p>
        </w:tc>
        <w:tc>
          <w:tcPr>
            <w:tcW w:w="620" w:type="dxa"/>
            <w:vAlign w:val="bottom"/>
          </w:tcPr>
          <w:p>
            <w:pPr>
              <w:jc w:val="right"/>
              <w:ind w:right="28"/>
              <w:spacing w:after="0"/>
              <w:rPr>
                <w:sz w:val="20"/>
                <w:szCs w:val="20"/>
                <w:color w:val="auto"/>
              </w:rPr>
            </w:pPr>
            <w:r>
              <w:rPr>
                <w:rFonts w:ascii="Arial" w:cs="Arial" w:eastAsia="Arial" w:hAnsi="Arial"/>
                <w:sz w:val="10"/>
                <w:szCs w:val="10"/>
                <w:color w:val="auto"/>
              </w:rPr>
              <w:t>1,146,315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w:t>
            </w:r>
          </w:p>
        </w:tc>
      </w:tr>
      <w:tr>
        <w:trPr>
          <w:trHeight w:val="15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 of Virtu</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Financial Units and</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corresponding</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number of Class C</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common stock in</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1"/>
        </w:trPr>
        <w:tc>
          <w:tcPr>
            <w:tcW w:w="134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2"/>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employee exchanges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(1,146,315)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w:t>
            </w:r>
          </w:p>
        </w:tc>
      </w:tr>
      <w:tr>
        <w:trPr>
          <w:trHeight w:val="143"/>
        </w:trPr>
        <w:tc>
          <w:tcPr>
            <w:tcW w:w="1340" w:type="dxa"/>
            <w:vAlign w:val="bottom"/>
          </w:tcPr>
          <w:p>
            <w:pPr>
              <w:ind w:left="160"/>
              <w:spacing w:after="0"/>
              <w:rPr>
                <w:sz w:val="20"/>
                <w:szCs w:val="20"/>
                <w:color w:val="auto"/>
              </w:rPr>
            </w:pPr>
            <w:r>
              <w:rPr>
                <w:rFonts w:ascii="Arial" w:cs="Arial" w:eastAsia="Arial" w:hAnsi="Arial"/>
                <w:sz w:val="12"/>
                <w:szCs w:val="12"/>
                <w:color w:val="auto"/>
              </w:rPr>
              <w:t>Issuance of tax</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receivable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agreements in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1"/>
        </w:trPr>
        <w:tc>
          <w:tcPr>
            <w:tcW w:w="1340" w:type="dxa"/>
            <w:vAlign w:val="bottom"/>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5"/>
        </w:trPr>
        <w:tc>
          <w:tcPr>
            <w:tcW w:w="1340" w:type="dxa"/>
            <w:vAlign w:val="bottom"/>
          </w:tcPr>
          <w:p>
            <w:pPr>
              <w:ind w:left="160"/>
              <w:spacing w:after="0"/>
              <w:rPr>
                <w:sz w:val="20"/>
                <w:szCs w:val="20"/>
                <w:color w:val="auto"/>
              </w:rPr>
            </w:pPr>
            <w:r>
              <w:rPr>
                <w:rFonts w:ascii="Arial" w:cs="Arial" w:eastAsia="Arial" w:hAnsi="Arial"/>
                <w:sz w:val="12"/>
                <w:szCs w:val="12"/>
                <w:color w:val="auto"/>
              </w:rPr>
              <w:t>employee exchange</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1,355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0"/>
                <w:szCs w:val="10"/>
                <w:color w:val="auto"/>
              </w:rPr>
              <w:t>1,355</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1,355</w:t>
            </w:r>
          </w:p>
        </w:tc>
      </w:tr>
      <w:tr>
        <w:trPr>
          <w:trHeight w:val="130"/>
        </w:trPr>
        <w:tc>
          <w:tcPr>
            <w:tcW w:w="134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2"/>
                <w:szCs w:val="12"/>
                <w:color w:val="auto"/>
              </w:rPr>
              <w:t>Balance at September</w:t>
            </w: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57"/>
        </w:trPr>
        <w:tc>
          <w:tcPr>
            <w:tcW w:w="1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30, 2017</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89,718,355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95"/>
              </w:rPr>
              <w:t>18,344,223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79,610,490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(461,392)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(8,505)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900,586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(51,304)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2,596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843,375</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94"/>
              </w:rPr>
              <w:t>$ 322,152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94"/>
              </w:rPr>
              <w:t>1,165,527</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the condensed Consolidated Financial Statements (Unaudited).</w:t>
      </w:r>
    </w:p>
    <w:p>
      <w:pPr>
        <w:sectPr>
          <w:pgSz w:w="11900" w:h="16838" w:orient="portrait"/>
          <w:cols w:equalWidth="0" w:num="1">
            <w:col w:w="11000"/>
          </w:cols>
          <w:pgMar w:left="460" w:top="127" w:right="439" w:bottom="709"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000"/>
          </w:cols>
          <w:pgMar w:left="460" w:top="127" w:right="439" w:bottom="709" w:gutter="0" w:footer="0" w:header="0"/>
          <w:type w:val="continuous"/>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8"/>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61"/>
        </w:trPr>
        <w:tc>
          <w:tcPr>
            <w:tcW w:w="8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472,255</w:t>
            </w:r>
          </w:p>
        </w:tc>
        <w:tc>
          <w:tcPr>
            <w:tcW w:w="100" w:type="dxa"/>
            <w:vAlign w:val="bottom"/>
          </w:tcPr>
          <w:p>
            <w:pPr>
              <w:spacing w:after="0"/>
              <w:rPr>
                <w:sz w:val="22"/>
                <w:szCs w:val="22"/>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(14,503)</w:t>
            </w:r>
          </w:p>
        </w:tc>
      </w:tr>
      <w:tr>
        <w:trPr>
          <w:trHeight w:val="268"/>
        </w:trPr>
        <w:tc>
          <w:tcPr>
            <w:tcW w:w="8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47,558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29,157</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20,042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6,546</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Debt issue cost related to debt refinancing and prepayment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10,645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9,351</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Amortization of debt issuance costs and deferred financing fees</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7,973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3,470</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Termination of office leases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23,300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Share based compensation</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22,537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10,924</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Reserve for legal matters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Write-down of assets</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3,221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1,335</w:t>
            </w:r>
          </w:p>
        </w:tc>
      </w:tr>
      <w:tr>
        <w:trPr>
          <w:trHeight w:val="215"/>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Connectivity early termination</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Deferred taxes</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8,818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1,489</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Gain on sale of businesses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8860" w:type="dxa"/>
            <w:vAlign w:val="bottom"/>
            <w:gridSpan w:val="2"/>
          </w:tcPr>
          <w:p>
            <w:pPr>
              <w:ind w:left="260"/>
              <w:spacing w:after="0"/>
              <w:rPr>
                <w:sz w:val="20"/>
                <w:szCs w:val="20"/>
                <w:color w:val="auto"/>
              </w:rPr>
            </w:pPr>
            <w:r>
              <w:rPr>
                <w:rFonts w:ascii="Arial" w:cs="Arial" w:eastAsia="Arial" w:hAnsi="Arial"/>
                <w:sz w:val="14"/>
                <w:szCs w:val="14"/>
                <w:color w:val="auto"/>
              </w:rPr>
              <w:t>Securities borrowed</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165,383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101,046</w:t>
            </w:r>
          </w:p>
        </w:tc>
      </w:tr>
      <w:tr>
        <w:trPr>
          <w:trHeight w:val="268"/>
        </w:trPr>
        <w:tc>
          <w:tcPr>
            <w:tcW w:w="88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purchased under agreements to resell</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8,645</w:t>
            </w:r>
          </w:p>
        </w:tc>
      </w:tr>
      <w:tr>
        <w:trPr>
          <w:trHeight w:val="257"/>
        </w:trPr>
        <w:tc>
          <w:tcPr>
            <w:tcW w:w="8860" w:type="dxa"/>
            <w:vAlign w:val="bottom"/>
            <w:gridSpan w:val="2"/>
          </w:tcPr>
          <w:p>
            <w:pPr>
              <w:ind w:left="260"/>
              <w:spacing w:after="0"/>
              <w:rPr>
                <w:sz w:val="20"/>
                <w:szCs w:val="20"/>
                <w:color w:val="auto"/>
              </w:rPr>
            </w:pPr>
            <w:r>
              <w:rPr>
                <w:rFonts w:ascii="Arial" w:cs="Arial" w:eastAsia="Arial" w:hAnsi="Arial"/>
                <w:sz w:val="14"/>
                <w:szCs w:val="14"/>
                <w:color w:val="auto"/>
              </w:rPr>
              <w:t>Receivables from broker dealers and clearing organizations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(143,746)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21,241</w:t>
            </w:r>
          </w:p>
        </w:tc>
      </w:tr>
      <w:tr>
        <w:trPr>
          <w:trHeight w:val="268"/>
        </w:trPr>
        <w:tc>
          <w:tcPr>
            <w:tcW w:w="88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Trading assets, at fair value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(214,131)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1,020,821</w:t>
            </w:r>
          </w:p>
        </w:tc>
      </w:tr>
      <w:tr>
        <w:trPr>
          <w:trHeight w:val="257"/>
        </w:trPr>
        <w:tc>
          <w:tcPr>
            <w:tcW w:w="8860" w:type="dxa"/>
            <w:vAlign w:val="bottom"/>
            <w:gridSpan w:val="2"/>
          </w:tcPr>
          <w:p>
            <w:pPr>
              <w:ind w:left="26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112,938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26,248</w:t>
            </w:r>
          </w:p>
        </w:tc>
      </w:tr>
      <w:tr>
        <w:trPr>
          <w:trHeight w:val="268"/>
        </w:trPr>
        <w:tc>
          <w:tcPr>
            <w:tcW w:w="88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loaned</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45,458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194,523</w:t>
            </w:r>
          </w:p>
        </w:tc>
      </w:tr>
      <w:tr>
        <w:trPr>
          <w:trHeight w:val="257"/>
        </w:trPr>
        <w:tc>
          <w:tcPr>
            <w:tcW w:w="8860" w:type="dxa"/>
            <w:vAlign w:val="bottom"/>
            <w:gridSpan w:val="2"/>
          </w:tcPr>
          <w:p>
            <w:pPr>
              <w:ind w:left="260"/>
              <w:spacing w:after="0"/>
              <w:rPr>
                <w:sz w:val="20"/>
                <w:szCs w:val="20"/>
                <w:color w:val="auto"/>
              </w:rPr>
            </w:pPr>
            <w:r>
              <w:rPr>
                <w:rFonts w:ascii="Arial" w:cs="Arial" w:eastAsia="Arial" w:hAnsi="Arial"/>
                <w:sz w:val="14"/>
                <w:szCs w:val="14"/>
                <w:color w:val="auto"/>
              </w:rPr>
              <w:t>Securities sold under agreements to repurchase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(89,404)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(220,719)</w:t>
            </w:r>
          </w:p>
        </w:tc>
      </w:tr>
      <w:tr>
        <w:trPr>
          <w:trHeight w:val="268"/>
        </w:trPr>
        <w:tc>
          <w:tcPr>
            <w:tcW w:w="88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Payables to broker dealers and clearing organizations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236,138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(393,564)</w:t>
            </w:r>
          </w:p>
        </w:tc>
      </w:tr>
      <w:tr>
        <w:trPr>
          <w:trHeight w:val="257"/>
        </w:trPr>
        <w:tc>
          <w:tcPr>
            <w:tcW w:w="8860" w:type="dxa"/>
            <w:vAlign w:val="bottom"/>
            <w:gridSpan w:val="2"/>
          </w:tcPr>
          <w:p>
            <w:pPr>
              <w:ind w:left="260"/>
              <w:spacing w:after="0"/>
              <w:rPr>
                <w:sz w:val="20"/>
                <w:szCs w:val="20"/>
                <w:color w:val="auto"/>
              </w:rPr>
            </w:pPr>
            <w:r>
              <w:rPr>
                <w:rFonts w:ascii="Arial" w:cs="Arial" w:eastAsia="Arial" w:hAnsi="Arial"/>
                <w:sz w:val="14"/>
                <w:szCs w:val="14"/>
                <w:color w:val="auto"/>
              </w:rPr>
              <w:t>Trading liabilities, at fair value</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13,496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(569,911)</w:t>
            </w:r>
          </w:p>
        </w:tc>
      </w:tr>
      <w:tr>
        <w:trPr>
          <w:trHeight w:val="262"/>
        </w:trPr>
        <w:tc>
          <w:tcPr>
            <w:tcW w:w="88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Accounts payable and accrued expenses and other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(92,496)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(17,708)</w:t>
            </w:r>
          </w:p>
        </w:tc>
      </w:tr>
      <w:tr>
        <w:trPr>
          <w:trHeight w:val="242"/>
        </w:trPr>
        <w:tc>
          <w:tcPr>
            <w:tcW w:w="8860" w:type="dxa"/>
            <w:vAlign w:val="bottom"/>
            <w:gridSpan w:val="2"/>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313,511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215,771</w:t>
            </w:r>
          </w:p>
        </w:tc>
      </w:tr>
      <w:tr>
        <w:trPr>
          <w:trHeight w:val="268"/>
        </w:trPr>
        <w:tc>
          <w:tcPr>
            <w:tcW w:w="8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88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Development of capitalized software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(7,929)</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Acquisition of property and equipment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(18,715)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(13,932)</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Proceeds from sale of telecommunication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Proceeds from sale of BondPoint</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400,192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 of KCG Holdings, net of cash acquired, described in Note 3</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(799,303)</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Acquisition of Teza Technologies</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(5,594)</w:t>
            </w:r>
          </w:p>
        </w:tc>
      </w:tr>
      <w:tr>
        <w:trPr>
          <w:trHeight w:val="262"/>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Proceeds from sale of DMM business</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300</w:t>
            </w:r>
          </w:p>
        </w:tc>
      </w:tr>
      <w:tr>
        <w:trPr>
          <w:trHeight w:val="242"/>
        </w:trPr>
        <w:tc>
          <w:tcPr>
            <w:tcW w:w="8860" w:type="dxa"/>
            <w:vAlign w:val="bottom"/>
            <w:gridSpan w:val="2"/>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363,646</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(826,458)</w:t>
            </w:r>
          </w:p>
        </w:tc>
      </w:tr>
      <w:tr>
        <w:trPr>
          <w:trHeight w:val="268"/>
        </w:trPr>
        <w:tc>
          <w:tcPr>
            <w:tcW w:w="8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88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Distribution from Virtu Financial to non-controlling interest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(65,573)</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Dividends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(74,327)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(42,013)</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Repurchase of Class C common stock</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Purchase of treasury stock</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(58,218)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Stock option exercised</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76,754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Short-term borrowings,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Proceeds from long-term borrowings</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1,115,036</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Payments on repurchase of non-voting common interest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(6,092)</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long term borrowings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(206,473)</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Repayment of KCG Notes</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(480,987)</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Tax receivable agreement obligations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(7,045)</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Debt issuance costs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(2,261)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(52,528)</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Issuance of common stock, net of offering costs</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735,973</w:t>
            </w:r>
          </w:p>
        </w:tc>
      </w:tr>
      <w:tr>
        <w:trPr>
          <w:trHeight w:val="257"/>
        </w:trPr>
        <w:tc>
          <w:tcPr>
            <w:tcW w:w="88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Issuance of common stock in connection with secondary offering, net of offering costs</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248"/>
        </w:trPr>
        <w:tc>
          <w:tcPr>
            <w:tcW w:w="8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cash provided by (used in) financing activities</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(790,398)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980,151</w:t>
            </w:r>
          </w:p>
        </w:tc>
      </w:tr>
    </w:tbl>
    <w:p>
      <w:pPr>
        <w:spacing w:after="0" w:line="200" w:lineRule="exact"/>
        <w:rPr>
          <w:sz w:val="20"/>
          <w:szCs w:val="20"/>
          <w:color w:val="auto"/>
        </w:rPr>
      </w:pPr>
    </w:p>
    <w:p>
      <w:pPr>
        <w:sectPr>
          <w:pgSz w:w="11900" w:h="16838" w:orient="portrait"/>
          <w:cols w:equalWidth="0" w:num="1">
            <w:col w:w="11420"/>
          </w:cols>
          <w:pgMar w:left="240" w:top="127" w:right="239" w:bottom="0" w:gutter="0" w:footer="0" w:header="0"/>
        </w:sectPr>
      </w:pP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7" w:right="239" w:bottom="0" w:gutter="0" w:footer="0" w:header="0"/>
          <w:type w:val="continuous"/>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8,300</w:t>
            </w:r>
          </w:p>
        </w:tc>
      </w:tr>
      <w:tr>
        <w:trPr>
          <w:trHeight w:val="261"/>
        </w:trPr>
        <w:tc>
          <w:tcPr>
            <w:tcW w:w="8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2"/>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(116,954)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377,764</w:t>
            </w:r>
          </w:p>
        </w:tc>
      </w:tr>
      <w:tr>
        <w:trPr>
          <w:trHeight w:val="257"/>
        </w:trPr>
        <w:tc>
          <w:tcPr>
            <w:tcW w:w="8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532,887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181,415</w:t>
            </w:r>
          </w:p>
        </w:tc>
      </w:tr>
      <w:tr>
        <w:trPr>
          <w:trHeight w:val="23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415,933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559,179</w:t>
            </w:r>
          </w:p>
        </w:tc>
      </w:tr>
      <w:tr>
        <w:trPr>
          <w:trHeight w:val="20"/>
        </w:trPr>
        <w:tc>
          <w:tcPr>
            <w:tcW w:w="8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2"/>
        </w:trPr>
        <w:tc>
          <w:tcPr>
            <w:tcW w:w="8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2"/>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8820" w:type="dxa"/>
            <w:vAlign w:val="bottom"/>
          </w:tcPr>
          <w:p>
            <w:pPr>
              <w:ind w:left="160"/>
              <w:spacing w:after="0"/>
              <w:rPr>
                <w:sz w:val="20"/>
                <w:szCs w:val="20"/>
                <w:color w:val="auto"/>
              </w:rPr>
            </w:pPr>
            <w:r>
              <w:rPr>
                <w:rFonts w:ascii="Arial" w:cs="Arial" w:eastAsia="Arial" w:hAnsi="Arial"/>
                <w:sz w:val="14"/>
                <w:szCs w:val="14"/>
                <w:color w:val="auto"/>
              </w:rPr>
              <w:t>Cash paid for interest</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89,102</w:t>
            </w:r>
          </w:p>
        </w:tc>
        <w:tc>
          <w:tcPr>
            <w:tcW w:w="100" w:type="dxa"/>
            <w:vAlign w:val="bottom"/>
          </w:tcPr>
          <w:p>
            <w:pPr>
              <w:spacing w:after="0"/>
              <w:rPr>
                <w:sz w:val="22"/>
                <w:szCs w:val="22"/>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59,524</w:t>
            </w:r>
          </w:p>
        </w:tc>
      </w:tr>
      <w:tr>
        <w:trPr>
          <w:trHeight w:val="268"/>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paid for taxes</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84,337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5,744</w:t>
            </w:r>
          </w:p>
        </w:tc>
      </w:tr>
      <w:tr>
        <w:trPr>
          <w:trHeight w:val="262"/>
        </w:trPr>
        <w:tc>
          <w:tcPr>
            <w:tcW w:w="8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2"/>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investing activities</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8820" w:type="dxa"/>
            <w:vAlign w:val="bottom"/>
          </w:tcPr>
          <w:p>
            <w:pPr>
              <w:ind w:left="160"/>
              <w:spacing w:after="0"/>
              <w:rPr>
                <w:sz w:val="20"/>
                <w:szCs w:val="20"/>
                <w:color w:val="auto"/>
              </w:rPr>
            </w:pPr>
            <w:r>
              <w:rPr>
                <w:rFonts w:ascii="Arial" w:cs="Arial" w:eastAsia="Arial" w:hAnsi="Arial"/>
                <w:sz w:val="14"/>
                <w:szCs w:val="14"/>
                <w:color w:val="auto"/>
              </w:rPr>
              <w:t>Share based compensation to developers relating to capitalized software</w:t>
            </w:r>
          </w:p>
        </w:tc>
        <w:tc>
          <w:tcPr>
            <w:tcW w:w="36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2,055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1,448</w:t>
            </w:r>
          </w:p>
        </w:tc>
      </w:tr>
      <w:tr>
        <w:trPr>
          <w:trHeight w:val="268"/>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financing activities</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57"/>
        </w:trPr>
        <w:tc>
          <w:tcPr>
            <w:tcW w:w="8820" w:type="dxa"/>
            <w:vAlign w:val="bottom"/>
          </w:tcPr>
          <w:p>
            <w:pPr>
              <w:ind w:left="160"/>
              <w:spacing w:after="0"/>
              <w:rPr>
                <w:sz w:val="20"/>
                <w:szCs w:val="20"/>
                <w:color w:val="auto"/>
              </w:rPr>
            </w:pPr>
            <w:r>
              <w:rPr>
                <w:rFonts w:ascii="Arial" w:cs="Arial" w:eastAsia="Arial" w:hAnsi="Arial"/>
                <w:sz w:val="14"/>
                <w:szCs w:val="14"/>
                <w:color w:val="auto"/>
              </w:rPr>
              <w:t>Tax receivable agreement described in Note 6</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Secondary offerings described in Note 16</w:t>
            </w:r>
          </w:p>
        </w:tc>
        <w:tc>
          <w:tcPr>
            <w:tcW w:w="3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bl>
    <w:p>
      <w:pPr>
        <w:spacing w:after="0" w:line="145"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shares and per share amounts,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224"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color w:val="auto"/>
        </w:rPr>
        <w:t>The accompanying condensed consolidated financial statements include the accounts and operations of Virtu Financial, Inc. (“VFI” or, collectively with its wholly owned or controlled subsidiaries, the “Company”) beginning with its initial public offering (“IPO”) in April of 2015, along with the historical accounts and operations of Virtu Financial LLC (“Virtu Financial”) prior to the Company’s IPO. VFI is a Delaware corporation whose primary asset is its ownership interest in Virtu Financial, which it acquired pursuant to and subsequent to certain reorganization transactions (the “Reorganization Transactions”) consummated in connection with its IPO. As of September 30, 2018, VFI owned approximately 56.6% of the membership interests of Virtu Financial. VFI is the sole managing member of Virtu Financial and operates and controls all of the businesses and affairs of Virtu Financial and, through Virtu Financial and its subsidiaries (the “Group”), continues to conduct the business now conducted by such subsidiaries.</w:t>
      </w:r>
    </w:p>
    <w:p>
      <w:pPr>
        <w:spacing w:after="0" w:line="180" w:lineRule="exact"/>
        <w:rPr>
          <w:sz w:val="20"/>
          <w:szCs w:val="20"/>
          <w:color w:val="auto"/>
        </w:rPr>
      </w:pPr>
    </w:p>
    <w:p>
      <w:pPr>
        <w:ind w:right="100" w:firstLine="315"/>
        <w:spacing w:after="0" w:line="268" w:lineRule="auto"/>
        <w:rPr>
          <w:sz w:val="20"/>
          <w:szCs w:val="20"/>
          <w:color w:val="auto"/>
        </w:rPr>
      </w:pPr>
      <w:r>
        <w:rPr>
          <w:rFonts w:ascii="Arial" w:cs="Arial" w:eastAsia="Arial" w:hAnsi="Arial"/>
          <w:sz w:val="17"/>
          <w:szCs w:val="17"/>
          <w:color w:val="auto"/>
        </w:rPr>
        <w:t>The Company is a leading financial firm that leverages cutting edge technology to deliver liquidity to the global markets and innovative, transparent market making trading solutions to its clients. The Company has broad diversification, in combination with its proprietary technology platform and low-cost structure, which enables the Company to facilitate risk transfer between global capital markets participants by supplying competitive liquidity and execution services while at the same time earning attractive margins and returns.</w:t>
      </w:r>
    </w:p>
    <w:p>
      <w:pPr>
        <w:spacing w:after="0" w:line="177" w:lineRule="exact"/>
        <w:rPr>
          <w:sz w:val="20"/>
          <w:szCs w:val="20"/>
          <w:color w:val="auto"/>
        </w:rPr>
      </w:pPr>
    </w:p>
    <w:p>
      <w:pPr>
        <w:ind w:right="60" w:firstLine="315"/>
        <w:spacing w:after="0" w:line="265" w:lineRule="auto"/>
        <w:rPr>
          <w:sz w:val="20"/>
          <w:szCs w:val="20"/>
          <w:color w:val="auto"/>
        </w:rPr>
      </w:pPr>
      <w:r>
        <w:rPr>
          <w:rFonts w:ascii="Arial" w:cs="Arial" w:eastAsia="Arial" w:hAnsi="Arial"/>
          <w:sz w:val="17"/>
          <w:szCs w:val="17"/>
          <w:color w:val="auto"/>
        </w:rPr>
        <w:t>On July 20, 2017 (the “Closing Date”), the Company completed the all-cash acquisition of KCG Holdings, Inc. (“KCG”) (the “Acquisition of KCG”) . Pursuant to the terms of the Agreement and Plan of Merger, dated as of April 20, 2017 (the “Merger Agreement”), by and among the Company, Orchestra Merger Sub, Inc., a Delaware corporation and an indirect wholly-owned subsidiary of the Company (“Merger Sub”), and KCG Merger Sub merged with and into KCG (the “Merger”), with KCG surviving the Merger as a wholly owned subsidiary of the Company. See Note 3 “Acquisition of KCG Holdings, Inc.” for further details.</w:t>
      </w:r>
    </w:p>
    <w:p>
      <w:pPr>
        <w:spacing w:after="0" w:line="181" w:lineRule="exact"/>
        <w:rPr>
          <w:sz w:val="20"/>
          <w:szCs w:val="20"/>
          <w:color w:val="auto"/>
        </w:rPr>
      </w:pPr>
    </w:p>
    <w:p>
      <w:pPr>
        <w:ind w:right="120" w:firstLine="315"/>
        <w:spacing w:after="0" w:line="265" w:lineRule="auto"/>
        <w:rPr>
          <w:sz w:val="20"/>
          <w:szCs w:val="20"/>
          <w:color w:val="auto"/>
        </w:rPr>
      </w:pPr>
      <w:r>
        <w:rPr>
          <w:rFonts w:ascii="Arial" w:cs="Arial" w:eastAsia="Arial" w:hAnsi="Arial"/>
          <w:sz w:val="17"/>
          <w:szCs w:val="17"/>
          <w:color w:val="auto"/>
        </w:rPr>
        <w:t>Virtu Financial’s principal subsidiaries include Virtu Financial BD LLC (“VFBD”), Virtu Americas LLC (“VAL”), and Virtu Financial Capital Markets LLC (“VFCM”, collectively with VFBD and VAL, the "broker-dealers"), which are self-clearing U.S. broker-dealers. Other principal subsidiaries include Virtu Financial Global Markets LLC (“VFGM”), a U.S. trading entity focused on futures and currencies; Virtu Financial Ireland Limited (“VFIL”), formed in Ireland; Virtu Financial Asia Pty Ltd (“VFAP”), formed in Australia; and Virtu Financial Singapore Pte. Ltd. (“VFSing”), formed in Singapore, each of which are trading entities focused on asset classes in their respective geographic regions.</w:t>
      </w:r>
    </w:p>
    <w:p>
      <w:pPr>
        <w:spacing w:after="0" w:line="181"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On January 2, 2018, the Company completed the sale of its fixed income trading venue, BondPoint, to Intercontinental Exchange (“ICE”) for total gross proceeds of $400.2 million. See Note 4 "Sale of BondPoint" for further details.</w:t>
      </w:r>
    </w:p>
    <w:p>
      <w:pPr>
        <w:spacing w:after="0" w:line="158" w:lineRule="exact"/>
        <w:rPr>
          <w:sz w:val="20"/>
          <w:szCs w:val="20"/>
          <w:color w:val="auto"/>
        </w:rPr>
      </w:pPr>
    </w:p>
    <w:p>
      <w:pPr>
        <w:ind w:right="40" w:firstLine="315"/>
        <w:spacing w:after="0" w:line="274" w:lineRule="auto"/>
        <w:rPr>
          <w:sz w:val="20"/>
          <w:szCs w:val="20"/>
          <w:color w:val="auto"/>
        </w:rPr>
      </w:pPr>
      <w:r>
        <w:rPr>
          <w:rFonts w:ascii="Arial" w:cs="Arial" w:eastAsia="Arial" w:hAnsi="Arial"/>
          <w:sz w:val="17"/>
          <w:szCs w:val="17"/>
          <w:color w:val="auto"/>
        </w:rPr>
        <w:t>Prior to the Acquisition of KCG, the Company was managed and operated as one business, under one operating segment. As a result of the Acquisition of KCG, beginning in the third quarter of 2017 the Company has three operating segments: (i) Market Making; (ii) Execution Services; and (iii) Corporate. See Note 19 "Geographic Information and Business Segments" for a further discussion of the Company’s segments.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Form of Presentation</w:t>
      </w:r>
    </w:p>
    <w:p>
      <w:pPr>
        <w:spacing w:after="0" w:line="224" w:lineRule="exact"/>
        <w:rPr>
          <w:sz w:val="20"/>
          <w:szCs w:val="20"/>
          <w:color w:val="auto"/>
        </w:rPr>
      </w:pPr>
    </w:p>
    <w:p>
      <w:pPr>
        <w:ind w:firstLine="315"/>
        <w:spacing w:after="0" w:line="280" w:lineRule="auto"/>
        <w:rPr>
          <w:sz w:val="20"/>
          <w:szCs w:val="20"/>
          <w:color w:val="auto"/>
        </w:rPr>
      </w:pPr>
      <w:r>
        <w:rPr>
          <w:rFonts w:ascii="Arial" w:cs="Arial" w:eastAsia="Arial" w:hAnsi="Arial"/>
          <w:sz w:val="16"/>
          <w:szCs w:val="16"/>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in the Financial Accounting Standards Board (“FASB”) Accounting Standards Codification (“ASC” or the “Codification”), and reflect all adjustments that, in the opinion of management, are normal and recurring, and that are necessary for a fair statement of the results for the periods presented. The condensed consolidated financial statements are unaudited and should be read in conjunction with the audited consolidated financial statements included in the Company’s Annual Report on Form 10-K for the year ended December 31, 2017 (the “2017 Form 10-K”). The condensed consolidated financial statements of the Company include its equity interests in Virtu Financial and its subsidiaries. The Company operates and controls all business and affairs of Virtu Financial and its operating subsidiaries indirectly through its equity interest in Virtu Financial.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7" w:right="25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40" w:firstLine="315"/>
        <w:spacing w:after="0" w:line="274" w:lineRule="auto"/>
        <w:rPr>
          <w:sz w:val="20"/>
          <w:szCs w:val="20"/>
          <w:color w:val="auto"/>
        </w:rPr>
      </w:pPr>
      <w:r>
        <w:rPr>
          <w:rFonts w:ascii="Arial" w:cs="Arial" w:eastAsia="Arial" w:hAnsi="Arial"/>
          <w:sz w:val="17"/>
          <w:szCs w:val="17"/>
          <w:color w:val="auto"/>
        </w:rPr>
        <w:t>Certain reclassifications have been made to the prior periods’ condensed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condensed consolidated net income available to common stockholders.</w:t>
      </w:r>
    </w:p>
    <w:p>
      <w:pPr>
        <w:spacing w:after="0" w:line="170" w:lineRule="exact"/>
        <w:rPr>
          <w:sz w:val="20"/>
          <w:szCs w:val="20"/>
          <w:color w:val="auto"/>
        </w:rPr>
      </w:pPr>
    </w:p>
    <w:p>
      <w:pPr>
        <w:jc w:val="both"/>
        <w:ind w:right="340" w:firstLine="315"/>
        <w:spacing w:after="0" w:line="268" w:lineRule="auto"/>
        <w:rPr>
          <w:sz w:val="20"/>
          <w:szCs w:val="20"/>
          <w:color w:val="auto"/>
        </w:rPr>
      </w:pPr>
      <w:r>
        <w:rPr>
          <w:rFonts w:ascii="Arial" w:cs="Arial" w:eastAsia="Arial" w:hAnsi="Arial"/>
          <w:sz w:val="17"/>
          <w:szCs w:val="17"/>
          <w:color w:val="auto"/>
        </w:rPr>
        <w:t>The condensed consolidated financial statements include the accounts of the Company and its majority and wholly 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177"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As discussed in Note 3 “Acquisition of KCG Holdings Inc.”, the Company has accounted for the acquisition of KCG under the acquisition method of accounting. Under the acquisition method of accounting, the assets and liabilities of KCG, as of the Closing Date, were recorded at their respective fair values and added to the carrying value of the Company's existing assets and liabilities. The reported financial condition, results of operations and cash flows of the Company for the periods following the Acquisition reflect KCG's and the Company's balances, and reflect the impact of purchase accounting adjustments. The financial results for the three and nine months ended September 30, 2017 comprise the results of the Company for the entire applicable period and results of KCG from Closing Date through September 30, 2017. All periods to the Closing Date comprise solely results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The Company's condensed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and other matters that affect the reported amounts of assets and liabilities and disclosure of contingent assets and liabilities at the date of the condensed consolidated financial statements and the reported amounts of revenue and expenses during the reporting period. Accordingly, actual results could differ materially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224" w:lineRule="exact"/>
        <w:rPr>
          <w:sz w:val="20"/>
          <w:szCs w:val="20"/>
          <w:color w:val="auto"/>
        </w:rPr>
      </w:pPr>
    </w:p>
    <w:p>
      <w:pPr>
        <w:ind w:right="300" w:firstLine="315"/>
        <w:spacing w:after="0" w:line="265" w:lineRule="auto"/>
        <w:rPr>
          <w:sz w:val="20"/>
          <w:szCs w:val="20"/>
          <w:color w:val="auto"/>
        </w:rPr>
      </w:pPr>
      <w:r>
        <w:rPr>
          <w:rFonts w:ascii="Arial" w:cs="Arial" w:eastAsia="Arial" w:hAnsi="Arial"/>
          <w:sz w:val="17"/>
          <w:szCs w:val="17"/>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 under the Company’s share based compensation plans.</w:t>
      </w:r>
    </w:p>
    <w:p>
      <w:pPr>
        <w:spacing w:after="0" w:line="181" w:lineRule="exact"/>
        <w:rPr>
          <w:sz w:val="20"/>
          <w:szCs w:val="20"/>
          <w:color w:val="auto"/>
        </w:rPr>
      </w:pPr>
    </w:p>
    <w:p>
      <w:pPr>
        <w:ind w:right="580" w:firstLine="315"/>
        <w:spacing w:after="0" w:line="286" w:lineRule="auto"/>
        <w:rPr>
          <w:sz w:val="20"/>
          <w:szCs w:val="20"/>
          <w:color w:val="auto"/>
        </w:rPr>
      </w:pPr>
      <w:r>
        <w:rPr>
          <w:rFonts w:ascii="Arial" w:cs="Arial" w:eastAsia="Arial" w:hAnsi="Arial"/>
          <w:sz w:val="16"/>
          <w:szCs w:val="16"/>
          <w:color w:val="auto"/>
        </w:rPr>
        <w:t>The Company grants restricted stock units (“RSUs”), which entitle recipients to receive nonforfeitable dividends during the vesting period on a basis equivalent to the dividends paid to holders of common stock. As a result, the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ind w:right="200" w:firstLine="315"/>
        <w:spacing w:after="0" w:line="290" w:lineRule="auto"/>
        <w:rPr>
          <w:sz w:val="20"/>
          <w:szCs w:val="20"/>
          <w:color w:val="auto"/>
        </w:rPr>
      </w:pPr>
      <w:r>
        <w:rPr>
          <w:rFonts w:ascii="Arial" w:cs="Arial" w:eastAsia="Arial" w:hAnsi="Arial"/>
          <w:sz w:val="17"/>
          <w:szCs w:val="17"/>
          <w:color w:val="auto"/>
        </w:rPr>
        <w:t>Cash and cash equivalents include money market accounts, which are payable on demand, and short-term investments with an original maturity of less than 90 days.</w:t>
      </w:r>
    </w:p>
    <w:p>
      <w:pPr>
        <w:spacing w:after="0" w:line="158" w:lineRule="exact"/>
        <w:rPr>
          <w:sz w:val="20"/>
          <w:szCs w:val="20"/>
          <w:color w:val="auto"/>
        </w:rPr>
      </w:pPr>
    </w:p>
    <w:p>
      <w:pPr>
        <w:ind w:right="500" w:firstLine="315"/>
        <w:spacing w:after="0" w:line="290" w:lineRule="auto"/>
        <w:rPr>
          <w:sz w:val="20"/>
          <w:szCs w:val="20"/>
          <w:color w:val="auto"/>
        </w:rPr>
      </w:pPr>
      <w:r>
        <w:rPr>
          <w:rFonts w:ascii="Arial" w:cs="Arial" w:eastAsia="Arial" w:hAnsi="Arial"/>
          <w:sz w:val="17"/>
          <w:szCs w:val="17"/>
          <w:color w:val="auto"/>
        </w:rPr>
        <w:t>The Company maintains cash in bank deposit accounts that, at times, may exceed federally insured limits. The Company manages this risk by selecting financial institutions deemed highly creditworthy to minimize the risk.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7"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Borrowed and Securities Loaned</w:t>
      </w:r>
    </w:p>
    <w:p>
      <w:pPr>
        <w:spacing w:after="0" w:line="224" w:lineRule="exact"/>
        <w:rPr>
          <w:sz w:val="20"/>
          <w:szCs w:val="20"/>
          <w:color w:val="auto"/>
        </w:rPr>
      </w:pPr>
    </w:p>
    <w:p>
      <w:pPr>
        <w:ind w:firstLine="315"/>
        <w:spacing w:after="0" w:line="303" w:lineRule="auto"/>
        <w:rPr>
          <w:sz w:val="20"/>
          <w:szCs w:val="20"/>
          <w:color w:val="auto"/>
        </w:rPr>
      </w:pPr>
      <w:r>
        <w:rPr>
          <w:rFonts w:ascii="Arial" w:cs="Arial" w:eastAsia="Arial" w:hAnsi="Arial"/>
          <w:sz w:val="15"/>
          <w:szCs w:val="15"/>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Interest received or paid by the Company for these transactions is recorded gross on an accrual basis under interest and dividends income or interest and dividends expense in the condensed consolidated statements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Purchased Under Agreements to Resell and Securities Sold Under Agreements to Repurchase</w:t>
      </w:r>
    </w:p>
    <w:p>
      <w:pPr>
        <w:spacing w:after="0" w:line="224"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condensed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67"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condensed consolidated statements of comprehensive income.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from/Payables to Broker-dealers and Clearing Organizations</w:t>
      </w:r>
    </w:p>
    <w:p>
      <w:pPr>
        <w:spacing w:after="0" w:line="224"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color w:val="auto"/>
        </w:rPr>
        <w:t>As of September 30, 2018 and December 31, 2017, receivables from and payables to broker-dealers and clearing organizations primarily represented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credit facilities, on a net by counterparty basis within receivables from and payables to broker-dealers and clearing organizations when the criteria for offsetting are met.</w:t>
      </w:r>
    </w:p>
    <w:p>
      <w:pPr>
        <w:spacing w:after="0" w:line="180" w:lineRule="exact"/>
        <w:rPr>
          <w:sz w:val="20"/>
          <w:szCs w:val="20"/>
          <w:color w:val="auto"/>
        </w:rPr>
      </w:pPr>
    </w:p>
    <w:p>
      <w:pPr>
        <w:ind w:right="280" w:firstLine="315"/>
        <w:spacing w:after="0" w:line="298" w:lineRule="auto"/>
        <w:rPr>
          <w:sz w:val="20"/>
          <w:szCs w:val="20"/>
          <w:color w:val="auto"/>
        </w:rPr>
      </w:pPr>
      <w:r>
        <w:rPr>
          <w:rFonts w:ascii="Arial" w:cs="Arial" w:eastAsia="Arial" w:hAnsi="Arial"/>
          <w:sz w:val="16"/>
          <w:szCs w:val="16"/>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and to minimize the risk of any losses from these counterparties.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 Owned Including Those Pledged as Collateral and Financial Instruments Sold, Not Yet Purchased</w:t>
      </w:r>
    </w:p>
    <w:p>
      <w:pPr>
        <w:spacing w:after="0" w:line="224" w:lineRule="exact"/>
        <w:rPr>
          <w:sz w:val="20"/>
          <w:szCs w:val="20"/>
          <w:color w:val="auto"/>
        </w:rPr>
      </w:pPr>
    </w:p>
    <w:p>
      <w:pPr>
        <w:ind w:right="340" w:firstLine="315"/>
        <w:spacing w:after="0" w:line="290" w:lineRule="auto"/>
        <w:rPr>
          <w:sz w:val="20"/>
          <w:szCs w:val="20"/>
          <w:color w:val="auto"/>
        </w:rPr>
      </w:pPr>
      <w:r>
        <w:rPr>
          <w:rFonts w:ascii="Arial" w:cs="Arial" w:eastAsia="Arial" w:hAnsi="Arial"/>
          <w:sz w:val="17"/>
          <w:szCs w:val="17"/>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58" w:lineRule="exact"/>
        <w:rPr>
          <w:sz w:val="20"/>
          <w:szCs w:val="20"/>
          <w:color w:val="auto"/>
        </w:rPr>
      </w:pPr>
    </w:p>
    <w:p>
      <w:pPr>
        <w:ind w:right="440" w:firstLine="315"/>
        <w:spacing w:after="0" w:line="274" w:lineRule="auto"/>
        <w:rPr>
          <w:sz w:val="20"/>
          <w:szCs w:val="20"/>
          <w:color w:val="auto"/>
        </w:rPr>
      </w:pPr>
      <w:r>
        <w:rPr>
          <w:rFonts w:ascii="Arial" w:cs="Arial" w:eastAsia="Arial" w:hAnsi="Arial"/>
          <w:sz w:val="17"/>
          <w:szCs w:val="17"/>
          <w:color w:val="auto"/>
        </w:rPr>
        <w:t>The Company records financial instruments owned, including those pledged as collateral, and financial instruments sold, not yet purchased at fair value. Gains and losses arising from financial instrument transactions are recorded net on a trade-date basis in trading income, net, in the condensed consolidated statements of comprehensive income.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4" w:lineRule="exact"/>
        <w:rPr>
          <w:sz w:val="20"/>
          <w:szCs w:val="20"/>
          <w:color w:val="auto"/>
        </w:rPr>
      </w:pPr>
    </w:p>
    <w:p>
      <w:pPr>
        <w:ind w:right="20" w:firstLine="315"/>
        <w:spacing w:after="0" w:line="303" w:lineRule="auto"/>
        <w:rPr>
          <w:sz w:val="20"/>
          <w:szCs w:val="20"/>
          <w:color w:val="auto"/>
        </w:rPr>
      </w:pPr>
      <w:r>
        <w:rPr>
          <w:rFonts w:ascii="Arial" w:cs="Arial" w:eastAsia="Arial" w:hAnsi="Arial"/>
          <w:sz w:val="15"/>
          <w:szCs w:val="15"/>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24" w:lineRule="exact"/>
        <w:rPr>
          <w:sz w:val="20"/>
          <w:szCs w:val="20"/>
          <w:color w:val="auto"/>
        </w:rPr>
      </w:pPr>
    </w:p>
    <w:p>
      <w:pPr>
        <w:ind w:left="320" w:right="160"/>
        <w:spacing w:after="0" w:line="290"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Transfers in or out of levels are recognized based on the beginning fair value of the period in which they occurred.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224" w:lineRule="exact"/>
        <w:rPr>
          <w:sz w:val="20"/>
          <w:szCs w:val="20"/>
          <w:color w:val="auto"/>
        </w:rPr>
      </w:pPr>
    </w:p>
    <w:p>
      <w:pPr>
        <w:jc w:val="both"/>
        <w:ind w:right="440" w:firstLine="315"/>
        <w:spacing w:after="0" w:line="268" w:lineRule="auto"/>
        <w:rPr>
          <w:sz w:val="20"/>
          <w:szCs w:val="20"/>
          <w:color w:val="auto"/>
        </w:rPr>
      </w:pPr>
      <w:r>
        <w:rPr>
          <w:rFonts w:ascii="Arial" w:cs="Arial" w:eastAsia="Arial" w:hAnsi="Arial"/>
          <w:sz w:val="17"/>
          <w:szCs w:val="17"/>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condensed consolidated statements of comprehensive income. The decision to elect the fair value option is determined on an instrument by instrument basis, which must be applied to an entire instrument and is irrevocable once elected.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224"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condensed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 The Company presents its derivatives balances on a net-by-counterparty basis when the criteria for offsetting are met. Cash flows associated with such derivative activities are included in cash flows from operating activities on the condensed consolidated statements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Equipment and Occupancy</w:t>
      </w:r>
    </w:p>
    <w:p>
      <w:pPr>
        <w:spacing w:after="0" w:line="224" w:lineRule="exact"/>
        <w:rPr>
          <w:sz w:val="20"/>
          <w:szCs w:val="20"/>
          <w:color w:val="auto"/>
        </w:rPr>
      </w:pPr>
    </w:p>
    <w:p>
      <w:pPr>
        <w:ind w:right="100" w:firstLine="315"/>
        <w:spacing w:after="0" w:line="282" w:lineRule="auto"/>
        <w:rPr>
          <w:sz w:val="20"/>
          <w:szCs w:val="20"/>
          <w:color w:val="auto"/>
        </w:rPr>
      </w:pPr>
      <w:r>
        <w:rPr>
          <w:rFonts w:ascii="Arial" w:cs="Arial" w:eastAsia="Arial" w:hAnsi="Arial"/>
          <w:sz w:val="16"/>
          <w:szCs w:val="16"/>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167" w:lineRule="exact"/>
        <w:rPr>
          <w:sz w:val="20"/>
          <w:szCs w:val="20"/>
          <w:color w:val="auto"/>
        </w:rPr>
      </w:pPr>
    </w:p>
    <w:p>
      <w:pPr>
        <w:ind w:right="220" w:firstLine="315"/>
        <w:spacing w:after="0" w:line="323" w:lineRule="auto"/>
        <w:rPr>
          <w:sz w:val="20"/>
          <w:szCs w:val="20"/>
          <w:color w:val="auto"/>
        </w:rPr>
      </w:pPr>
      <w:r>
        <w:rPr>
          <w:rFonts w:ascii="Arial" w:cs="Arial" w:eastAsia="Arial" w:hAnsi="Arial"/>
          <w:sz w:val="16"/>
          <w:szCs w:val="16"/>
          <w:color w:val="auto"/>
        </w:rPr>
        <w:t>The Company recognizes rent expense under operating leases with fixed rent escalations, lease incentives and free rent periods on a straight-line basis over the lease term beginning on the date the Company takes possession of or controls the use of the space, including during free rent periods.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127"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Loss Accrual</w:t>
      </w:r>
    </w:p>
    <w:p>
      <w:pPr>
        <w:spacing w:after="0" w:line="224" w:lineRule="exact"/>
        <w:rPr>
          <w:sz w:val="20"/>
          <w:szCs w:val="20"/>
          <w:color w:val="auto"/>
        </w:rPr>
      </w:pPr>
    </w:p>
    <w:p>
      <w:pPr>
        <w:ind w:right="120" w:firstLine="315"/>
        <w:spacing w:after="0" w:line="268" w:lineRule="auto"/>
        <w:rPr>
          <w:sz w:val="20"/>
          <w:szCs w:val="20"/>
          <w:color w:val="auto"/>
        </w:rPr>
      </w:pPr>
      <w:r>
        <w:rPr>
          <w:rFonts w:ascii="Arial" w:cs="Arial" w:eastAsia="Arial" w:hAnsi="Arial"/>
          <w:sz w:val="17"/>
          <w:szCs w:val="17"/>
          <w:color w:val="auto"/>
        </w:rPr>
        <w:t>The Company’s policy is to identify excess real estate capacity and where applicable, accrue for related future costs, net of projected sub-lease income upon the date the Company ceases to use the excess real estate, which is recorded under operating and administrative in the condensed consolidated statements of comprehensive income. Such accrual is adjusted to the extent the actual terms of sub-leased property differ from the previous assumptions used in the calculation of the accrual.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Software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capitalizes costs of materials, consultants, and payroll and payroll related costs for employees incurred in developing internal-use software.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Costs incurred during the preliminary project and post-implementation stages are charged to expense.</w:t>
      </w:r>
    </w:p>
    <w:p>
      <w:pPr>
        <w:spacing w:after="0" w:line="213" w:lineRule="exact"/>
        <w:rPr>
          <w:sz w:val="20"/>
          <w:szCs w:val="20"/>
          <w:color w:val="auto"/>
        </w:rPr>
      </w:pPr>
    </w:p>
    <w:p>
      <w:pPr>
        <w:ind w:right="360" w:firstLine="315"/>
        <w:spacing w:after="0" w:line="290" w:lineRule="auto"/>
        <w:rPr>
          <w:sz w:val="20"/>
          <w:szCs w:val="20"/>
          <w:color w:val="auto"/>
        </w:rPr>
      </w:pPr>
      <w:r>
        <w:rPr>
          <w:rFonts w:ascii="Arial" w:cs="Arial" w:eastAsia="Arial" w:hAnsi="Arial"/>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58" w:lineRule="exact"/>
        <w:rPr>
          <w:sz w:val="20"/>
          <w:szCs w:val="20"/>
          <w:color w:val="auto"/>
        </w:rPr>
      </w:pPr>
    </w:p>
    <w:p>
      <w:pPr>
        <w:ind w:right="80" w:firstLine="315"/>
        <w:spacing w:after="0" w:line="274" w:lineRule="auto"/>
        <w:rPr>
          <w:sz w:val="20"/>
          <w:szCs w:val="20"/>
          <w:color w:val="auto"/>
        </w:rPr>
      </w:pPr>
      <w:r>
        <w:rPr>
          <w:rFonts w:ascii="Arial" w:cs="Arial" w:eastAsia="Arial" w:hAnsi="Arial"/>
          <w:sz w:val="17"/>
          <w:szCs w:val="17"/>
          <w:color w:val="auto"/>
        </w:rPr>
        <w:t>Capitalized software development costs and related accumulated amortization are included in property, equipment and capitalized software in the accompanying condensed consolidated statements of financial condition and are amortized over a period of 1.5 to 2.5 years, which represents the estimated useful lives of the underlying software.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24" w:lineRule="exact"/>
        <w:rPr>
          <w:sz w:val="20"/>
          <w:szCs w:val="20"/>
          <w:color w:val="auto"/>
        </w:rPr>
      </w:pPr>
    </w:p>
    <w:p>
      <w:pPr>
        <w:ind w:right="40" w:firstLine="315"/>
        <w:spacing w:after="0" w:line="326" w:lineRule="auto"/>
        <w:rPr>
          <w:sz w:val="20"/>
          <w:szCs w:val="20"/>
          <w:color w:val="auto"/>
        </w:rPr>
      </w:pPr>
      <w:r>
        <w:rPr>
          <w:rFonts w:ascii="Arial" w:cs="Arial" w:eastAsia="Arial" w:hAnsi="Arial"/>
          <w:sz w:val="15"/>
          <w:szCs w:val="15"/>
          <w:color w:val="auto"/>
        </w:rPr>
        <w:t>Goodwill represents the excess of the purchase price over the underlying net tangible and intangible assets of the Company’s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w:t>
      </w:r>
    </w:p>
    <w:p>
      <w:pPr>
        <w:spacing w:after="0" w:line="137" w:lineRule="exact"/>
        <w:rPr>
          <w:sz w:val="20"/>
          <w:szCs w:val="20"/>
          <w:color w:val="auto"/>
        </w:rPr>
      </w:pPr>
    </w:p>
    <w:p>
      <w:pPr>
        <w:ind w:right="140" w:firstLine="315"/>
        <w:spacing w:after="0" w:line="274" w:lineRule="auto"/>
        <w:rPr>
          <w:sz w:val="20"/>
          <w:szCs w:val="20"/>
          <w:color w:val="auto"/>
        </w:rPr>
      </w:pPr>
      <w:r>
        <w:rPr>
          <w:rFonts w:ascii="Arial" w:cs="Arial" w:eastAsia="Arial" w:hAnsi="Arial"/>
          <w:sz w:val="17"/>
          <w:szCs w:val="17"/>
          <w:color w:val="auto"/>
        </w:rPr>
        <w:t>The Company tests goodwill for impairment on an annual basis on July 1 and on an interim basis when certain events or circumstances exist. In the impairment test as of July 1, 2018, the Company assessed qualitative factors as described in ASC 350-20 for each of its reporting units for any indicators that the fair values of the reporting units were less than their carrying values.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24" w:lineRule="exact"/>
        <w:rPr>
          <w:sz w:val="20"/>
          <w:szCs w:val="20"/>
          <w:color w:val="auto"/>
        </w:rPr>
      </w:pPr>
    </w:p>
    <w:p>
      <w:pPr>
        <w:ind w:right="760" w:firstLine="315"/>
        <w:spacing w:after="0" w:line="290" w:lineRule="auto"/>
        <w:rPr>
          <w:sz w:val="20"/>
          <w:szCs w:val="20"/>
          <w:color w:val="auto"/>
        </w:rPr>
      </w:pPr>
      <w:r>
        <w:rPr>
          <w:rFonts w:ascii="Arial" w:cs="Arial" w:eastAsia="Arial" w:hAnsi="Arial"/>
          <w:sz w:val="17"/>
          <w:szCs w:val="17"/>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Memberships and Stock</w:t>
      </w:r>
    </w:p>
    <w:p>
      <w:pPr>
        <w:spacing w:after="0" w:line="224" w:lineRule="exact"/>
        <w:rPr>
          <w:sz w:val="20"/>
          <w:szCs w:val="20"/>
          <w:color w:val="auto"/>
        </w:rPr>
      </w:pPr>
    </w:p>
    <w:p>
      <w:pPr>
        <w:ind w:right="160" w:firstLine="315"/>
        <w:spacing w:after="0" w:line="268" w:lineRule="auto"/>
        <w:rPr>
          <w:sz w:val="20"/>
          <w:szCs w:val="20"/>
          <w:color w:val="auto"/>
        </w:rPr>
      </w:pPr>
      <w:r>
        <w:rPr>
          <w:rFonts w:ascii="Arial" w:cs="Arial" w:eastAsia="Arial" w:hAnsi="Arial"/>
          <w:sz w:val="17"/>
          <w:szCs w:val="17"/>
          <w:color w:val="auto"/>
        </w:rPr>
        <w:t>Exchange memberships are recorded at cost or, if any other than temporary impairment in value has occurred, at a value that reflects management’s estimate of fair value. Exchange memberships acquired in connection with the Acquisition were recorded at their fair value on the date of acquisition. Exchange stock includes shares that entitle the Company to certain trading privileges. The Company’s exchange memberships and stock are included in intangibles in the condensed consolidated statements of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Trading Income, net</w:t>
      </w:r>
    </w:p>
    <w:p>
      <w:pPr>
        <w:spacing w:after="0" w:line="224"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Trading income, net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condensed consolidated statements of comprehensive income.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Commissions, net and Technology Services</w:t>
      </w:r>
    </w:p>
    <w:p>
      <w:pPr>
        <w:spacing w:after="0" w:line="224" w:lineRule="exact"/>
        <w:rPr>
          <w:sz w:val="20"/>
          <w:szCs w:val="20"/>
          <w:color w:val="auto"/>
        </w:rPr>
      </w:pPr>
    </w:p>
    <w:p>
      <w:pPr>
        <w:ind w:right="40" w:firstLine="315"/>
        <w:spacing w:after="0" w:line="265" w:lineRule="auto"/>
        <w:rPr>
          <w:sz w:val="20"/>
          <w:szCs w:val="20"/>
          <w:color w:val="auto"/>
        </w:rPr>
      </w:pPr>
      <w:r>
        <w:rPr>
          <w:rFonts w:ascii="Arial" w:cs="Arial" w:eastAsia="Arial" w:hAnsi="Arial"/>
          <w:sz w:val="17"/>
          <w:szCs w:val="17"/>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The Company recognizes the related revenue when the third party research services are rendered and payments are made. As the Company acts as an agent in these transactions, it records such expenses on a net basis within commissions and technology services in the condensed consolidated statements of comprehensive income.</w:t>
      </w:r>
    </w:p>
    <w:p>
      <w:pPr>
        <w:spacing w:after="0" w:line="181" w:lineRule="exact"/>
        <w:rPr>
          <w:sz w:val="20"/>
          <w:szCs w:val="20"/>
          <w:color w:val="auto"/>
        </w:rPr>
      </w:pPr>
    </w:p>
    <w:p>
      <w:pPr>
        <w:ind w:right="140" w:firstLine="315"/>
        <w:spacing w:after="0" w:line="294" w:lineRule="auto"/>
        <w:rPr>
          <w:sz w:val="20"/>
          <w:szCs w:val="20"/>
          <w:color w:val="auto"/>
        </w:rPr>
      </w:pPr>
      <w:r>
        <w:rPr>
          <w:rFonts w:ascii="Arial" w:cs="Arial" w:eastAsia="Arial" w:hAnsi="Arial"/>
          <w:sz w:val="15"/>
          <w:szCs w:val="15"/>
          <w:color w:val="auto"/>
        </w:rPr>
        <w:t>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w:t>
      </w:r>
    </w:p>
    <w:p>
      <w:pPr>
        <w:spacing w:after="0" w:line="4"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a significant reversal of cumulative revenue recognized will not occur. Recurring fees, which exclude variable consideration, are billed and collected on a quarterly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Dividends Income/Interest and Dividends Expense</w:t>
      </w:r>
    </w:p>
    <w:p>
      <w:pPr>
        <w:spacing w:after="0" w:line="224"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Brokerage, Exchange and Clearance Fees, Net</w:t>
      </w:r>
    </w:p>
    <w:p>
      <w:pPr>
        <w:spacing w:after="0" w:line="224" w:lineRule="exact"/>
        <w:rPr>
          <w:sz w:val="20"/>
          <w:szCs w:val="20"/>
          <w:color w:val="auto"/>
        </w:rPr>
      </w:pPr>
    </w:p>
    <w:p>
      <w:pPr>
        <w:ind w:right="80" w:firstLine="315"/>
        <w:spacing w:after="0" w:line="268" w:lineRule="auto"/>
        <w:rPr>
          <w:sz w:val="20"/>
          <w:szCs w:val="20"/>
          <w:color w:val="auto"/>
        </w:rPr>
      </w:pPr>
      <w:r>
        <w:rPr>
          <w:rFonts w:ascii="Arial" w:cs="Arial" w:eastAsia="Arial" w:hAnsi="Arial"/>
          <w:sz w:val="17"/>
          <w:szCs w:val="17"/>
          <w:color w:val="auto"/>
        </w:rPr>
        <w:t>Brokerage, exchange and clearance fees, net, comprise the costs of executing and clearing trades and are recorded on a trade date basis. 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condensed consolidated statements of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Payments for Order Flow</w:t>
      </w:r>
    </w:p>
    <w:p>
      <w:pPr>
        <w:spacing w:after="0" w:line="224" w:lineRule="exact"/>
        <w:rPr>
          <w:sz w:val="20"/>
          <w:szCs w:val="20"/>
          <w:color w:val="auto"/>
        </w:rPr>
      </w:pPr>
    </w:p>
    <w:p>
      <w:pPr>
        <w:ind w:right="320" w:firstLine="315"/>
        <w:spacing w:after="0" w:line="323" w:lineRule="auto"/>
        <w:rPr>
          <w:sz w:val="20"/>
          <w:szCs w:val="20"/>
          <w:color w:val="auto"/>
        </w:rPr>
      </w:pPr>
      <w:r>
        <w:rPr>
          <w:rFonts w:ascii="Arial" w:cs="Arial" w:eastAsia="Arial" w:hAnsi="Arial"/>
          <w:sz w:val="16"/>
          <w:szCs w:val="16"/>
          <w:color w:val="auto"/>
        </w:rPr>
        <w:t>Payments for order flow represent payments to broker-dealer clients, in the normal course of business, for directing their order flow in U.S. equities to the Company. Payments for order flow are recorded on a trade-date basis in the condensed consolidated statements of comprehensive income.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right="380" w:firstLine="315"/>
        <w:spacing w:after="0" w:line="315" w:lineRule="auto"/>
        <w:rPr>
          <w:sz w:val="20"/>
          <w:szCs w:val="20"/>
          <w:color w:val="auto"/>
        </w:rPr>
      </w:pPr>
      <w:r>
        <w:rPr>
          <w:rFonts w:ascii="Arial" w:cs="Arial" w:eastAsia="Arial" w:hAnsi="Arial"/>
          <w:sz w:val="15"/>
          <w:szCs w:val="15"/>
          <w:color w:val="auto"/>
        </w:rPr>
        <w:t>Subsequent to consummation of the Reorganization Transactions and the IPO, the Company is subject to U.S. federal, state and local income taxes on its taxable income. The Company's subsidiaries are subject to income taxes in the respective jurisdictions (including foreign jurisdictions) in which they operate. Prior to the consummation of the Reorganization Transactions and the IPO, no provision for United States federal, state and local income tax was required, as Virtu Financial is a limited liability company and is treated as a pass-through entity for United States federal, state, and local income tax purposes.</w:t>
      </w:r>
    </w:p>
    <w:p>
      <w:pPr>
        <w:spacing w:after="0" w:line="144" w:lineRule="exact"/>
        <w:rPr>
          <w:sz w:val="20"/>
          <w:szCs w:val="20"/>
          <w:color w:val="auto"/>
        </w:rPr>
      </w:pPr>
    </w:p>
    <w:p>
      <w:pPr>
        <w:jc w:val="both"/>
        <w:ind w:right="80" w:firstLine="315"/>
        <w:spacing w:after="0" w:line="274" w:lineRule="auto"/>
        <w:rPr>
          <w:sz w:val="20"/>
          <w:szCs w:val="20"/>
          <w:color w:val="auto"/>
        </w:rPr>
      </w:pPr>
      <w:r>
        <w:rPr>
          <w:rFonts w:ascii="Arial" w:cs="Arial" w:eastAsia="Arial" w:hAnsi="Arial"/>
          <w:sz w:val="17"/>
          <w:szCs w:val="17"/>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70" w:lineRule="exact"/>
        <w:rPr>
          <w:sz w:val="20"/>
          <w:szCs w:val="20"/>
          <w:color w:val="auto"/>
        </w:rPr>
      </w:pPr>
    </w:p>
    <w:p>
      <w:pPr>
        <w:ind w:right="80" w:firstLine="315"/>
        <w:spacing w:after="0" w:line="286"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and Foreign Currency Translation</w:t>
      </w:r>
    </w:p>
    <w:p>
      <w:pPr>
        <w:spacing w:after="0" w:line="224" w:lineRule="exact"/>
        <w:rPr>
          <w:sz w:val="20"/>
          <w:szCs w:val="20"/>
          <w:color w:val="auto"/>
        </w:rPr>
      </w:pPr>
    </w:p>
    <w:p>
      <w:pPr>
        <w:ind w:right="120" w:firstLine="315"/>
        <w:spacing w:after="0" w:line="290" w:lineRule="auto"/>
        <w:rPr>
          <w:sz w:val="20"/>
          <w:szCs w:val="20"/>
          <w:color w:val="auto"/>
        </w:rPr>
      </w:pPr>
      <w:r>
        <w:rPr>
          <w:rFonts w:ascii="Arial" w:cs="Arial" w:eastAsia="Arial" w:hAnsi="Arial"/>
          <w:sz w:val="16"/>
          <w:szCs w:val="16"/>
          <w:color w:val="auto"/>
        </w:rPr>
        <w:t>Comprehensive income consists of two components: net income and other comprehensive income (“OCI”). The Company’s OCI is comprised of foreign currency translation adjustments. 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separate component of stockholders’ equity.</w:t>
      </w:r>
    </w:p>
    <w:p>
      <w:pPr>
        <w:spacing w:after="0" w:line="161" w:lineRule="exact"/>
        <w:rPr>
          <w:sz w:val="20"/>
          <w:szCs w:val="20"/>
          <w:color w:val="auto"/>
        </w:rPr>
      </w:pPr>
    </w:p>
    <w:p>
      <w:pPr>
        <w:ind w:right="380" w:firstLine="315"/>
        <w:spacing w:after="0" w:line="323" w:lineRule="auto"/>
        <w:rPr>
          <w:sz w:val="20"/>
          <w:szCs w:val="20"/>
          <w:color w:val="auto"/>
        </w:rPr>
      </w:pPr>
      <w:r>
        <w:rPr>
          <w:rFonts w:ascii="Arial" w:cs="Arial" w:eastAsia="Arial" w:hAnsi="Arial"/>
          <w:sz w:val="16"/>
          <w:szCs w:val="16"/>
          <w:color w:val="auto"/>
        </w:rPr>
        <w:t>The Company's foreign subsidiaries generally use the U.S. dollar as their functional currency. The Company also has subsidiaries that utilize a functional currency other than the U.S. dollar, primarily comprising its subsidiaries domiciled in Ireland, which utilizes the Euro as the functional currency.</w:t>
      </w:r>
    </w:p>
    <w:p>
      <w:pPr>
        <w:spacing w:after="0" w:line="135"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color w:val="auto"/>
        </w:rPr>
        <w:t>The Company may seek to reduce the impact of fluctuations in foreign exchange rates on its net investment in certain non-U.S. operations through the use of foreign currency forward contracts. For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forward contracts. For qualifying net investment hedges, any gains or losses, to the extent effective, are included in Accumulated other comprehensive income on the condensed consolidated statements of financial condition and Cumulative translation adjustment, net of tax, on the condensed consolidated statements of comprehensive income. The ineffective portion, if any, is recorded in investment income and other, net on the condensed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right="20" w:firstLine="315"/>
        <w:spacing w:after="0" w:line="290" w:lineRule="auto"/>
        <w:rPr>
          <w:sz w:val="20"/>
          <w:szCs w:val="20"/>
          <w:color w:val="auto"/>
        </w:rPr>
      </w:pPr>
      <w:r>
        <w:rPr>
          <w:rFonts w:ascii="Arial" w:cs="Arial" w:eastAsia="Arial" w:hAnsi="Arial"/>
          <w:sz w:val="17"/>
          <w:szCs w:val="17"/>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58" w:lineRule="exact"/>
        <w:rPr>
          <w:sz w:val="20"/>
          <w:szCs w:val="20"/>
          <w:color w:val="auto"/>
        </w:rPr>
      </w:pPr>
    </w:p>
    <w:p>
      <w:pPr>
        <w:ind w:right="80" w:firstLine="315"/>
        <w:spacing w:after="0" w:line="282"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the VFI 2015 Management Incentive Plan (as amended, the “2015 Amended and Restated Management Incentive Plan”) were in the form of stock options, Class A common stock and RSUs. The fair value of the stock option grants is determined through the application of the Black-Scholes-Merton model. The fair value of the Class A common stock and RSUs are determined based on the volume weighted average price for the three days preceding the grant, and with respect to the RSUs, a projected annual forfeiture rate. The fair value of share-based awards granted to employees is expensed based on the vesting conditions and are recognized on a straight line basis over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Interest Entities</w:t>
      </w:r>
    </w:p>
    <w:p>
      <w:pPr>
        <w:spacing w:after="0" w:line="224"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70"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color w:val="auto"/>
        </w:rPr>
        <w:t>In October 2016, the Company invested in a joint venture (“JV”) with nine other parties. One of the parties was KCG. Upon the Merger, KCG was required to relinquish their ownership in the JV. As of September 30, 2018, each of the remaining parties owns approximately 11% of the voting shares and 11% of the equity of this JV. In addition, as a result of the Acquisition of KCG, the Company owns 50% of the voting shares and 50% of the equity of another JV. These two JVs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The JVs meet the criteria to be considered VIEs.</w:t>
      </w:r>
    </w:p>
    <w:p>
      <w:pPr>
        <w:spacing w:after="0" w:line="180"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In each of the JVs, the Company does not have the power to direct the activities of the VIE that most significantly impact the VIE’s economic performance; therefore it does not have a controlling financial interest in and does not consolidate the JVs. The Company records its interest in each JV under the equity method of accounting and records its investment in the JVs within Other assets and its amounts payable for communication services provided by the JV within Accrued expenses and other liabilities on the condensed consolidated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180" w:lineRule="exact"/>
        <w:rPr>
          <w:sz w:val="20"/>
          <w:szCs w:val="20"/>
          <w:color w:val="auto"/>
        </w:rPr>
      </w:pPr>
    </w:p>
    <w:p>
      <w:pPr>
        <w:ind w:right="200" w:firstLine="315"/>
        <w:spacing w:after="0" w:line="290" w:lineRule="auto"/>
        <w:rPr>
          <w:sz w:val="20"/>
          <w:szCs w:val="20"/>
          <w:color w:val="auto"/>
        </w:rPr>
      </w:pPr>
      <w:r>
        <w:rPr>
          <w:rFonts w:ascii="Arial" w:cs="Arial" w:eastAsia="Arial" w:hAnsi="Arial"/>
          <w:sz w:val="17"/>
          <w:szCs w:val="17"/>
          <w:color w:val="auto"/>
        </w:rPr>
        <w:t>The Company’s exposure to the obligations of these VIEs is generally limited to its interests in each respective JV, which is the carrying value of the equity investment in each JV.</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nonconsolidated VIEs at September 30, 2018:</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w w:val="97"/>
              </w:rPr>
              <w:t>Carrying Amount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Maximum Exposure to</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3"/>
              </w:rPr>
              <w:t>18,669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18,669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48,557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nonconsolidated VIEs at December 31, 2017:</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w w:val="97"/>
              </w:rPr>
              <w:t>Carrying Amount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Maximum Exposure to</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3"/>
              </w:rPr>
              <w:t>18,799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18,799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41,936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30" w:lineRule="exact"/>
        <w:rPr>
          <w:sz w:val="20"/>
          <w:szCs w:val="20"/>
          <w:color w:val="auto"/>
        </w:rPr>
      </w:pPr>
    </w:p>
    <w:p>
      <w:pPr>
        <w:ind w:right="60" w:firstLine="315"/>
        <w:spacing w:after="0" w:line="265"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In May 2014, the FASB issued Accounting Standard Update (“ASU”) 2014-9,</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ASU 2014-9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comprehensive new revenue recognition model that requires a company to recognize revenue to depict the transfer of goods or services to a customer at an amount that reflects the consideration it expects to receive in exchange for those goods or services. ASU 2014-9 also requires additional disclosure about the nature, amount, timing and uncertainty of revenue and cash flows arising from customer contracts, including significant judgments and changes in judgments and assets recognized from costs incurred to obtain or fulfill a contract.</w:t>
      </w:r>
    </w:p>
    <w:p>
      <w:pPr>
        <w:spacing w:after="0" w:line="181"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The Company adopted the new revenue standard on January 1, 2018 by applying the modified retrospective method, which did not result in a transition adjustment. The new standard does not apply to revenue associated with financial instruments that are accounted for under other U.S. GAAP, and as a result, did not have a material impact on the Company’s condensed consolidated financial statements, which are most closely associated with financial instruments, including trading income, net, and interest and dividends income. The new revenue standard primarily impacts revenues from technology services, commissions and soft-dollar arrangements generated by execution services. The additional disclosures required by the new standard have been included in Note 13 "Revenues from Contracts with Customers".</w:t>
      </w:r>
    </w:p>
    <w:p>
      <w:pPr>
        <w:spacing w:after="0" w:line="180"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b w:val="1"/>
          <w:bCs w:val="1"/>
          <w:i w:val="1"/>
          <w:iCs w:val="1"/>
          <w:color w:val="auto"/>
        </w:rPr>
        <w:t xml:space="preserve">Financial Assets and Liabilities </w:t>
      </w:r>
      <w:r>
        <w:rPr>
          <w:rFonts w:ascii="Arial" w:cs="Arial" w:eastAsia="Arial" w:hAnsi="Arial"/>
          <w:sz w:val="17"/>
          <w:szCs w:val="17"/>
          <w:color w:val="auto"/>
        </w:rPr>
        <w:t>— In January 2016, the FASB issued ASU 2016-01,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of Financial Assets and Financial Liabilities</w:t>
      </w:r>
      <w:r>
        <w:rPr>
          <w:rFonts w:ascii="Arial" w:cs="Arial" w:eastAsia="Arial" w:hAnsi="Arial"/>
          <w:sz w:val="17"/>
          <w:szCs w:val="17"/>
          <w:color w:val="auto"/>
        </w:rPr>
        <w:t>. The ASU affects the accounting for equity investments, financial liabilities under fair value option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and disclosure requirements of financial instruments. The ASU affects all entities that hold financial assets or owe financial liabilities and is effective for annual reporting periods (including interim periods) beginning after December 15, 2017. The Company does not currently classify any equity securities as available for sale, and it does not apply the fair value option to its own debt issuances. The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127" w:right="2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Company has adopted this ASU as of January 1, 2018, and it did not have a material impact on its condensed consolidated financial statements.</w:t>
      </w:r>
    </w:p>
    <w:p>
      <w:pPr>
        <w:spacing w:after="0" w:line="224"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 October 2016, the FASB issued ASU 2016-16,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Income Taxes (Topic 749): Intra-Entity Transfers of Assets Other Than Inventory</w:t>
      </w:r>
      <w:r>
        <w:rPr>
          <w:rFonts w:ascii="Arial" w:cs="Arial" w:eastAsia="Arial" w:hAnsi="Arial"/>
          <w:sz w:val="17"/>
          <w:szCs w:val="17"/>
          <w:color w:val="auto"/>
        </w:rPr>
        <w:t>. The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the reporting entity to recognize the tax expense from the sale of an asset in the seller’s tax jurisdiction when the transfer occurs, even though the pre-tax effects of the transactions are eliminated in consolidation. Any deferred tax asset that arises in the buyer’s jurisdiction would also be recognized at the time of the transfer. The ASU is effective for reporting periods beginning after December 15, 2017. The Company adopted this ASU on January 1, 2018, and it did not have a material impact on its condensed consolidated financial statements.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Business Combinations </w:t>
      </w:r>
      <w:r>
        <w:rPr>
          <w:rFonts w:ascii="Arial" w:cs="Arial" w:eastAsia="Arial" w:hAnsi="Arial"/>
          <w:sz w:val="17"/>
          <w:szCs w:val="17"/>
          <w:color w:val="auto"/>
        </w:rPr>
        <w:t>- In January 2017, the FASB issued ASU 2017-1,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Combinations (Topic 805), Clarifying the Definition of a</w:t>
      </w:r>
    </w:p>
    <w:p>
      <w:pPr>
        <w:spacing w:after="0" w:line="26" w:lineRule="exact"/>
        <w:rPr>
          <w:sz w:val="20"/>
          <w:szCs w:val="20"/>
          <w:color w:val="auto"/>
        </w:rPr>
      </w:pPr>
    </w:p>
    <w:p>
      <w:pPr>
        <w:jc w:val="both"/>
        <w:ind w:right="220"/>
        <w:spacing w:after="0" w:line="266" w:lineRule="auto"/>
        <w:rPr>
          <w:sz w:val="20"/>
          <w:szCs w:val="20"/>
          <w:color w:val="auto"/>
        </w:rPr>
      </w:pPr>
      <w:r>
        <w:rPr>
          <w:rFonts w:ascii="Arial" w:cs="Arial" w:eastAsia="Arial" w:hAnsi="Arial"/>
          <w:sz w:val="17"/>
          <w:szCs w:val="17"/>
          <w:i w:val="1"/>
          <w:iCs w:val="1"/>
          <w:color w:val="auto"/>
        </w:rPr>
        <w:t>Business</w:t>
      </w:r>
      <w:r>
        <w:rPr>
          <w:rFonts w:ascii="Arial" w:cs="Arial" w:eastAsia="Arial" w:hAnsi="Arial"/>
          <w:sz w:val="17"/>
          <w:szCs w:val="17"/>
          <w:color w:val="auto"/>
        </w:rPr>
        <w:t>, to amend the definition of a business with the objective of adding guidance to assist entities with evaluating whether transactions should be accounted</w:t>
      </w:r>
      <w:r>
        <w:rPr>
          <w:rFonts w:ascii="Arial" w:cs="Arial" w:eastAsia="Arial" w:hAnsi="Arial"/>
          <w:sz w:val="17"/>
          <w:szCs w:val="17"/>
          <w:i w:val="1"/>
          <w:iCs w:val="1"/>
          <w:color w:val="auto"/>
        </w:rPr>
        <w:t xml:space="preserve"> </w:t>
      </w:r>
      <w:r>
        <w:rPr>
          <w:rFonts w:ascii="Arial" w:cs="Arial" w:eastAsia="Arial" w:hAnsi="Arial"/>
          <w:sz w:val="17"/>
          <w:szCs w:val="17"/>
          <w:color w:val="auto"/>
        </w:rPr>
        <w:t>for as acquisitions (or disposals) of assets or businesses. The ASU is effective for reporting periods beginning after December 15, 2017. The Company adopted this ASU on January 1, 2018, and it did not have a material impact on its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Not Yet Adopted as of September 30, 2018</w:t>
      </w:r>
    </w:p>
    <w:p>
      <w:pPr>
        <w:spacing w:after="0" w:line="230" w:lineRule="exact"/>
        <w:rPr>
          <w:sz w:val="20"/>
          <w:szCs w:val="20"/>
          <w:color w:val="auto"/>
        </w:rPr>
      </w:pPr>
    </w:p>
    <w:p>
      <w:pPr>
        <w:ind w:right="20" w:firstLine="315"/>
        <w:spacing w:after="0" w:line="283"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 In February 2016, the FASB issued ASU 2016-02,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the new ASU, a lessee will be required to recognize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for leases with lease terms of more than 12 months. The liability will be equal to the present value of the future lease payments. The asset, referred to as a “right-of-use asset” will be based on the liability, subject to adjustment, such as for initial direct costs. For income statement purposes, leases will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largely similar to those applied in current lease accounting, but without explicit bright lines. The Company's implementation effort is ongoing, and it will adopt this ASU on January 1, 2019.</w:t>
      </w:r>
    </w:p>
    <w:p>
      <w:pPr>
        <w:spacing w:after="0" w:line="168" w:lineRule="exact"/>
        <w:rPr>
          <w:sz w:val="20"/>
          <w:szCs w:val="20"/>
          <w:color w:val="auto"/>
        </w:rPr>
      </w:pPr>
    </w:p>
    <w:p>
      <w:pPr>
        <w:ind w:right="180" w:firstLine="315"/>
        <w:spacing w:after="0" w:line="274" w:lineRule="auto"/>
        <w:rPr>
          <w:sz w:val="20"/>
          <w:szCs w:val="20"/>
          <w:color w:val="auto"/>
        </w:rPr>
      </w:pPr>
      <w:r>
        <w:rPr>
          <w:rFonts w:ascii="Arial" w:cs="Arial" w:eastAsia="Arial" w:hAnsi="Arial"/>
          <w:sz w:val="17"/>
          <w:szCs w:val="17"/>
          <w:color w:val="auto"/>
        </w:rPr>
        <w:t xml:space="preserve">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which modifies certain aspects of ASC Topic 842, including allowing entities to adopt the new leasing standard as of January 1, 2019, without restating prior periods presented, and providing certain practical expedients including allowing lessors not to separate out lease and non-lease components when certain conditions are met.</w:t>
      </w:r>
    </w:p>
    <w:p>
      <w:pPr>
        <w:spacing w:after="0" w:line="170" w:lineRule="exact"/>
        <w:rPr>
          <w:sz w:val="20"/>
          <w:szCs w:val="20"/>
          <w:color w:val="auto"/>
        </w:rPr>
      </w:pPr>
    </w:p>
    <w:p>
      <w:pPr>
        <w:ind w:right="160" w:firstLine="315"/>
        <w:spacing w:after="0" w:line="268" w:lineRule="auto"/>
        <w:rPr>
          <w:sz w:val="20"/>
          <w:szCs w:val="20"/>
          <w:color w:val="auto"/>
        </w:rPr>
      </w:pPr>
      <w:r>
        <w:rPr>
          <w:rFonts w:ascii="Arial" w:cs="Arial" w:eastAsia="Arial" w:hAnsi="Arial"/>
          <w:sz w:val="17"/>
          <w:szCs w:val="17"/>
          <w:color w:val="auto"/>
        </w:rPr>
        <w:t>The Company is not anticipating recognizing lease assets and lease liabilities for leases with a determined lease term of twelve months or less and which are not expected to be renewed. Upon adoption of this ASU, the Company expects to report grossed up assets and liabilities on its condensed consolidated statement of financial condition as a result of recognizing right-of-use assets and lease liabilities related to its operating leases, which currently are not reflected in its condensed consolidated statement of financial condition.</w:t>
      </w:r>
    </w:p>
    <w:p>
      <w:pPr>
        <w:spacing w:after="0" w:line="177" w:lineRule="exact"/>
        <w:rPr>
          <w:sz w:val="20"/>
          <w:szCs w:val="20"/>
          <w:color w:val="auto"/>
        </w:rPr>
      </w:pPr>
    </w:p>
    <w:p>
      <w:pPr>
        <w:ind w:right="60" w:firstLine="315"/>
        <w:spacing w:after="0" w:line="278"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 In January, 2017, the FASB issued ASU 2017-4,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simplify the subsequent measurement of goodwill, this ASU eliminated Step 2 from the goodwill impairment test. In computing the implied fair value of goodwill under Step 2,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also eliminated the requirements for any reporting unit with a zero or negative carrying amount to perform a qualitative assessment and, if it fails that qualitative test, to perform Step 2 of the goodwill impairment test. This ASU is effective for public entities in fiscal years beginning after December 15, 2019. Early adoption is permitted for interim or annual goodwill impairment tests performed on testing dates after January 1, 2017. The Company does not expect the adoption of this ASU to have a material impact on its condensed consolidated financial statements.</w:t>
      </w:r>
    </w:p>
    <w:p>
      <w:pPr>
        <w:spacing w:after="0" w:line="176" w:lineRule="exact"/>
        <w:rPr>
          <w:sz w:val="20"/>
          <w:szCs w:val="20"/>
          <w:color w:val="auto"/>
        </w:rPr>
      </w:pPr>
    </w:p>
    <w:p>
      <w:pPr>
        <w:ind w:right="60" w:firstLine="315"/>
        <w:spacing w:after="0" w:line="286"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 In June 2018, the FASB issued ASU 2018-07,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Compensation, Stock Compensation (Topic 718): Improvements to Nonemployee Share-Based Payment Accounting</w:t>
      </w:r>
      <w:r>
        <w:rPr>
          <w:rFonts w:ascii="Arial" w:cs="Arial" w:eastAsia="Arial" w:hAnsi="Arial"/>
          <w:sz w:val="16"/>
          <w:szCs w:val="16"/>
          <w:color w:val="auto"/>
        </w:rPr>
        <w:t>, with the objective of conforming the accounting for share-based awards to non-employees to the accounting for awards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Previously, non-employee awards were measured at the vesting date, rather than the grant date, which effectively required the awards to be marked to market until the award vested. Under the new ASU, companies will be required to measure non-employee awards at the fair value of the instruments issued at the grant date. Entities will also be able to consider the probability of the recipient satisfying any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performance conditions. The ASU is effective for periods beginning after December 15, 2018, including interim periods within that fiscal year. The Company is currently evaluating the impact of this standard on its condensed consolidated financial statements. The Company does not currently make share-based awards to non-employees, and does not expect the adoption of this ASU to have a material impact on its condensed consolidated financial statements.</w:t>
      </w:r>
    </w:p>
    <w:p>
      <w:pPr>
        <w:spacing w:after="0" w:line="155" w:lineRule="exact"/>
        <w:rPr>
          <w:sz w:val="20"/>
          <w:szCs w:val="20"/>
          <w:color w:val="auto"/>
        </w:rPr>
      </w:pPr>
    </w:p>
    <w:p>
      <w:pPr>
        <w:ind w:firstLine="315"/>
        <w:spacing w:after="0" w:line="261" w:lineRule="auto"/>
        <w:rPr>
          <w:sz w:val="20"/>
          <w:szCs w:val="20"/>
          <w:color w:val="auto"/>
        </w:rPr>
      </w:pPr>
      <w:r>
        <w:rPr>
          <w:rFonts w:ascii="Arial" w:cs="Arial" w:eastAsia="Arial" w:hAnsi="Arial"/>
          <w:sz w:val="17"/>
          <w:szCs w:val="17"/>
          <w:b w:val="1"/>
          <w:bCs w:val="1"/>
          <w:i w:val="1"/>
          <w:iCs w:val="1"/>
          <w:color w:val="auto"/>
        </w:rPr>
        <w:t xml:space="preserve">Fair Value Measurement </w:t>
      </w:r>
      <w:r>
        <w:rPr>
          <w:rFonts w:ascii="Arial" w:cs="Arial" w:eastAsia="Arial" w:hAnsi="Arial"/>
          <w:sz w:val="17"/>
          <w:szCs w:val="17"/>
          <w:color w:val="auto"/>
        </w:rPr>
        <w:t>- In August 2018, the FASB issued ASU 2018-13,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Fair Value Measurement (Topic 820): Disclosure Framework-Changes to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Disclosure Requirements for Fair Value Measurement</w:t>
      </w:r>
      <w:r>
        <w:rPr>
          <w:rFonts w:ascii="Arial" w:cs="Arial" w:eastAsia="Arial" w:hAnsi="Arial"/>
          <w:sz w:val="17"/>
          <w:szCs w:val="17"/>
          <w:color w:val="auto"/>
        </w:rPr>
        <w:t>, which modified the disclosure requirements on fair value measurements in ASC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Disclosure requirements were eliminated for the amount of and reasons for transfers between Level 1 and Level 2 of the fair value hierarchy, the policy for timing of transfers between levels, and the valuation processes for Level 3 fair value measurements. Disclosure requirements were modified for liquidation of investments in certain entities that calculate net asset value, and for measurement uncertainty disclosures. Disclosure requirements were added for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ASU is effective for periods beginning after December 15, 2019, including interim periods within that fiscal year. The Company does not expect the adoption of this ASU to have a material impact on its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 of KCG Holdings, Inc.</w:t>
      </w:r>
    </w:p>
    <w:p>
      <w:pPr>
        <w:spacing w:after="0" w:line="230" w:lineRule="exact"/>
        <w:rPr>
          <w:sz w:val="20"/>
          <w:szCs w:val="20"/>
          <w:color w:val="auto"/>
        </w:rPr>
      </w:pPr>
    </w:p>
    <w:p>
      <w:pPr>
        <w:ind w:right="300" w:firstLine="315"/>
        <w:spacing w:after="0" w:line="290" w:lineRule="auto"/>
        <w:rPr>
          <w:sz w:val="20"/>
          <w:szCs w:val="20"/>
          <w:color w:val="auto"/>
        </w:rPr>
      </w:pPr>
      <w:r>
        <w:rPr>
          <w:rFonts w:ascii="Arial" w:cs="Arial" w:eastAsia="Arial" w:hAnsi="Arial"/>
          <w:sz w:val="17"/>
          <w:szCs w:val="17"/>
          <w:color w:val="auto"/>
        </w:rPr>
        <w:t>As of the Closing Date of the Acquisition of KCG, each of KCG’s issued and outstanding shares of Class A common stock, par value $0.01 per share was cancelled and extinguished and converted into the right to receive $20.00 in cash, without interest, less any applicable withholding taxes.</w:t>
      </w:r>
    </w:p>
    <w:p>
      <w:pPr>
        <w:spacing w:after="0" w:line="158" w:lineRule="exact"/>
        <w:rPr>
          <w:sz w:val="20"/>
          <w:szCs w:val="20"/>
          <w:color w:val="auto"/>
        </w:rPr>
      </w:pPr>
    </w:p>
    <w:p>
      <w:pPr>
        <w:ind w:right="100" w:firstLine="315"/>
        <w:spacing w:after="0" w:line="265" w:lineRule="auto"/>
        <w:rPr>
          <w:sz w:val="20"/>
          <w:szCs w:val="20"/>
          <w:color w:val="auto"/>
        </w:rPr>
      </w:pPr>
      <w:r>
        <w:rPr>
          <w:rFonts w:ascii="Arial" w:cs="Arial" w:eastAsia="Arial" w:hAnsi="Arial"/>
          <w:sz w:val="17"/>
          <w:szCs w:val="17"/>
          <w:color w:val="auto"/>
        </w:rPr>
        <w:t>On the Closing Date, and in connection with the financing of the Acquisition of KCG, as described in Note 10 "Borrowings", the Company issued to Aranda Investments Pte. Ltd. (“Aranda”), an affiliate of Temasek Holdings (Private) Limited (“Temasek”), 6,346,155 shares of the Company’s Class A common stock, pursuant to the investment agreement with Aranda (as amended, the “Aranda Investment Agreement”) for an aggregate purchase price of approximately $99.0 million. On August 10, 2017, the Company issued an additional 1,666,666 shares of its Class A common stock for an aggregate purchase price of $26.0 million (collectively, the “Temasek Investment”).</w:t>
      </w:r>
    </w:p>
    <w:p>
      <w:pPr>
        <w:spacing w:after="0" w:line="181" w:lineRule="exact"/>
        <w:rPr>
          <w:sz w:val="20"/>
          <w:szCs w:val="20"/>
          <w:color w:val="auto"/>
        </w:rPr>
      </w:pPr>
    </w:p>
    <w:p>
      <w:pPr>
        <w:ind w:right="140" w:firstLine="315"/>
        <w:spacing w:after="0" w:line="265" w:lineRule="auto"/>
        <w:rPr>
          <w:sz w:val="20"/>
          <w:szCs w:val="20"/>
          <w:color w:val="auto"/>
        </w:rPr>
      </w:pPr>
      <w:r>
        <w:rPr>
          <w:rFonts w:ascii="Arial" w:cs="Arial" w:eastAsia="Arial" w:hAnsi="Arial"/>
          <w:sz w:val="17"/>
          <w:szCs w:val="17"/>
          <w:color w:val="auto"/>
        </w:rPr>
        <w:t>On the Closing Date, and in connection with the financing of the Acquisition of KCG, the Company issued to North Island Holdings I, LP (“NIH”) 39,725,979 shares of the Company’s Class A common stock for an aggregate purchase price of approximately $613.5 million. On August 10, 2017 the Company issued an additional 338,124 shares of its Class A common stock for an aggregate purchase price of $5.2 million (collectively, the “NIH Investment”). In connection with the Temasek Investment and NIH Investment, the Company incurred approximately $7.8 million in fees which were recorded as a reduction to additional paid-in capital.</w:t>
      </w:r>
    </w:p>
    <w:p>
      <w:pPr>
        <w:spacing w:after="0" w:line="181" w:lineRule="exact"/>
        <w:rPr>
          <w:sz w:val="20"/>
          <w:szCs w:val="20"/>
          <w:color w:val="auto"/>
        </w:rPr>
      </w:pPr>
    </w:p>
    <w:p>
      <w:pPr>
        <w:ind w:right="320" w:firstLine="315"/>
        <w:spacing w:after="0" w:line="290" w:lineRule="auto"/>
        <w:rPr>
          <w:sz w:val="20"/>
          <w:szCs w:val="20"/>
          <w:color w:val="auto"/>
        </w:rPr>
      </w:pPr>
      <w:r>
        <w:rPr>
          <w:rFonts w:ascii="Arial" w:cs="Arial" w:eastAsia="Arial" w:hAnsi="Arial"/>
          <w:sz w:val="16"/>
          <w:szCs w:val="16"/>
          <w:color w:val="auto"/>
        </w:rPr>
        <w:t>On July 21, 2017, the outstanding 6.875% Senior Secured Notes due 2020 issued by KCG were redeemed at a redemption price equal to 103.438% of the $465.0 million principal amount, plus accrued and unpaid interest. The redemption was pursuant to the indenture, dated as of March 13, 2015 (as amended, restated, supplemented or otherwise modified), by and among KCG, the subsidiary guarantors party thereto and The Bank of New York Mellon, as trustee and collateral agent. See "Fourth Amended and Restated Credit Agreement" and "Senior Secured Second Lien Notes" in Note 10 "Borrowings".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treatment of the acquisition</w:t>
      </w:r>
    </w:p>
    <w:p>
      <w:pPr>
        <w:spacing w:after="0" w:line="224"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 xml:space="preserve">The Acquisition of KCG has been accounted for as a purchase of KCG by the Company, pursuant to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the acquisition method of accounting, the assets and liabilities of KCG, as of July 20, 2017, were recorded at their respective fair values and added to the carrying value of the Company's existing assets and liabilities. These fair values were determined with the assistance of third party valuation professionals. The reported financial condition, results of operations and cash flows of the Company for the periods following the Acquisition of KCG reflect KCG’s and the Company's balances and reflect the impact of purchase accounting adjustments.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 and goodwill</w:t>
      </w:r>
    </w:p>
    <w:p>
      <w:pPr>
        <w:spacing w:after="0" w:line="224" w:lineRule="exact"/>
        <w:rPr>
          <w:sz w:val="20"/>
          <w:szCs w:val="20"/>
          <w:color w:val="auto"/>
        </w:rPr>
      </w:pPr>
    </w:p>
    <w:p>
      <w:pPr>
        <w:ind w:right="20" w:firstLine="315"/>
        <w:spacing w:after="0" w:line="360" w:lineRule="auto"/>
        <w:rPr>
          <w:sz w:val="20"/>
          <w:szCs w:val="20"/>
          <w:color w:val="auto"/>
        </w:rPr>
      </w:pPr>
      <w:r>
        <w:rPr>
          <w:rFonts w:ascii="Arial" w:cs="Arial" w:eastAsia="Arial" w:hAnsi="Arial"/>
          <w:sz w:val="15"/>
          <w:szCs w:val="15"/>
          <w:color w:val="auto"/>
        </w:rPr>
        <w:t>The aggregate cash purchase price of $1.4 billion was determined as the sum of the fair value, at $20.00 per share, of KCG shares and warrants outstanding to former KCG stockholders at closing and the fair value of KCG employee stock based awards that were outstanding, and which vested at the Closing Date.</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127"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80" w:firstLine="315"/>
        <w:spacing w:after="0" w:line="298" w:lineRule="auto"/>
        <w:rPr>
          <w:sz w:val="20"/>
          <w:szCs w:val="20"/>
          <w:color w:val="auto"/>
        </w:rPr>
      </w:pPr>
      <w:r>
        <w:rPr>
          <w:rFonts w:ascii="Arial" w:cs="Arial" w:eastAsia="Arial" w:hAnsi="Arial"/>
          <w:sz w:val="16"/>
          <w:szCs w:val="16"/>
          <w:color w:val="auto"/>
        </w:rPr>
        <w:t>The purchase price has been allocated to the assets acquired and liabilities assumed using their estimated fair values at the Closing Date of the Acquisition of KCG. Adjustments to the provisional values during the measurement period were recorded in the reporting period in which the adjustment amounts were determined. No further adjustments to the provisional values remain. The Company engaged third party specialists for the purchase price allocation.</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Amounts allocated to intangible assets, the amortization period and goodwill were as follows:</w:t>
      </w:r>
    </w:p>
    <w:p>
      <w:pPr>
        <w:spacing w:after="0" w:line="380" w:lineRule="exact"/>
        <w:rPr>
          <w:sz w:val="20"/>
          <w:szCs w:val="20"/>
          <w:color w:val="auto"/>
        </w:rPr>
      </w:pPr>
    </w:p>
    <w:tbl>
      <w:tblPr>
        <w:tblLayout w:type="fixed"/>
        <w:tblInd w:w="216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Amortization</w:t>
            </w:r>
          </w:p>
        </w:tc>
      </w:tr>
      <w:tr>
        <w:trPr>
          <w:trHeight w:val="23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Amount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r>
      <w:tr>
        <w:trPr>
          <w:trHeight w:val="22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67,700</w:t>
            </w:r>
          </w:p>
        </w:tc>
        <w:tc>
          <w:tcPr>
            <w:tcW w:w="192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86"/>
              </w:rPr>
              <w:t>1-6 years</w:t>
            </w:r>
          </w:p>
        </w:tc>
      </w:tr>
      <w:tr>
        <w:trPr>
          <w:trHeight w:val="217"/>
        </w:trPr>
        <w:tc>
          <w:tcPr>
            <w:tcW w:w="36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94,000</w:t>
            </w:r>
          </w:p>
        </w:tc>
        <w:tc>
          <w:tcPr>
            <w:tcW w:w="1920" w:type="dxa"/>
            <w:vAlign w:val="bottom"/>
          </w:tcPr>
          <w:p>
            <w:pPr>
              <w:jc w:val="center"/>
              <w:ind w:left="141"/>
              <w:spacing w:after="0"/>
              <w:rPr>
                <w:sz w:val="20"/>
                <w:szCs w:val="20"/>
                <w:color w:val="auto"/>
              </w:rPr>
            </w:pPr>
            <w:r>
              <w:rPr>
                <w:rFonts w:ascii="Arial" w:cs="Arial" w:eastAsia="Arial" w:hAnsi="Arial"/>
                <w:sz w:val="16"/>
                <w:szCs w:val="16"/>
                <w:color w:val="auto"/>
                <w:w w:val="87"/>
              </w:rPr>
              <w:t>13 - 17 years</w:t>
            </w:r>
          </w:p>
        </w:tc>
      </w:tr>
      <w:tr>
        <w:trPr>
          <w:trHeight w:val="33"/>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1,000</w:t>
            </w:r>
          </w:p>
        </w:tc>
        <w:tc>
          <w:tcPr>
            <w:tcW w:w="192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87"/>
              </w:rPr>
              <w:t>10 years</w:t>
            </w:r>
          </w:p>
        </w:tc>
      </w:tr>
      <w:tr>
        <w:trPr>
          <w:trHeight w:val="217"/>
        </w:trPr>
        <w:tc>
          <w:tcPr>
            <w:tcW w:w="3680" w:type="dxa"/>
            <w:vAlign w:val="bottom"/>
          </w:tcPr>
          <w:p>
            <w:pPr>
              <w:ind w:left="20"/>
              <w:spacing w:after="0"/>
              <w:rPr>
                <w:sz w:val="20"/>
                <w:szCs w:val="20"/>
                <w:color w:val="auto"/>
              </w:rPr>
            </w:pPr>
            <w:r>
              <w:rPr>
                <w:rFonts w:ascii="Arial" w:cs="Arial" w:eastAsia="Arial" w:hAnsi="Arial"/>
                <w:sz w:val="16"/>
                <w:szCs w:val="16"/>
                <w:color w:val="auto"/>
              </w:rPr>
              <w:t>Favorable leases</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5,895</w:t>
            </w:r>
          </w:p>
        </w:tc>
        <w:tc>
          <w:tcPr>
            <w:tcW w:w="1920" w:type="dxa"/>
            <w:vAlign w:val="bottom"/>
          </w:tcPr>
          <w:p>
            <w:pPr>
              <w:jc w:val="center"/>
              <w:ind w:left="141"/>
              <w:spacing w:after="0"/>
              <w:rPr>
                <w:sz w:val="20"/>
                <w:szCs w:val="20"/>
                <w:color w:val="auto"/>
              </w:rPr>
            </w:pPr>
            <w:r>
              <w:rPr>
                <w:rFonts w:ascii="Arial" w:cs="Arial" w:eastAsia="Arial" w:hAnsi="Arial"/>
                <w:sz w:val="16"/>
                <w:szCs w:val="16"/>
                <w:color w:val="auto"/>
                <w:w w:val="87"/>
              </w:rPr>
              <w:t>2-15 years</w:t>
            </w:r>
          </w:p>
        </w:tc>
      </w:tr>
      <w:tr>
        <w:trPr>
          <w:trHeight w:val="33"/>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Exchange memberships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6,400</w:t>
            </w:r>
          </w:p>
        </w:tc>
        <w:tc>
          <w:tcPr>
            <w:tcW w:w="192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95"/>
              </w:rPr>
              <w:t>Indefinite</w:t>
            </w:r>
          </w:p>
        </w:tc>
      </w:tr>
      <w:tr>
        <w:trPr>
          <w:trHeight w:val="210"/>
        </w:trPr>
        <w:tc>
          <w:tcPr>
            <w:tcW w:w="368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3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174,995</w:t>
            </w:r>
          </w:p>
        </w:tc>
        <w:tc>
          <w:tcPr>
            <w:tcW w:w="1920" w:type="dxa"/>
            <w:vAlign w:val="bottom"/>
          </w:tcPr>
          <w:p>
            <w:pPr>
              <w:spacing w:after="0"/>
              <w:rPr>
                <w:sz w:val="18"/>
                <w:szCs w:val="18"/>
                <w:color w:val="auto"/>
              </w:rPr>
            </w:pPr>
          </w:p>
        </w:tc>
      </w:tr>
      <w:tr>
        <w:trPr>
          <w:trHeight w:val="33"/>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9"/>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128,286</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36"/>
        </w:trPr>
        <w:tc>
          <w:tcPr>
            <w:tcW w:w="3680" w:type="dxa"/>
            <w:vAlign w:val="bottom"/>
          </w:tcPr>
          <w:p>
            <w:pPr>
              <w:ind w:left="16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303,281</w:t>
            </w:r>
          </w:p>
        </w:tc>
        <w:tc>
          <w:tcPr>
            <w:tcW w:w="192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Of the total Goodwill of $128.3 million, $96.2 million has been assigned to the Market Making segment and $32.1 million has been assigned to the Execution Services segment. Such goodwill is attributable to the expansion of products offerings and expected synergies of the combined workforce, products and technologies of the Company and KCG.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treatment of the Acquisition</w:t>
      </w:r>
    </w:p>
    <w:p>
      <w:pPr>
        <w:spacing w:after="0" w:line="224" w:lineRule="exact"/>
        <w:rPr>
          <w:sz w:val="20"/>
          <w:szCs w:val="20"/>
          <w:color w:val="auto"/>
        </w:rPr>
      </w:pPr>
    </w:p>
    <w:p>
      <w:pPr>
        <w:ind w:right="40" w:firstLine="315"/>
        <w:spacing w:after="0" w:line="274" w:lineRule="auto"/>
        <w:rPr>
          <w:sz w:val="20"/>
          <w:szCs w:val="20"/>
          <w:color w:val="auto"/>
        </w:rPr>
      </w:pPr>
      <w:r>
        <w:rPr>
          <w:rFonts w:ascii="Arial" w:cs="Arial" w:eastAsia="Arial" w:hAnsi="Arial"/>
          <w:sz w:val="17"/>
          <w:szCs w:val="17"/>
          <w:color w:val="auto"/>
        </w:rPr>
        <w:t>The Company believes that the Acquisition of KCG will be treated as a tax-free transaction to the Company that does not result in a step up in tax basis in the acquired assets and, therefore, KCG’s tax basis in its assets and liabilities generally carries over to the Company following the Acquisition of KCG. None of the goodwill is expected to be deductible for tax purposes.</w:t>
      </w:r>
    </w:p>
    <w:p>
      <w:pPr>
        <w:spacing w:after="0" w:line="170" w:lineRule="exact"/>
        <w:rPr>
          <w:sz w:val="20"/>
          <w:szCs w:val="20"/>
          <w:color w:val="auto"/>
        </w:rPr>
      </w:pPr>
    </w:p>
    <w:p>
      <w:pPr>
        <w:ind w:right="580" w:firstLine="315"/>
        <w:spacing w:after="0" w:line="274" w:lineRule="auto"/>
        <w:rPr>
          <w:sz w:val="20"/>
          <w:szCs w:val="20"/>
          <w:color w:val="auto"/>
        </w:rPr>
      </w:pPr>
      <w:r>
        <w:rPr>
          <w:rFonts w:ascii="Arial" w:cs="Arial" w:eastAsia="Arial" w:hAnsi="Arial"/>
          <w:sz w:val="17"/>
          <w:szCs w:val="17"/>
          <w:color w:val="auto"/>
        </w:rPr>
        <w:t>The Company recorded net deferred tax assets of $23.9 million with respect to recording KCG’s assets and liabilities under the purchase method of accounting as described above as well as recording the value of other tax attributes acquired as a result of the Acquisition of KCG, as described in Note 14 "Income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Sale of BondPoint</w:t>
      </w:r>
    </w:p>
    <w:p>
      <w:pPr>
        <w:spacing w:after="0" w:line="230" w:lineRule="exact"/>
        <w:rPr>
          <w:sz w:val="20"/>
          <w:szCs w:val="20"/>
          <w:color w:val="auto"/>
        </w:rPr>
      </w:pPr>
    </w:p>
    <w:p>
      <w:pPr>
        <w:ind w:right="100" w:firstLine="315"/>
        <w:spacing w:after="0" w:line="268" w:lineRule="auto"/>
        <w:rPr>
          <w:sz w:val="20"/>
          <w:szCs w:val="20"/>
          <w:color w:val="auto"/>
        </w:rPr>
      </w:pPr>
      <w:r>
        <w:rPr>
          <w:rFonts w:ascii="Arial" w:cs="Arial" w:eastAsia="Arial" w:hAnsi="Arial"/>
          <w:sz w:val="17"/>
          <w:szCs w:val="17"/>
          <w:color w:val="auto"/>
        </w:rPr>
        <w:t>In October 2017, the Company entered into an Asset Purchase Agreement (the “BondPoint Agreement”) with Intercontinental Exchange ("ICE") pursuant to which the Company has agreed to sell specified assets and to assign specified liabilities constituting its BondPoint division and fixed income venue (“BondPoint”). BondPoint is a provider of electronic fixed income trading solutions for the buy-side and sell-side offering access to centralized liquidity and automated trade execution services.</w:t>
      </w:r>
    </w:p>
    <w:p>
      <w:pPr>
        <w:spacing w:after="0" w:line="177"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As of December 31, 2017, the Company transferred the carrying value of BondPoint to assets held for sale; refer to Note 4 “Business held for sale” in the 2017 Form 10-K. On January 2, 2018, the Company completed the sale of BondPoint to ICE for total gross proceeds of $400.2 million in cash. The Company incurred one-time transaction costs of $8.5 million, which include professional fees of $7.1 million related to the sale and $1.4 million of compensation expense, which is recorded in Transaction advisory fees and expenses and Employee compensation and payroll taxes, respectively, on the condensed consolidated statement of comprehensive income. The Company recognized a gain on sale of $337.6 million, which is recorded in Other, net on the condensed consolidated statement of comprehensive income for the nine months ended September 30, 2018.</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carrying value of BondPoint and gain on sale of BondPoint is as follows: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127"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(in thousands)</w:t>
      </w:r>
    </w:p>
    <w:p>
      <w:pPr>
        <w:spacing w:after="0" w:line="29" w:lineRule="exact"/>
        <w:rPr>
          <w:sz w:val="20"/>
          <w:szCs w:val="20"/>
          <w:color w:val="auto"/>
        </w:rPr>
      </w:pPr>
    </w:p>
    <w:tbl>
      <w:tblPr>
        <w:tblLayout w:type="fixed"/>
        <w:tblInd w:w="2100" w:type="dxa"/>
        <w:tblCellMar>
          <w:top w:w="0" w:type="dxa"/>
          <w:left w:w="0" w:type="dxa"/>
          <w:bottom w:w="0" w:type="dxa"/>
          <w:right w:w="0" w:type="dxa"/>
        </w:tblCellMar>
      </w:tblPr>
      <w:tr>
        <w:trPr>
          <w:trHeight w:val="256"/>
        </w:trPr>
        <w:tc>
          <w:tcPr>
            <w:tcW w:w="5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sale proceeds received</w:t>
            </w:r>
          </w:p>
        </w:tc>
        <w:tc>
          <w:tcPr>
            <w:tcW w:w="460" w:type="dxa"/>
            <w:vAlign w:val="bottom"/>
            <w:tcBorders>
              <w:top w:val="single" w:sz="8" w:color="auto"/>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400,192</w:t>
            </w:r>
          </w:p>
        </w:tc>
      </w:tr>
      <w:tr>
        <w:trPr>
          <w:trHeight w:val="230"/>
        </w:trPr>
        <w:tc>
          <w:tcPr>
            <w:tcW w:w="5840" w:type="dxa"/>
            <w:vAlign w:val="bottom"/>
          </w:tcPr>
          <w:p>
            <w:pPr>
              <w:ind w:left="20"/>
              <w:spacing w:after="0"/>
              <w:rPr>
                <w:sz w:val="20"/>
                <w:szCs w:val="20"/>
                <w:color w:val="auto"/>
              </w:rPr>
            </w:pPr>
            <w:r>
              <w:rPr>
                <w:rFonts w:ascii="Arial" w:cs="Arial" w:eastAsia="Arial" w:hAnsi="Arial"/>
                <w:sz w:val="16"/>
                <w:szCs w:val="16"/>
                <w:color w:val="auto"/>
              </w:rPr>
              <w:t>Business assets and liabilities held for sale as of December 31, 2017:</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Receivables from broker dealers and clearing organizations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3,383</w:t>
            </w:r>
          </w:p>
        </w:tc>
      </w:tr>
      <w:tr>
        <w:trPr>
          <w:trHeight w:val="230"/>
        </w:trPr>
        <w:tc>
          <w:tcPr>
            <w:tcW w:w="5840" w:type="dxa"/>
            <w:vAlign w:val="bottom"/>
          </w:tcPr>
          <w:p>
            <w:pPr>
              <w:ind w:left="140"/>
              <w:spacing w:after="0"/>
              <w:rPr>
                <w:sz w:val="20"/>
                <w:szCs w:val="20"/>
                <w:color w:val="auto"/>
              </w:rPr>
            </w:pPr>
            <w:r>
              <w:rPr>
                <w:rFonts w:ascii="Arial" w:cs="Arial" w:eastAsia="Arial" w:hAnsi="Arial"/>
                <w:sz w:val="16"/>
                <w:szCs w:val="16"/>
                <w:color w:val="auto"/>
              </w:rPr>
              <w:t>Intangibles and other assets</w:t>
            </w:r>
          </w:p>
        </w:tc>
        <w:tc>
          <w:tcPr>
            <w:tcW w:w="4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51,687</w:t>
            </w: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Total carrying value of BondPoint as of December 31, 2017:</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54,342</w:t>
            </w: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adjustment allocated to BondPoint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8,300</w:t>
            </w: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Gain on sale of BondPoint</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337,550</w:t>
            </w: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Transaction costs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8,568</w:t>
            </w:r>
          </w:p>
        </w:tc>
      </w:tr>
      <w:tr>
        <w:trPr>
          <w:trHeight w:val="236"/>
        </w:trPr>
        <w:tc>
          <w:tcPr>
            <w:tcW w:w="5840" w:type="dxa"/>
            <w:vAlign w:val="bottom"/>
          </w:tcPr>
          <w:p>
            <w:pPr>
              <w:ind w:left="20"/>
              <w:spacing w:after="0"/>
              <w:rPr>
                <w:sz w:val="20"/>
                <w:szCs w:val="20"/>
                <w:color w:val="auto"/>
              </w:rPr>
            </w:pPr>
            <w:r>
              <w:rPr>
                <w:rFonts w:ascii="Arial" w:cs="Arial" w:eastAsia="Arial" w:hAnsi="Arial"/>
                <w:sz w:val="16"/>
                <w:szCs w:val="16"/>
                <w:color w:val="auto"/>
              </w:rPr>
              <w:t>Gain on sale of BondPoint, net of transaction costs</w:t>
            </w: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328,982</w:t>
            </w:r>
          </w:p>
        </w:tc>
      </w:tr>
      <w:tr>
        <w:trPr>
          <w:trHeight w:val="20"/>
        </w:trPr>
        <w:tc>
          <w:tcPr>
            <w:tcW w:w="5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Earnings per Share</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below table contains a reconciliation of net income before noncontrolling interest to net income available for common stockholders: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60" w:type="dxa"/>
            <w:vAlign w:val="bottom"/>
            <w:gridSpan w:val="4"/>
          </w:tcPr>
          <w:p>
            <w:pPr>
              <w:jc w:val="right"/>
              <w:ind w:right="146"/>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5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8"/>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 and noncontrolling interest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29,425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547,585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(17,421)</w:t>
            </w:r>
          </w:p>
        </w:tc>
        <w:tc>
          <w:tcPr>
            <w:tcW w:w="0" w:type="dxa"/>
            <w:vAlign w:val="bottom"/>
          </w:tcPr>
          <w:p>
            <w:pPr>
              <w:spacing w:after="0"/>
              <w:rPr>
                <w:sz w:val="1"/>
                <w:szCs w:val="1"/>
                <w:color w:val="auto"/>
              </w:rPr>
            </w:pPr>
          </w:p>
        </w:tc>
      </w:tr>
      <w:tr>
        <w:trPr>
          <w:trHeight w:val="257"/>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13,815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75,330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48"/>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15,610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472,255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(14,503)</w:t>
            </w:r>
          </w:p>
        </w:tc>
        <w:tc>
          <w:tcPr>
            <w:tcW w:w="0" w:type="dxa"/>
            <w:vAlign w:val="bottom"/>
          </w:tcPr>
          <w:p>
            <w:pPr>
              <w:spacing w:after="0"/>
              <w:rPr>
                <w:sz w:val="1"/>
                <w:szCs w:val="1"/>
                <w:color w:val="auto"/>
              </w:rPr>
            </w:pPr>
          </w:p>
        </w:tc>
      </w:tr>
      <w:tr>
        <w:trPr>
          <w:trHeight w:val="276"/>
        </w:trPr>
        <w:tc>
          <w:tcPr>
            <w:tcW w:w="5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(6,998)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26,472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6,466</w:t>
            </w:r>
          </w:p>
        </w:tc>
        <w:tc>
          <w:tcPr>
            <w:tcW w:w="0" w:type="dxa"/>
            <w:vAlign w:val="bottom"/>
          </w:tcPr>
          <w:p>
            <w:pPr>
              <w:spacing w:after="0"/>
              <w:rPr>
                <w:sz w:val="1"/>
                <w:szCs w:val="1"/>
                <w:color w:val="auto"/>
              </w:rPr>
            </w:pPr>
          </w:p>
        </w:tc>
      </w:tr>
      <w:tr>
        <w:trPr>
          <w:trHeight w:val="276"/>
        </w:trPr>
        <w:tc>
          <w:tcPr>
            <w:tcW w:w="58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8,612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208,573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(8,037)</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180"/>
              <w:spacing w:after="0"/>
              <w:rPr>
                <w:sz w:val="20"/>
                <w:szCs w:val="20"/>
                <w:color w:val="auto"/>
              </w:rPr>
            </w:pPr>
            <w:r>
              <w:rPr>
                <w:rFonts w:ascii="Arial" w:cs="Arial" w:eastAsia="Arial" w:hAnsi="Arial"/>
                <w:sz w:val="17"/>
                <w:szCs w:val="17"/>
                <w:color w:val="auto"/>
              </w:rPr>
              <w:t>The calculation of basic and diluted earnings per share is presented below:</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24"/>
                <w:szCs w:val="24"/>
                <w:color w:val="auto"/>
              </w:rPr>
            </w:pPr>
          </w:p>
        </w:tc>
        <w:tc>
          <w:tcPr>
            <w:tcW w:w="2360" w:type="dxa"/>
            <w:vAlign w:val="bottom"/>
            <w:gridSpan w:val="4"/>
          </w:tcPr>
          <w:p>
            <w:pPr>
              <w:jc w:val="right"/>
              <w:ind w:right="146"/>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1"/>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8,612</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(13,518)</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208,573</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
              <w:spacing w:after="0"/>
              <w:rPr>
                <w:sz w:val="20"/>
                <w:szCs w:val="20"/>
                <w:color w:val="auto"/>
              </w:rPr>
            </w:pPr>
            <w:r>
              <w:rPr>
                <w:rFonts w:ascii="Arial" w:cs="Arial" w:eastAsia="Arial" w:hAnsi="Arial"/>
                <w:sz w:val="14"/>
                <w:szCs w:val="14"/>
                <w:color w:val="auto"/>
              </w:rPr>
              <w:t>(8,037)</w:t>
            </w:r>
          </w:p>
        </w:tc>
        <w:tc>
          <w:tcPr>
            <w:tcW w:w="0" w:type="dxa"/>
            <w:vAlign w:val="bottom"/>
          </w:tcPr>
          <w:p>
            <w:pPr>
              <w:spacing w:after="0"/>
              <w:rPr>
                <w:sz w:val="1"/>
                <w:szCs w:val="1"/>
                <w:color w:val="auto"/>
              </w:rPr>
            </w:pPr>
          </w:p>
        </w:tc>
      </w:tr>
      <w:tr>
        <w:trPr>
          <w:trHeight w:val="268"/>
        </w:trPr>
        <w:tc>
          <w:tcPr>
            <w:tcW w:w="592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37"/>
        </w:trPr>
        <w:tc>
          <w:tcPr>
            <w:tcW w:w="592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w w:val="97"/>
              </w:rPr>
              <w:t>Net income (loss) available for common stockholders, net of dividends and undistributed earnings</w:t>
            </w: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allocated to participating securities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8,194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204,544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(9,034)</w:t>
            </w:r>
          </w:p>
        </w:tc>
        <w:tc>
          <w:tcPr>
            <w:tcW w:w="0" w:type="dxa"/>
            <w:vAlign w:val="bottom"/>
          </w:tcPr>
          <w:p>
            <w:pPr>
              <w:spacing w:after="0"/>
              <w:rPr>
                <w:sz w:val="1"/>
                <w:szCs w:val="1"/>
                <w:color w:val="auto"/>
              </w:rPr>
            </w:pPr>
          </w:p>
        </w:tc>
      </w:tr>
      <w:tr>
        <w:trPr>
          <w:trHeight w:val="262"/>
        </w:trPr>
        <w:tc>
          <w:tcPr>
            <w:tcW w:w="592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20" w:type="dxa"/>
            <w:vAlign w:val="bottom"/>
            <w:gridSpan w:val="2"/>
          </w:tcPr>
          <w:p>
            <w:pPr>
              <w:ind w:left="260"/>
              <w:spacing w:after="0"/>
              <w:rPr>
                <w:sz w:val="20"/>
                <w:szCs w:val="20"/>
                <w:color w:val="auto"/>
              </w:rPr>
            </w:pPr>
            <w:r>
              <w:rPr>
                <w:rFonts w:ascii="Arial" w:cs="Arial" w:eastAsia="Arial" w:hAnsi="Arial"/>
                <w:sz w:val="14"/>
                <w:szCs w:val="14"/>
                <w:color w:val="auto"/>
              </w:rPr>
              <w:t>Class A</w:t>
            </w:r>
          </w:p>
        </w:tc>
        <w:tc>
          <w:tcPr>
            <w:tcW w:w="180" w:type="dxa"/>
            <w:vAlign w:val="bottom"/>
          </w:tcPr>
          <w:p>
            <w:pPr>
              <w:spacing w:after="0"/>
              <w:rPr>
                <w:sz w:val="22"/>
                <w:szCs w:val="22"/>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106,692,034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79,199,142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99,038,084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6"/>
              <w:spacing w:after="0"/>
              <w:rPr>
                <w:sz w:val="20"/>
                <w:szCs w:val="20"/>
                <w:color w:val="auto"/>
              </w:rPr>
            </w:pPr>
            <w:r>
              <w:rPr>
                <w:rFonts w:ascii="Arial" w:cs="Arial" w:eastAsia="Arial" w:hAnsi="Arial"/>
                <w:sz w:val="14"/>
                <w:szCs w:val="14"/>
                <w:color w:val="auto"/>
              </w:rPr>
              <w:t>53,520,346</w:t>
            </w:r>
          </w:p>
        </w:tc>
        <w:tc>
          <w:tcPr>
            <w:tcW w:w="0" w:type="dxa"/>
            <w:vAlign w:val="bottom"/>
          </w:tcPr>
          <w:p>
            <w:pPr>
              <w:spacing w:after="0"/>
              <w:rPr>
                <w:sz w:val="1"/>
                <w:szCs w:val="1"/>
                <w:color w:val="auto"/>
              </w:rPr>
            </w:pPr>
          </w:p>
        </w:tc>
      </w:tr>
      <w:tr>
        <w:trPr>
          <w:trHeight w:val="268"/>
        </w:trPr>
        <w:tc>
          <w:tcPr>
            <w:tcW w:w="592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Basic earnings per share</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548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7" w:right="3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57"/>
        </w:trPr>
        <w:tc>
          <w:tcPr>
            <w:tcW w:w="100" w:type="dxa"/>
            <w:vAlign w:val="bottom"/>
          </w:tcPr>
          <w:p>
            <w:pPr>
              <w:spacing w:after="0"/>
              <w:rPr>
                <w:sz w:val="22"/>
                <w:szCs w:val="22"/>
                <w:color w:val="auto"/>
              </w:rPr>
            </w:pPr>
          </w:p>
        </w:tc>
        <w:tc>
          <w:tcPr>
            <w:tcW w:w="5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61"/>
        </w:trPr>
        <w:tc>
          <w:tcPr>
            <w:tcW w:w="100" w:type="dxa"/>
            <w:vAlign w:val="bottom"/>
          </w:tcPr>
          <w:p>
            <w:pPr>
              <w:spacing w:after="0"/>
              <w:rPr>
                <w:sz w:val="22"/>
                <w:szCs w:val="22"/>
                <w:color w:val="auto"/>
              </w:rPr>
            </w:pPr>
          </w:p>
        </w:tc>
        <w:tc>
          <w:tcPr>
            <w:tcW w:w="5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52"/>
        </w:trPr>
        <w:tc>
          <w:tcPr>
            <w:tcW w:w="100" w:type="dxa"/>
            <w:vAlign w:val="bottom"/>
          </w:tcPr>
          <w:p>
            <w:pPr>
              <w:spacing w:after="0"/>
              <w:rPr>
                <w:sz w:val="13"/>
                <w:szCs w:val="13"/>
                <w:color w:val="auto"/>
              </w:rPr>
            </w:pPr>
          </w:p>
        </w:tc>
        <w:tc>
          <w:tcPr>
            <w:tcW w:w="5960" w:type="dxa"/>
            <w:vAlign w:val="bottom"/>
            <w:gridSpan w:val="3"/>
          </w:tcPr>
          <w:p>
            <w:pPr>
              <w:ind w:left="40"/>
              <w:spacing w:after="0" w:line="152" w:lineRule="exact"/>
              <w:rPr>
                <w:sz w:val="20"/>
                <w:szCs w:val="20"/>
                <w:color w:val="auto"/>
              </w:rPr>
            </w:pPr>
            <w:r>
              <w:rPr>
                <w:rFonts w:ascii="Arial" w:cs="Arial" w:eastAsia="Arial" w:hAnsi="Arial"/>
                <w:sz w:val="14"/>
                <w:szCs w:val="14"/>
                <w:color w:val="auto"/>
                <w:w w:val="97"/>
              </w:rPr>
              <w:t>Net income (loss) available for common stockholders, net of dividends and undistributed earnings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4"/>
        </w:trPr>
        <w:tc>
          <w:tcPr>
            <w:tcW w:w="100" w:type="dxa"/>
            <w:vAlign w:val="bottom"/>
          </w:tcPr>
          <w:p>
            <w:pPr>
              <w:spacing w:after="0"/>
              <w:rPr>
                <w:sz w:val="15"/>
                <w:szCs w:val="15"/>
                <w:color w:val="auto"/>
              </w:rPr>
            </w:pPr>
          </w:p>
        </w:tc>
        <w:tc>
          <w:tcPr>
            <w:tcW w:w="5960" w:type="dxa"/>
            <w:vAlign w:val="bottom"/>
            <w:gridSpan w:val="3"/>
          </w:tcPr>
          <w:p>
            <w:pPr>
              <w:ind w:left="40"/>
              <w:spacing w:after="0"/>
              <w:rPr>
                <w:sz w:val="20"/>
                <w:szCs w:val="20"/>
                <w:color w:val="auto"/>
              </w:rPr>
            </w:pPr>
            <w:r>
              <w:rPr>
                <w:rFonts w:ascii="Arial" w:cs="Arial" w:eastAsia="Arial" w:hAnsi="Arial"/>
                <w:sz w:val="14"/>
                <w:szCs w:val="14"/>
                <w:color w:val="auto"/>
              </w:rPr>
              <w:t>allocated to participating securities</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8,194</w:t>
            </w:r>
          </w:p>
        </w:tc>
        <w:tc>
          <w:tcPr>
            <w:tcW w:w="12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(13,832)</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204,544</w:t>
            </w:r>
          </w:p>
        </w:tc>
        <w:tc>
          <w:tcPr>
            <w:tcW w:w="12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(9,034)</w:t>
            </w:r>
          </w:p>
        </w:tc>
      </w:tr>
      <w:tr>
        <w:trPr>
          <w:trHeight w:val="268"/>
        </w:trPr>
        <w:tc>
          <w:tcPr>
            <w:tcW w:w="100" w:type="dxa"/>
            <w:vAlign w:val="bottom"/>
          </w:tcPr>
          <w:p>
            <w:pPr>
              <w:spacing w:after="0"/>
              <w:rPr>
                <w:sz w:val="23"/>
                <w:szCs w:val="23"/>
                <w:color w:val="auto"/>
              </w:rPr>
            </w:pPr>
          </w:p>
        </w:tc>
        <w:tc>
          <w:tcPr>
            <w:tcW w:w="338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57"/>
        </w:trPr>
        <w:tc>
          <w:tcPr>
            <w:tcW w:w="100" w:type="dxa"/>
            <w:vAlign w:val="bottom"/>
          </w:tcPr>
          <w:p>
            <w:pPr>
              <w:spacing w:after="0"/>
              <w:rPr>
                <w:sz w:val="22"/>
                <w:szCs w:val="22"/>
                <w:color w:val="auto"/>
              </w:rPr>
            </w:pPr>
          </w:p>
        </w:tc>
        <w:tc>
          <w:tcPr>
            <w:tcW w:w="5960" w:type="dxa"/>
            <w:vAlign w:val="bottom"/>
            <w:gridSpan w:val="3"/>
          </w:tcPr>
          <w:p>
            <w:pPr>
              <w:ind w:left="40"/>
              <w:spacing w:after="0"/>
              <w:rPr>
                <w:sz w:val="20"/>
                <w:szCs w:val="20"/>
                <w:color w:val="auto"/>
              </w:rPr>
            </w:pPr>
            <w:r>
              <w:rPr>
                <w:rFonts w:ascii="Arial" w:cs="Arial" w:eastAsia="Arial" w:hAnsi="Arial"/>
                <w:sz w:val="14"/>
                <w:szCs w:val="14"/>
                <w:color w:val="auto"/>
              </w:rPr>
              <w:t>Weighted average shares of common stock outstanding:</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8"/>
        </w:trPr>
        <w:tc>
          <w:tcPr>
            <w:tcW w:w="100" w:type="dxa"/>
            <w:vAlign w:val="bottom"/>
          </w:tcPr>
          <w:p>
            <w:pPr>
              <w:spacing w:after="0"/>
              <w:rPr>
                <w:sz w:val="21"/>
                <w:szCs w:val="21"/>
                <w:color w:val="auto"/>
              </w:rPr>
            </w:pPr>
          </w:p>
        </w:tc>
        <w:tc>
          <w:tcPr>
            <w:tcW w:w="5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4"/>
                <w:szCs w:val="14"/>
                <w:color w:val="auto"/>
              </w:rPr>
              <w:t>Class A</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57"/>
        </w:trPr>
        <w:tc>
          <w:tcPr>
            <w:tcW w:w="100" w:type="dxa"/>
            <w:vAlign w:val="bottom"/>
          </w:tcPr>
          <w:p>
            <w:pPr>
              <w:spacing w:after="0"/>
              <w:rPr>
                <w:sz w:val="22"/>
                <w:szCs w:val="22"/>
                <w:color w:val="auto"/>
              </w:rPr>
            </w:pPr>
          </w:p>
        </w:tc>
        <w:tc>
          <w:tcPr>
            <w:tcW w:w="5960" w:type="dxa"/>
            <w:vAlign w:val="bottom"/>
            <w:gridSpan w:val="3"/>
          </w:tcPr>
          <w:p>
            <w:pPr>
              <w:ind w:left="380"/>
              <w:spacing w:after="0"/>
              <w:rPr>
                <w:sz w:val="20"/>
                <w:szCs w:val="20"/>
                <w:color w:val="auto"/>
              </w:rPr>
            </w:pPr>
            <w:r>
              <w:rPr>
                <w:rFonts w:ascii="Arial" w:cs="Arial" w:eastAsia="Arial" w:hAnsi="Arial"/>
                <w:sz w:val="14"/>
                <w:szCs w:val="14"/>
                <w:color w:val="auto"/>
              </w:rPr>
              <w:t>Issued and outstanding</w:t>
            </w:r>
          </w:p>
        </w:tc>
        <w:tc>
          <w:tcPr>
            <w:tcW w:w="18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106,692,034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79,199,142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99,038,084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53,520,346</w:t>
            </w:r>
          </w:p>
        </w:tc>
      </w:tr>
      <w:tr>
        <w:trPr>
          <w:trHeight w:val="262"/>
        </w:trPr>
        <w:tc>
          <w:tcPr>
            <w:tcW w:w="100" w:type="dxa"/>
            <w:vAlign w:val="bottom"/>
          </w:tcPr>
          <w:p>
            <w:pPr>
              <w:spacing w:after="0"/>
              <w:rPr>
                <w:sz w:val="22"/>
                <w:szCs w:val="22"/>
                <w:color w:val="auto"/>
              </w:rPr>
            </w:pPr>
          </w:p>
        </w:tc>
        <w:tc>
          <w:tcPr>
            <w:tcW w:w="59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Issuable pursuant to 2015 Management Incentive Plan (1)</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436,172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1,430,776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42"/>
        </w:trPr>
        <w:tc>
          <w:tcPr>
            <w:tcW w:w="1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107,128,206</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79,199,142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100,468,860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53,520,346</w:t>
            </w:r>
          </w:p>
        </w:tc>
      </w:tr>
      <w:tr>
        <w:trPr>
          <w:trHeight w:val="268"/>
        </w:trPr>
        <w:tc>
          <w:tcPr>
            <w:tcW w:w="100" w:type="dxa"/>
            <w:vAlign w:val="bottom"/>
          </w:tcPr>
          <w:p>
            <w:pPr>
              <w:spacing w:after="0"/>
              <w:rPr>
                <w:sz w:val="23"/>
                <w:szCs w:val="23"/>
                <w:color w:val="auto"/>
              </w:rPr>
            </w:pPr>
          </w:p>
        </w:tc>
        <w:tc>
          <w:tcPr>
            <w:tcW w:w="338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4"/>
        </w:trPr>
        <w:tc>
          <w:tcPr>
            <w:tcW w:w="100" w:type="dxa"/>
            <w:vAlign w:val="bottom"/>
          </w:tcPr>
          <w:p>
            <w:pPr>
              <w:spacing w:after="0"/>
              <w:rPr>
                <w:sz w:val="21"/>
                <w:szCs w:val="21"/>
                <w:color w:val="auto"/>
              </w:rPr>
            </w:pPr>
          </w:p>
        </w:tc>
        <w:tc>
          <w:tcPr>
            <w:tcW w:w="5960" w:type="dxa"/>
            <w:vAlign w:val="bottom"/>
            <w:gridSpan w:val="3"/>
          </w:tcPr>
          <w:p>
            <w:pPr>
              <w:ind w:left="4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r>
      <w:tr>
        <w:trPr>
          <w:trHeight w:val="20"/>
        </w:trPr>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6"/>
        </w:trPr>
        <w:tc>
          <w:tcPr>
            <w:tcW w:w="10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218" w:lineRule="exact"/>
        <w:rPr>
          <w:sz w:val="20"/>
          <w:szCs w:val="20"/>
          <w:color w:val="auto"/>
        </w:rPr>
      </w:pPr>
    </w:p>
    <w:p>
      <w:pPr>
        <w:ind w:left="320" w:right="300" w:hanging="315"/>
        <w:spacing w:after="0" w:line="261" w:lineRule="auto"/>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dilutive impact of unexercised stock options excludes from the computation of EPS 1,578,617 and 1,704,307 options for the three and nine months ended September 30, 2017, respectively, because inclusion of the options would have been anti-dilutive.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Tax Receivable Agreements</w:t>
      </w:r>
    </w:p>
    <w:p>
      <w:pPr>
        <w:spacing w:after="0" w:line="230" w:lineRule="exact"/>
        <w:rPr>
          <w:sz w:val="20"/>
          <w:szCs w:val="20"/>
          <w:color w:val="auto"/>
        </w:rPr>
      </w:pPr>
    </w:p>
    <w:p>
      <w:pPr>
        <w:ind w:right="80" w:firstLine="315"/>
        <w:spacing w:after="0" w:line="279" w:lineRule="auto"/>
        <w:rPr>
          <w:sz w:val="20"/>
          <w:szCs w:val="20"/>
          <w:color w:val="auto"/>
        </w:rPr>
      </w:pPr>
      <w:r>
        <w:rPr>
          <w:rFonts w:ascii="Arial" w:cs="Arial" w:eastAsia="Arial" w:hAnsi="Arial"/>
          <w:sz w:val="16"/>
          <w:szCs w:val="16"/>
          <w:color w:val="auto"/>
        </w:rPr>
        <w:t>In connection with the IPO and the Reorganization Transactions, the Company entered into tax receivable agreements to make payments to certain Virtu pre-IPO equityholders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w:t>
      </w:r>
    </w:p>
    <w:p>
      <w:pPr>
        <w:ind w:right="20"/>
        <w:spacing w:after="0" w:line="266" w:lineRule="auto"/>
        <w:rPr>
          <w:sz w:val="20"/>
          <w:szCs w:val="20"/>
          <w:color w:val="auto"/>
        </w:rPr>
      </w:pPr>
      <w:r>
        <w:rPr>
          <w:rFonts w:ascii="Arial" w:cs="Arial" w:eastAsia="Arial" w:hAnsi="Arial"/>
          <w:sz w:val="17"/>
          <w:szCs w:val="17"/>
          <w:color w:val="auto"/>
        </w:rPr>
        <w:t>membership interests for Class A common stock or Class B common stock and payments made under the tax receivable agreements. Payments will occur only after the filing of the U.S. federal and state income tax returns and realization of the cash tax savings from the favorable tax attributes. The Company made its first payment of $7.0 million in February 2017 and its second payment of $12.3 million in September 2018.</w:t>
      </w:r>
    </w:p>
    <w:p>
      <w:pPr>
        <w:spacing w:after="0" w:line="178" w:lineRule="exact"/>
        <w:rPr>
          <w:sz w:val="20"/>
          <w:szCs w:val="20"/>
          <w:color w:val="auto"/>
        </w:rPr>
      </w:pPr>
    </w:p>
    <w:p>
      <w:pPr>
        <w:ind w:right="20" w:firstLine="349"/>
        <w:spacing w:after="0" w:line="262" w:lineRule="auto"/>
        <w:rPr>
          <w:sz w:val="20"/>
          <w:szCs w:val="20"/>
          <w:color w:val="auto"/>
        </w:rPr>
      </w:pPr>
      <w:r>
        <w:rPr>
          <w:rFonts w:ascii="Arial" w:cs="Arial" w:eastAsia="Arial" w:hAnsi="Arial"/>
          <w:sz w:val="17"/>
          <w:szCs w:val="17"/>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September 2016, November 2015, and May 2018 (the “Secondary Offerings”), payments to certain Virtu Members in respect of the purchases are expected to range from approximately $3.6 million to $16.0 million per year over the next 15 years. The corresponding deduction to additional paid-in capital was approximately $16.4 million for the difference between the tax receivable agreements liability and the related deferred tax asset.</w:t>
      </w:r>
    </w:p>
    <w:p>
      <w:pPr>
        <w:spacing w:after="0" w:line="183" w:lineRule="exact"/>
        <w:rPr>
          <w:sz w:val="20"/>
          <w:szCs w:val="20"/>
          <w:color w:val="auto"/>
        </w:rPr>
      </w:pPr>
    </w:p>
    <w:p>
      <w:pPr>
        <w:ind w:right="200" w:firstLine="315"/>
        <w:spacing w:after="0" w:line="274" w:lineRule="auto"/>
        <w:rPr>
          <w:sz w:val="20"/>
          <w:szCs w:val="20"/>
          <w:color w:val="auto"/>
        </w:rPr>
      </w:pPr>
      <w:r>
        <w:rPr>
          <w:rFonts w:ascii="Arial" w:cs="Arial" w:eastAsia="Arial" w:hAnsi="Arial"/>
          <w:sz w:val="17"/>
          <w:szCs w:val="17"/>
          <w:color w:val="auto"/>
        </w:rPr>
        <w:t>In connection with the May 2018 secondary offering, as described in Note 16 "Capital Structure", the Company recorded an additional deferred tax asset of $61.1 million and payment liability pursuant to the tax receivable agreements of $64.6 million, with the $3.5 million difference recorded as a decrease to additional paid-in capital.</w:t>
      </w:r>
    </w:p>
    <w:p>
      <w:pPr>
        <w:spacing w:after="0" w:line="170"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As a result of the reduction in the U.S. corporate income tax rate as described below, the aforementioned deferred tax asset and related payment liability were subsequently reduced as described below. The amounts recorded as of September 30, 2018 are based on best estimates available at the respective dates and may be subject to change after the filing of the Company’s U.S. federal and state income tax returns for the years in which tax savings were realized.</w:t>
      </w:r>
    </w:p>
    <w:p>
      <w:pPr>
        <w:spacing w:after="0" w:line="155" w:lineRule="exact"/>
        <w:rPr>
          <w:sz w:val="20"/>
          <w:szCs w:val="20"/>
          <w:color w:val="auto"/>
        </w:rPr>
      </w:pPr>
    </w:p>
    <w:p>
      <w:pPr>
        <w:ind w:right="80" w:firstLine="315"/>
        <w:spacing w:after="0" w:line="264" w:lineRule="auto"/>
        <w:rPr>
          <w:sz w:val="20"/>
          <w:szCs w:val="20"/>
          <w:color w:val="auto"/>
        </w:rPr>
      </w:pPr>
      <w:r>
        <w:rPr>
          <w:rFonts w:ascii="Arial" w:cs="Arial" w:eastAsia="Arial" w:hAnsi="Arial"/>
          <w:sz w:val="17"/>
          <w:szCs w:val="17"/>
          <w:color w:val="auto"/>
        </w:rPr>
        <w:t>The 2017 Tax Act includes, among other items, a permanent reduction to the U.S. corporate income tax rate from 35% to 21% effective January 1, 2018 as further described in Note 14 "Income Taxes". As a result, at December 31, 2017, the Company recorded a reduction of its tax receivable agreement obligation of $86.6 million. As further described in Note 14 "Income Taxes", the Company also recorded a reduction of its deferred tax assets, including the deferred tax assets described above. At September 30, 2018 and December 31, 2017, the Company’s remaining deferred tax assets described above were approximately $153.9 million and $101.6 million, respectively, and the Company’s liabilities over the next 15 years pursuant to the tax receivable agreements are approximately $199.3 million and $147.0 million, respectively.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127" w:right="2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80" w:firstLine="315"/>
        <w:spacing w:after="0" w:line="283" w:lineRule="auto"/>
        <w:rPr>
          <w:sz w:val="20"/>
          <w:szCs w:val="20"/>
          <w:color w:val="auto"/>
        </w:rPr>
      </w:pPr>
      <w:r>
        <w:rPr>
          <w:rFonts w:ascii="Arial" w:cs="Arial" w:eastAsia="Arial" w:hAnsi="Arial"/>
          <w:sz w:val="16"/>
          <w:szCs w:val="16"/>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 and Intangible Assets</w:t>
      </w:r>
    </w:p>
    <w:p>
      <w:pPr>
        <w:spacing w:after="0" w:line="230" w:lineRule="exact"/>
        <w:rPr>
          <w:sz w:val="20"/>
          <w:szCs w:val="20"/>
          <w:color w:val="auto"/>
        </w:rPr>
      </w:pPr>
    </w:p>
    <w:p>
      <w:pPr>
        <w:ind w:right="180" w:firstLine="315"/>
        <w:spacing w:after="0" w:line="315" w:lineRule="auto"/>
        <w:rPr>
          <w:sz w:val="20"/>
          <w:szCs w:val="20"/>
          <w:color w:val="auto"/>
        </w:rPr>
      </w:pPr>
      <w:r>
        <w:rPr>
          <w:rFonts w:ascii="Arial" w:cs="Arial" w:eastAsia="Arial" w:hAnsi="Arial"/>
          <w:sz w:val="15"/>
          <w:szCs w:val="15"/>
          <w:color w:val="auto"/>
        </w:rPr>
        <w:t>Prior to the Acquisition of KCG, the Company was managed and operated as one business, and accordingly, operated under one operating segment. As a result of the Acquisition of KCG, beginning in the third quarter of 2017 the Company has three operating segments: (i) Market Making; (ii) Execution Services; and (iii) Corporate. The Company allocated goodwill to the new reporting units using a relative fair value approach. In addition, the Company performed an assessment of potential goodwill impairment for all reporting units immediately prior to the reallocation and determined that no impairment was indicated.</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details of goodwill by segment:</w:t>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188"/>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6"/>
              </w:rPr>
              <w:t>Market Making</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Execution Services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Total</w:t>
            </w:r>
          </w:p>
        </w:tc>
      </w:tr>
      <w:tr>
        <w:trPr>
          <w:trHeight w:val="248"/>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89,591</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844,883</w:t>
            </w:r>
          </w:p>
        </w:tc>
      </w:tr>
      <w:tr>
        <w:trPr>
          <w:trHeight w:val="257"/>
        </w:trPr>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Goodwill adjustment allocated to BondPoint</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w:t>
            </w:r>
          </w:p>
        </w:tc>
      </w:tr>
      <w:tr>
        <w:trPr>
          <w:trHeight w:val="235"/>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September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81,291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836,583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As of September 30, 2018 and December 31, 2017, the Company’s total amount of goodwill recorded was $836.6 million and $844.9 million, respectively. As described in Note 4 "Sale of BondPoint", the Company allocated $8.3 million of goodwill to BondPoint as part of the sale. No goodwill impairment was recognized during the nine months ended September 30, 2018 and 2017.</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Acquired intangible assets consisted of the following as of September 30, 2018 and December 31, 2017:</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As of September 30, 2018</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2"/>
                <w:szCs w:val="12"/>
                <w:color w:val="auto"/>
              </w:rPr>
            </w:pPr>
          </w:p>
        </w:tc>
        <w:tc>
          <w:tcPr>
            <w:tcW w:w="128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40" w:type="dxa"/>
            <w:vAlign w:val="bottom"/>
          </w:tcPr>
          <w:p>
            <w:pPr>
              <w:jc w:val="right"/>
              <w:ind w:right="190"/>
              <w:spacing w:after="0" w:line="147" w:lineRule="exact"/>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Useful Lives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center"/>
              <w:ind w:left="270"/>
              <w:spacing w:after="0"/>
              <w:rPr>
                <w:sz w:val="20"/>
                <w:szCs w:val="20"/>
                <w:color w:val="auto"/>
              </w:rPr>
            </w:pPr>
            <w:r>
              <w:rPr>
                <w:rFonts w:ascii="Arial" w:cs="Arial" w:eastAsia="Arial" w:hAnsi="Arial"/>
                <w:sz w:val="14"/>
                <w:szCs w:val="14"/>
                <w:color w:val="auto"/>
                <w:w w:val="92"/>
              </w:rPr>
              <w:t>1.4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311</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25,382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34,618</w:t>
            </w:r>
          </w:p>
        </w:tc>
        <w:tc>
          <w:tcPr>
            <w:tcW w:w="600" w:type="dxa"/>
            <w:vAlign w:val="bottom"/>
            <w:gridSpan w:val="2"/>
          </w:tcPr>
          <w:p>
            <w:pPr>
              <w:jc w:val="center"/>
              <w:ind w:left="27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44,115</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Favorable occupancy leases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4,875</w:t>
            </w:r>
          </w:p>
        </w:tc>
        <w:tc>
          <w:tcPr>
            <w:tcW w:w="600" w:type="dxa"/>
            <w:vAlign w:val="bottom"/>
            <w:gridSpan w:val="2"/>
          </w:tcPr>
          <w:p>
            <w:pPr>
              <w:jc w:val="center"/>
              <w:ind w:left="270"/>
              <w:spacing w:after="0"/>
              <w:rPr>
                <w:sz w:val="20"/>
                <w:szCs w:val="20"/>
                <w:color w:val="auto"/>
              </w:rPr>
            </w:pPr>
            <w:r>
              <w:rPr>
                <w:rFonts w:ascii="Arial" w:cs="Arial" w:eastAsia="Arial" w:hAnsi="Arial"/>
                <w:sz w:val="14"/>
                <w:szCs w:val="14"/>
                <w:color w:val="auto"/>
                <w:w w:val="76"/>
              </w:rPr>
              <w:t>3</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62"/>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Exchange memberships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5,838</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232,633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142,564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90,069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127"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As of December 31, 2017</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2"/>
                <w:szCs w:val="12"/>
                <w:color w:val="auto"/>
              </w:rPr>
            </w:pPr>
          </w:p>
        </w:tc>
        <w:tc>
          <w:tcPr>
            <w:tcW w:w="12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20" w:type="dxa"/>
            <w:vAlign w:val="bottom"/>
          </w:tcPr>
          <w:p>
            <w:pPr>
              <w:jc w:val="right"/>
              <w:ind w:right="170"/>
              <w:spacing w:after="0" w:line="147" w:lineRule="exact"/>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Useful Lives</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center"/>
              <w:ind w:left="270"/>
              <w:spacing w:after="0"/>
              <w:rPr>
                <w:sz w:val="20"/>
                <w:szCs w:val="20"/>
                <w:color w:val="auto"/>
              </w:rPr>
            </w:pPr>
            <w:r>
              <w:rPr>
                <w:rFonts w:ascii="Arial" w:cs="Arial" w:eastAsia="Arial" w:hAnsi="Arial"/>
                <w:sz w:val="14"/>
                <w:szCs w:val="14"/>
                <w:color w:val="auto"/>
                <w:w w:val="81"/>
              </w:rPr>
              <w:t>1.4</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to</w:t>
            </w:r>
          </w:p>
        </w:tc>
        <w:tc>
          <w:tcPr>
            <w:tcW w:w="42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1"/>
              </w:rPr>
              <w:t>2.5</w:t>
            </w: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391</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Leases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1,403</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FCC licenses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181</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9,644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50,356</w:t>
            </w:r>
          </w:p>
        </w:tc>
        <w:tc>
          <w:tcPr>
            <w:tcW w:w="620" w:type="dxa"/>
            <w:vAlign w:val="bottom"/>
            <w:gridSpan w:val="2"/>
          </w:tcPr>
          <w:p>
            <w:pPr>
              <w:jc w:val="center"/>
              <w:ind w:left="270"/>
              <w:spacing w:after="0"/>
              <w:rPr>
                <w:sz w:val="20"/>
                <w:szCs w:val="20"/>
                <w:color w:val="auto"/>
              </w:rPr>
            </w:pPr>
            <w:r>
              <w:rPr>
                <w:rFonts w:ascii="Arial" w:cs="Arial" w:eastAsia="Arial" w:hAnsi="Arial"/>
                <w:sz w:val="14"/>
                <w:szCs w:val="14"/>
                <w:color w:val="auto"/>
              </w:rPr>
              <w:t>1</w:t>
            </w:r>
          </w:p>
        </w:tc>
        <w:tc>
          <w:tcPr>
            <w:tcW w:w="800" w:type="dxa"/>
            <w:vAlign w:val="bottom"/>
          </w:tcPr>
          <w:p>
            <w:pPr>
              <w:jc w:val="center"/>
              <w:spacing w:after="0"/>
              <w:rPr>
                <w:sz w:val="20"/>
                <w:szCs w:val="20"/>
                <w:color w:val="auto"/>
              </w:rPr>
            </w:pPr>
            <w:r>
              <w:rPr>
                <w:rFonts w:ascii="Arial" w:cs="Arial" w:eastAsia="Arial" w:hAnsi="Arial"/>
                <w:sz w:val="14"/>
                <w:szCs w:val="14"/>
                <w:color w:val="auto"/>
              </w:rPr>
              <w:t>to</w:t>
            </w:r>
          </w:p>
        </w:tc>
        <w:tc>
          <w:tcPr>
            <w:tcW w:w="420" w:type="dxa"/>
            <w:vAlign w:val="bottom"/>
          </w:tcPr>
          <w:p>
            <w:pPr>
              <w:jc w:val="center"/>
              <w:ind w:right="7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47,178</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Favorable occupancy leases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5,487</w:t>
            </w:r>
          </w:p>
        </w:tc>
        <w:tc>
          <w:tcPr>
            <w:tcW w:w="620" w:type="dxa"/>
            <w:vAlign w:val="bottom"/>
            <w:gridSpan w:val="2"/>
          </w:tcPr>
          <w:p>
            <w:pPr>
              <w:jc w:val="center"/>
              <w:ind w:left="270"/>
              <w:spacing w:after="0"/>
              <w:rPr>
                <w:sz w:val="20"/>
                <w:szCs w:val="20"/>
                <w:color w:val="auto"/>
              </w:rPr>
            </w:pPr>
            <w:r>
              <w:rPr>
                <w:rFonts w:ascii="Arial" w:cs="Arial" w:eastAsia="Arial" w:hAnsi="Arial"/>
                <w:sz w:val="14"/>
                <w:szCs w:val="14"/>
                <w:color w:val="auto"/>
              </w:rPr>
              <w:t>3</w:t>
            </w:r>
          </w:p>
        </w:tc>
        <w:tc>
          <w:tcPr>
            <w:tcW w:w="800" w:type="dxa"/>
            <w:vAlign w:val="bottom"/>
          </w:tcPr>
          <w:p>
            <w:pPr>
              <w:jc w:val="center"/>
              <w:spacing w:after="0"/>
              <w:rPr>
                <w:sz w:val="20"/>
                <w:szCs w:val="20"/>
                <w:color w:val="auto"/>
              </w:rPr>
            </w:pPr>
            <w:r>
              <w:rPr>
                <w:rFonts w:ascii="Arial" w:cs="Arial" w:eastAsia="Arial" w:hAnsi="Arial"/>
                <w:sz w:val="14"/>
                <w:szCs w:val="14"/>
                <w:color w:val="auto"/>
              </w:rPr>
              <w:t>to</w:t>
            </w:r>
          </w:p>
        </w:tc>
        <w:tc>
          <w:tcPr>
            <w:tcW w:w="420" w:type="dxa"/>
            <w:vAlign w:val="bottom"/>
          </w:tcPr>
          <w:p>
            <w:pPr>
              <w:jc w:val="center"/>
              <w:ind w:right="9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62"/>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Exchange memberships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5,838</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c>
          <w:tcPr>
            <w:tcW w:w="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234,633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123,408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111,224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15"/>
        <w:spacing w:after="0" w:line="298" w:lineRule="auto"/>
        <w:rPr>
          <w:sz w:val="20"/>
          <w:szCs w:val="20"/>
          <w:color w:val="auto"/>
        </w:rPr>
      </w:pPr>
      <w:r>
        <w:rPr>
          <w:rFonts w:ascii="Arial" w:cs="Arial" w:eastAsia="Arial" w:hAnsi="Arial"/>
          <w:sz w:val="16"/>
          <w:szCs w:val="16"/>
          <w:color w:val="auto"/>
        </w:rPr>
        <w:t>Amortization expense relating to finite-lived intangible assets was approximately $6.4 million for each of the three months ended September 30, 2018, and 2017, and approximately $20.0 million and $6.5 million for the nine months ended September 30, 2018 and 2017, respectively. This is included in amortization of purchased intangibles and acquired capitalized software in the accompanying condensed consolidated statements of comprehensive income.</w:t>
      </w:r>
    </w:p>
    <w:p>
      <w:pPr>
        <w:spacing w:after="0" w:line="155" w:lineRule="exact"/>
        <w:rPr>
          <w:sz w:val="20"/>
          <w:szCs w:val="20"/>
          <w:color w:val="auto"/>
        </w:rPr>
      </w:pPr>
    </w:p>
    <w:p>
      <w:pPr>
        <w:ind w:right="460" w:firstLine="315"/>
        <w:spacing w:after="0" w:line="290" w:lineRule="auto"/>
        <w:rPr>
          <w:sz w:val="20"/>
          <w:szCs w:val="20"/>
          <w:color w:val="auto"/>
        </w:rPr>
      </w:pPr>
      <w:r>
        <w:rPr>
          <w:rFonts w:ascii="Arial" w:cs="Arial" w:eastAsia="Arial" w:hAnsi="Arial"/>
          <w:sz w:val="17"/>
          <w:szCs w:val="17"/>
          <w:color w:val="auto"/>
        </w:rPr>
        <w:t>In the third quarter of 2018, the Company sold certain assets to one of its joint ventures, including the intangible assets associated with leases with a net carrying value of $1.1 million at the time of sale.</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Receivables from/Payables to Broker-Dealers and Clearing Organizations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receivables from and payables to brokers-dealers and clearing organizations at September 30, 2018 and December 31, 2017:</w:t>
      </w:r>
    </w:p>
    <w:p>
      <w:pPr>
        <w:spacing w:after="0" w:line="200" w:lineRule="exact"/>
        <w:rPr>
          <w:sz w:val="20"/>
          <w:szCs w:val="20"/>
          <w:color w:val="auto"/>
        </w:rPr>
      </w:pPr>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7"/>
              </w:rPr>
              <w:t>September 30, 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December 31, 2017</w:t>
            </w:r>
          </w:p>
        </w:tc>
      </w:tr>
      <w:tr>
        <w:trPr>
          <w:trHeight w:val="261"/>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Due from prime brokers</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50"/>
              <w:spacing w:after="0"/>
              <w:rPr>
                <w:sz w:val="20"/>
                <w:szCs w:val="20"/>
                <w:color w:val="auto"/>
              </w:rPr>
            </w:pPr>
            <w:r>
              <w:rPr>
                <w:rFonts w:ascii="Arial" w:cs="Arial" w:eastAsia="Arial" w:hAnsi="Arial"/>
                <w:sz w:val="14"/>
                <w:szCs w:val="14"/>
                <w:color w:val="auto"/>
              </w:rPr>
              <w:t>370,599</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219,573</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95,817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112,847</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20" w:type="dxa"/>
            <w:vAlign w:val="bottom"/>
          </w:tcPr>
          <w:p>
            <w:pPr>
              <w:spacing w:after="0"/>
              <w:rPr>
                <w:sz w:val="22"/>
                <w:szCs w:val="22"/>
                <w:color w:val="auto"/>
              </w:rPr>
            </w:pPr>
          </w:p>
        </w:tc>
        <w:tc>
          <w:tcPr>
            <w:tcW w:w="1660" w:type="dxa"/>
            <w:vAlign w:val="bottom"/>
          </w:tcPr>
          <w:p>
            <w:pPr>
              <w:jc w:val="right"/>
              <w:ind w:right="50"/>
              <w:spacing w:after="0"/>
              <w:rPr>
                <w:sz w:val="20"/>
                <w:szCs w:val="20"/>
                <w:color w:val="auto"/>
              </w:rPr>
            </w:pPr>
            <w:r>
              <w:rPr>
                <w:rFonts w:ascii="Arial" w:cs="Arial" w:eastAsia="Arial" w:hAnsi="Arial"/>
                <w:sz w:val="14"/>
                <w:szCs w:val="14"/>
                <w:color w:val="auto"/>
              </w:rPr>
              <w:t>260,705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203,711</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150,265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173,778</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Securities failed to deliver</w:t>
            </w:r>
          </w:p>
        </w:tc>
        <w:tc>
          <w:tcPr>
            <w:tcW w:w="220" w:type="dxa"/>
            <w:vAlign w:val="bottom"/>
          </w:tcPr>
          <w:p>
            <w:pPr>
              <w:spacing w:after="0"/>
              <w:rPr>
                <w:sz w:val="22"/>
                <w:szCs w:val="22"/>
                <w:color w:val="auto"/>
              </w:rPr>
            </w:pPr>
          </w:p>
        </w:tc>
        <w:tc>
          <w:tcPr>
            <w:tcW w:w="1660" w:type="dxa"/>
            <w:vAlign w:val="bottom"/>
          </w:tcPr>
          <w:p>
            <w:pPr>
              <w:jc w:val="right"/>
              <w:ind w:right="50"/>
              <w:spacing w:after="0"/>
              <w:rPr>
                <w:sz w:val="20"/>
                <w:szCs w:val="20"/>
                <w:color w:val="auto"/>
              </w:rPr>
            </w:pPr>
            <w:r>
              <w:rPr>
                <w:rFonts w:ascii="Arial" w:cs="Arial" w:eastAsia="Arial" w:hAnsi="Arial"/>
                <w:sz w:val="14"/>
                <w:szCs w:val="14"/>
                <w:color w:val="auto"/>
              </w:rPr>
              <w:t>229,944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248,088</w:t>
            </w:r>
          </w:p>
        </w:tc>
      </w:tr>
      <w:tr>
        <w:trPr>
          <w:trHeight w:val="26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2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8,434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14,021</w:t>
            </w:r>
          </w:p>
        </w:tc>
      </w:tr>
      <w:tr>
        <w:trPr>
          <w:trHeight w:val="275"/>
        </w:trPr>
        <w:tc>
          <w:tcPr>
            <w:tcW w:w="7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receivables from broker-dealers and clearing organizations</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1,115,764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972,018</w:t>
            </w:r>
          </w:p>
        </w:tc>
      </w:tr>
      <w:tr>
        <w:trPr>
          <w:trHeight w:val="24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Due to prime brokers</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50"/>
              <w:spacing w:after="0"/>
              <w:rPr>
                <w:sz w:val="20"/>
                <w:szCs w:val="20"/>
                <w:color w:val="auto"/>
              </w:rPr>
            </w:pPr>
            <w:r>
              <w:rPr>
                <w:rFonts w:ascii="Arial" w:cs="Arial" w:eastAsia="Arial" w:hAnsi="Arial"/>
                <w:sz w:val="14"/>
                <w:szCs w:val="14"/>
                <w:color w:val="auto"/>
              </w:rPr>
              <w:t>398,181</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197,439</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53,986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44,526</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220" w:type="dxa"/>
            <w:vAlign w:val="bottom"/>
          </w:tcPr>
          <w:p>
            <w:pPr>
              <w:spacing w:after="0"/>
              <w:rPr>
                <w:sz w:val="22"/>
                <w:szCs w:val="22"/>
                <w:color w:val="auto"/>
              </w:rPr>
            </w:pPr>
          </w:p>
        </w:tc>
        <w:tc>
          <w:tcPr>
            <w:tcW w:w="1660" w:type="dxa"/>
            <w:vAlign w:val="bottom"/>
          </w:tcPr>
          <w:p>
            <w:pPr>
              <w:jc w:val="right"/>
              <w:ind w:right="50"/>
              <w:spacing w:after="0"/>
              <w:rPr>
                <w:sz w:val="20"/>
                <w:szCs w:val="20"/>
                <w:color w:val="auto"/>
              </w:rPr>
            </w:pPr>
            <w:r>
              <w:rPr>
                <w:rFonts w:ascii="Arial" w:cs="Arial" w:eastAsia="Arial" w:hAnsi="Arial"/>
                <w:sz w:val="14"/>
                <w:szCs w:val="14"/>
                <w:color w:val="auto"/>
              </w:rPr>
              <w:t>470,665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420,029</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failed to receive</w:t>
            </w: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28,077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51,143</w:t>
            </w:r>
          </w:p>
        </w:tc>
      </w:tr>
      <w:tr>
        <w:trPr>
          <w:trHeight w:val="257"/>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Commissions and fees</w:t>
            </w: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1,434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3,068</w:t>
            </w:r>
          </w:p>
        </w:tc>
      </w:tr>
      <w:tr>
        <w:trPr>
          <w:trHeight w:val="235"/>
        </w:trPr>
        <w:tc>
          <w:tcPr>
            <w:tcW w:w="7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payables to broker-dealers and clearing organizations</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952,343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716,205</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short-term credit facilities (described in Note 10 "Borrowings") of approximately $144.7 million and $205.7 million as of September 30, 2018 and December 31, 2017,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127"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Collateralized Transactions</w:t>
      </w:r>
    </w:p>
    <w:p>
      <w:pPr>
        <w:spacing w:after="0" w:line="230"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September 30, 2018 and December 31, 2017, substantially all of the securities received as collateral have been repledged. The fair value of the collateralized transactions at September 30, 2018 and December 31, 2017 are summarized as follows:</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4"/>
              </w:rPr>
              <w:t>September 30, 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5"/>
              </w:rPr>
              <w:t>December 31, 2017</w:t>
            </w:r>
          </w:p>
        </w:tc>
      </w:tr>
      <w:tr>
        <w:trPr>
          <w:trHeight w:val="261"/>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Securities received as collateral:</w:t>
            </w: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7"/>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Securities borrowed</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1,261,472</w:t>
            </w:r>
          </w:p>
        </w:tc>
        <w:tc>
          <w:tcPr>
            <w:tcW w:w="120" w:type="dxa"/>
            <w:vAlign w:val="bottom"/>
          </w:tcPr>
          <w:p>
            <w:pPr>
              <w:spacing w:after="0"/>
              <w:rPr>
                <w:sz w:val="22"/>
                <w:szCs w:val="22"/>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1,415,793</w:t>
            </w:r>
          </w:p>
        </w:tc>
      </w:tr>
      <w:tr>
        <w:trPr>
          <w:trHeight w:val="262"/>
        </w:trPr>
        <w:tc>
          <w:tcPr>
            <w:tcW w:w="7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purchased under agreements to resell</w:t>
            </w: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10,014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29"/>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1,271,486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1,415,793</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the normal course of business, the Company pledges qualified securities with clearing organizations to satisfy daily margin and clearing fund requirements.</w:t>
      </w:r>
    </w:p>
    <w:p>
      <w:pPr>
        <w:spacing w:after="0" w:line="247" w:lineRule="exact"/>
        <w:rPr>
          <w:sz w:val="20"/>
          <w:szCs w:val="20"/>
          <w:color w:val="auto"/>
        </w:rPr>
      </w:pPr>
    </w:p>
    <w:p>
      <w:pPr>
        <w:jc w:val="both"/>
        <w:ind w:right="240" w:firstLine="315"/>
        <w:spacing w:after="0" w:line="290" w:lineRule="auto"/>
        <w:rPr>
          <w:sz w:val="20"/>
          <w:szCs w:val="20"/>
          <w:color w:val="auto"/>
        </w:rPr>
      </w:pPr>
      <w:r>
        <w:rPr>
          <w:rFonts w:ascii="Arial" w:cs="Arial" w:eastAsia="Arial" w:hAnsi="Arial"/>
          <w:sz w:val="17"/>
          <w:szCs w:val="17"/>
          <w:color w:val="auto"/>
        </w:rPr>
        <w:t>Financial instruments owned and pledged, where the counterparty has the right to repledge, at September 30, 2018 and December 31, 2017 consisted of the following:</w:t>
      </w:r>
    </w:p>
    <w:p>
      <w:pPr>
        <w:spacing w:after="0" w:line="161"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4"/>
              </w:rPr>
              <w:t>September 30, 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5"/>
              </w:rPr>
              <w:t>December 31, 2017</w:t>
            </w:r>
          </w:p>
        </w:tc>
      </w:tr>
      <w:tr>
        <w:trPr>
          <w:trHeight w:val="248"/>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542,088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586,251</w:t>
            </w:r>
          </w:p>
        </w:tc>
      </w:tr>
      <w:tr>
        <w:trPr>
          <w:trHeight w:val="257"/>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U.S. and Non-U.S. government obligations</w:t>
            </w:r>
          </w:p>
        </w:tc>
        <w:tc>
          <w:tcPr>
            <w:tcW w:w="16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99</w:t>
            </w:r>
          </w:p>
        </w:tc>
      </w:tr>
      <w:tr>
        <w:trPr>
          <w:trHeight w:val="262"/>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Exchange traded notes</w:t>
            </w: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10,541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8,693</w:t>
            </w:r>
          </w:p>
        </w:tc>
      </w:tr>
      <w:tr>
        <w:trPr>
          <w:trHeight w:val="229"/>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552,629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595,043</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Borrowings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Broker-Dealer Credit Facilities</w:t>
      </w:r>
    </w:p>
    <w:p>
      <w:pPr>
        <w:spacing w:after="0" w:line="224"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collateralized by one of the Company’s broker-dealer subsidiaries trading and deposit account with the financial institution.</w:t>
      </w:r>
    </w:p>
    <w:p>
      <w:pPr>
        <w:spacing w:after="0" w:line="170" w:lineRule="exact"/>
        <w:rPr>
          <w:sz w:val="20"/>
          <w:szCs w:val="20"/>
          <w:color w:val="auto"/>
        </w:rPr>
      </w:pPr>
    </w:p>
    <w:p>
      <w:pPr>
        <w:ind w:right="80" w:firstLine="315"/>
        <w:spacing w:after="0" w:line="283" w:lineRule="auto"/>
        <w:rPr>
          <w:sz w:val="20"/>
          <w:szCs w:val="20"/>
          <w:color w:val="auto"/>
        </w:rPr>
      </w:pPr>
      <w:r>
        <w:rPr>
          <w:rFonts w:ascii="Arial" w:cs="Arial" w:eastAsia="Arial" w:hAnsi="Arial"/>
          <w:sz w:val="16"/>
          <w:szCs w:val="16"/>
          <w:color w:val="auto"/>
        </w:rPr>
        <w:t>On November 3, 2017, the Company entered the second credit facility (“Revolving Credit Facility”) with the same financial institution for an aggregated borrowing limit of $500.0 million. The Revolving Credit Facility consists two borrowing bases: Borrowing Base A Loan is to be used to finance the purchase and settlement of securities; Borrowing Base B Loan is to be used to fund margin deposit with the NSCC. Each of the three broker-dealers has a sublimit under Borrowing Base A Loan, from $25 million to $500 million, which bears interest at the adjusted LIBOR or base rate plus 1.25% per annum. Two out of the three broker-dealers have a sublimit under Borrowing Base B Loan, from $40 million to $100 million, which bears interest at the adjusted LIBOR or base rate plus 2.50% per annum. A commitment fee of 0.50% per annum on the average daily unused portion of this facility is payable quarterly in arrears.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the Company’s broker-dealer credit facilities' carrying values, net of unamortized debt issuance costs, where applicable: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September 30, 2018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1"/>
              </w:rPr>
              <w:t>Financing Available</w:t>
            </w:r>
          </w:p>
        </w:tc>
        <w:tc>
          <w:tcPr>
            <w:tcW w:w="120" w:type="dxa"/>
            <w:vAlign w:val="bottom"/>
            <w:vMerge w:val="restart"/>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Borrowing Outstanding</w:t>
            </w:r>
          </w:p>
        </w:tc>
        <w:tc>
          <w:tcPr>
            <w:tcW w:w="120" w:type="dxa"/>
            <w:vAlign w:val="bottom"/>
            <w:vMerge w:val="restart"/>
          </w:tcPr>
          <w:p>
            <w:pPr>
              <w:spacing w:after="0"/>
              <w:rPr>
                <w:sz w:val="12"/>
                <w:szCs w:val="12"/>
                <w:color w:val="auto"/>
              </w:rPr>
            </w:pPr>
          </w:p>
        </w:tc>
        <w:tc>
          <w:tcPr>
            <w:tcW w:w="1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5"/>
              </w:rPr>
              <w:t>Deferred Debt Issuance</w:t>
            </w:r>
          </w:p>
        </w:tc>
        <w:tc>
          <w:tcPr>
            <w:tcW w:w="180" w:type="dxa"/>
            <w:vAlign w:val="bottom"/>
          </w:tcPr>
          <w:p>
            <w:pPr>
              <w:spacing w:after="0"/>
              <w:rPr>
                <w:sz w:val="12"/>
                <w:szCs w:val="12"/>
                <w:color w:val="auto"/>
              </w:rPr>
            </w:pPr>
          </w:p>
        </w:tc>
        <w:tc>
          <w:tcPr>
            <w:tcW w:w="12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500" w:type="dxa"/>
            <w:vAlign w:val="bottom"/>
          </w:tcPr>
          <w:p>
            <w:pPr>
              <w:jc w:val="center"/>
              <w:spacing w:after="0"/>
              <w:rPr>
                <w:sz w:val="20"/>
                <w:szCs w:val="20"/>
                <w:color w:val="auto"/>
              </w:rPr>
            </w:pPr>
            <w:r>
              <w:rPr>
                <w:rFonts w:ascii="Arial" w:cs="Arial" w:eastAsia="Arial" w:hAnsi="Arial"/>
                <w:sz w:val="14"/>
                <w:szCs w:val="14"/>
                <w:color w:val="auto"/>
                <w:w w:val="95"/>
              </w:rPr>
              <w:t>3.17%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8,919</w:t>
            </w:r>
          </w:p>
        </w:tc>
        <w:tc>
          <w:tcPr>
            <w:tcW w:w="0" w:type="dxa"/>
            <w:vAlign w:val="bottom"/>
          </w:tcPr>
          <w:p>
            <w:pPr>
              <w:spacing w:after="0"/>
              <w:rPr>
                <w:sz w:val="1"/>
                <w:szCs w:val="1"/>
                <w:color w:val="auto"/>
              </w:rPr>
            </w:pPr>
          </w:p>
        </w:tc>
      </w:tr>
      <w:tr>
        <w:trPr>
          <w:trHeight w:val="262"/>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Revolving credit facility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5,648</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17,000</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14,567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December 31, 2017</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1"/>
              </w:rPr>
              <w:t>Financing Available</w:t>
            </w:r>
          </w:p>
        </w:tc>
        <w:tc>
          <w:tcPr>
            <w:tcW w:w="120" w:type="dxa"/>
            <w:vAlign w:val="bottom"/>
            <w:vMerge w:val="restart"/>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Borrowing Outstanding</w:t>
            </w:r>
          </w:p>
        </w:tc>
        <w:tc>
          <w:tcPr>
            <w:tcW w:w="120" w:type="dxa"/>
            <w:vAlign w:val="bottom"/>
            <w:vMerge w:val="restart"/>
          </w:tcPr>
          <w:p>
            <w:pPr>
              <w:spacing w:after="0"/>
              <w:rPr>
                <w:sz w:val="12"/>
                <w:szCs w:val="12"/>
                <w:color w:val="auto"/>
              </w:rPr>
            </w:pPr>
          </w:p>
        </w:tc>
        <w:tc>
          <w:tcPr>
            <w:tcW w:w="1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5"/>
              </w:rPr>
              <w:t>Deferred Debt Issuance</w:t>
            </w:r>
          </w:p>
        </w:tc>
        <w:tc>
          <w:tcPr>
            <w:tcW w:w="180" w:type="dxa"/>
            <w:vAlign w:val="bottom"/>
          </w:tcPr>
          <w:p>
            <w:pPr>
              <w:spacing w:after="0"/>
              <w:rPr>
                <w:sz w:val="12"/>
                <w:szCs w:val="12"/>
                <w:color w:val="auto"/>
              </w:rPr>
            </w:pPr>
          </w:p>
        </w:tc>
        <w:tc>
          <w:tcPr>
            <w:tcW w:w="12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500" w:type="dxa"/>
            <w:vAlign w:val="bottom"/>
          </w:tcPr>
          <w:p>
            <w:pPr>
              <w:jc w:val="center"/>
              <w:spacing w:after="0"/>
              <w:rPr>
                <w:sz w:val="20"/>
                <w:szCs w:val="20"/>
                <w:color w:val="auto"/>
              </w:rPr>
            </w:pPr>
            <w:r>
              <w:rPr>
                <w:rFonts w:ascii="Arial" w:cs="Arial" w:eastAsia="Arial" w:hAnsi="Arial"/>
                <w:sz w:val="14"/>
                <w:szCs w:val="14"/>
                <w:color w:val="auto"/>
                <w:w w:val="95"/>
              </w:rPr>
              <w:t>2.42%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62"/>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Revolving credit facility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2,883</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650,000</w:t>
            </w:r>
          </w:p>
        </w:tc>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32,000</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27,883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80" w:firstLine="315"/>
        <w:spacing w:after="0" w:line="290" w:lineRule="auto"/>
        <w:rPr>
          <w:sz w:val="20"/>
          <w:szCs w:val="20"/>
          <w:color w:val="auto"/>
        </w:rPr>
      </w:pPr>
      <w:r>
        <w:rPr>
          <w:rFonts w:ascii="Arial" w:cs="Arial" w:eastAsia="Arial" w:hAnsi="Arial"/>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ind w:left="60"/>
              <w:spacing w:after="0"/>
              <w:rPr>
                <w:sz w:val="20"/>
                <w:szCs w:val="20"/>
                <w:color w:val="auto"/>
              </w:rPr>
            </w:pPr>
            <w:r>
              <w:rPr>
                <w:rFonts w:ascii="Arial" w:cs="Arial" w:eastAsia="Arial" w:hAnsi="Arial"/>
                <w:sz w:val="14"/>
                <w:szCs w:val="14"/>
                <w:b w:val="1"/>
                <w:bCs w:val="1"/>
                <w:color w:val="auto"/>
                <w:w w:val="95"/>
              </w:rPr>
              <w:t>Three Months Ended September</w:t>
            </w:r>
          </w:p>
        </w:tc>
        <w:tc>
          <w:tcPr>
            <w:tcW w:w="202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88"/>
        </w:trPr>
        <w:tc>
          <w:tcPr>
            <w:tcW w:w="8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r>
      <w:tr>
        <w:trPr>
          <w:trHeight w:val="256"/>
        </w:trPr>
        <w:tc>
          <w:tcPr>
            <w:tcW w:w="880" w:type="dxa"/>
            <w:vAlign w:val="bottom"/>
          </w:tcPr>
          <w:p>
            <w:pPr>
              <w:spacing w:after="0"/>
              <w:rPr>
                <w:sz w:val="22"/>
                <w:szCs w:val="22"/>
                <w:color w:val="auto"/>
              </w:rPr>
            </w:pPr>
          </w:p>
        </w:tc>
        <w:tc>
          <w:tcPr>
            <w:tcW w:w="5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2017</w:t>
            </w:r>
          </w:p>
        </w:tc>
      </w:tr>
      <w:tr>
        <w:trPr>
          <w:trHeight w:val="261"/>
        </w:trPr>
        <w:tc>
          <w:tcPr>
            <w:tcW w:w="880" w:type="dxa"/>
            <w:vAlign w:val="bottom"/>
          </w:tcPr>
          <w:p>
            <w:pPr>
              <w:spacing w:after="0"/>
              <w:rPr>
                <w:sz w:val="22"/>
                <w:szCs w:val="22"/>
                <w:color w:val="auto"/>
              </w:rPr>
            </w:pPr>
          </w:p>
        </w:tc>
        <w:tc>
          <w:tcPr>
            <w:tcW w:w="55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57"/>
        </w:trPr>
        <w:tc>
          <w:tcPr>
            <w:tcW w:w="8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4"/>
                <w:szCs w:val="14"/>
                <w:color w:val="auto"/>
              </w:rPr>
              <w:t>Uncommitted facility</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428</w:t>
            </w:r>
          </w:p>
        </w:tc>
        <w:tc>
          <w:tcPr>
            <w:tcW w:w="3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1,458</w:t>
            </w:r>
          </w:p>
        </w:tc>
        <w:tc>
          <w:tcPr>
            <w:tcW w:w="3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1,335</w:t>
            </w:r>
          </w:p>
        </w:tc>
      </w:tr>
      <w:tr>
        <w:trPr>
          <w:trHeight w:val="268"/>
        </w:trPr>
        <w:tc>
          <w:tcPr>
            <w:tcW w:w="880" w:type="dxa"/>
            <w:vAlign w:val="bottom"/>
          </w:tcPr>
          <w:p>
            <w:pPr>
              <w:spacing w:after="0"/>
              <w:rPr>
                <w:sz w:val="23"/>
                <w:szCs w:val="23"/>
                <w:color w:val="auto"/>
              </w:rPr>
            </w:pP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Committed facility (1)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w:t>
            </w:r>
          </w:p>
        </w:tc>
      </w:tr>
      <w:tr>
        <w:trPr>
          <w:trHeight w:val="257"/>
        </w:trPr>
        <w:tc>
          <w:tcPr>
            <w:tcW w:w="880" w:type="dxa"/>
            <w:vAlign w:val="bottom"/>
          </w:tcPr>
          <w:p>
            <w:pPr>
              <w:spacing w:after="0"/>
              <w:rPr>
                <w:sz w:val="22"/>
                <w:szCs w:val="22"/>
                <w:color w:val="auto"/>
              </w:rPr>
            </w:pPr>
          </w:p>
        </w:tc>
        <w:tc>
          <w:tcPr>
            <w:tcW w:w="55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Revolving credit facility</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229"/>
        </w:trPr>
        <w:tc>
          <w:tcPr>
            <w:tcW w:w="880" w:type="dxa"/>
            <w:vAlign w:val="bottom"/>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1,368</w:t>
            </w:r>
          </w:p>
        </w:tc>
      </w:tr>
      <w:tr>
        <w:trPr>
          <w:trHeight w:val="20"/>
        </w:trPr>
        <w:tc>
          <w:tcPr>
            <w:tcW w:w="88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8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(1)  Facility was terminated in July 2017.</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Credit Facilities</w:t>
      </w:r>
    </w:p>
    <w:p>
      <w:pPr>
        <w:spacing w:after="0" w:line="224" w:lineRule="exact"/>
        <w:rPr>
          <w:sz w:val="20"/>
          <w:szCs w:val="20"/>
          <w:color w:val="auto"/>
        </w:rPr>
      </w:pPr>
    </w:p>
    <w:p>
      <w:pPr>
        <w:jc w:val="both"/>
        <w:ind w:right="260" w:firstLine="315"/>
        <w:spacing w:after="0" w:line="274" w:lineRule="auto"/>
        <w:rPr>
          <w:sz w:val="20"/>
          <w:szCs w:val="20"/>
          <w:color w:val="auto"/>
        </w:rPr>
      </w:pPr>
      <w:r>
        <w:rPr>
          <w:rFonts w:ascii="Arial" w:cs="Arial" w:eastAsia="Arial" w:hAnsi="Arial"/>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At September 30, 2018</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6"/>
        </w:trPr>
        <w:tc>
          <w:tcPr>
            <w:tcW w:w="4340" w:type="dxa"/>
            <w:vAlign w:val="bottom"/>
          </w:tcPr>
          <w:p>
            <w:pPr>
              <w:spacing w:after="0"/>
              <w:rPr>
                <w:sz w:val="12"/>
                <w:szCs w:val="12"/>
                <w:color w:val="auto"/>
              </w:rPr>
            </w:pPr>
          </w:p>
        </w:tc>
        <w:tc>
          <w:tcPr>
            <w:tcW w:w="24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280" w:type="dxa"/>
            <w:vAlign w:val="bottom"/>
          </w:tcPr>
          <w:p>
            <w:pPr>
              <w:spacing w:after="0"/>
              <w:rPr>
                <w:sz w:val="12"/>
                <w:szCs w:val="12"/>
                <w:color w:val="auto"/>
              </w:rPr>
            </w:pPr>
          </w:p>
        </w:tc>
        <w:tc>
          <w:tcPr>
            <w:tcW w:w="21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2"/>
                <w:szCs w:val="12"/>
                <w:color w:val="auto"/>
              </w:rPr>
            </w:pPr>
          </w:p>
        </w:tc>
        <w:tc>
          <w:tcPr>
            <w:tcW w:w="1820" w:type="dxa"/>
            <w:vAlign w:val="bottom"/>
          </w:tcPr>
          <w:p>
            <w:pPr>
              <w:jc w:val="right"/>
              <w:ind w:right="730"/>
              <w:spacing w:after="0" w:line="147" w:lineRule="exact"/>
              <w:rPr>
                <w:sz w:val="20"/>
                <w:szCs w:val="20"/>
                <w:color w:val="auto"/>
              </w:rPr>
            </w:pPr>
            <w:r>
              <w:rPr>
                <w:rFonts w:ascii="Arial" w:cs="Arial" w:eastAsia="Arial" w:hAnsi="Arial"/>
                <w:sz w:val="14"/>
                <w:szCs w:val="14"/>
                <w:b w:val="1"/>
                <w:bCs w:val="1"/>
                <w:color w:val="auto"/>
              </w:rPr>
              <w:t>Borrowing</w:t>
            </w:r>
          </w:p>
        </w:tc>
      </w:tr>
      <w:tr>
        <w:trPr>
          <w:trHeight w:val="188"/>
        </w:trPr>
        <w:tc>
          <w:tcPr>
            <w:tcW w:w="434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Interest Rate</w:t>
            </w:r>
          </w:p>
        </w:tc>
        <w:tc>
          <w:tcPr>
            <w:tcW w:w="280" w:type="dxa"/>
            <w:vAlign w:val="bottom"/>
          </w:tcPr>
          <w:p>
            <w:pPr>
              <w:spacing w:after="0"/>
              <w:rPr>
                <w:sz w:val="16"/>
                <w:szCs w:val="16"/>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Arial" w:cs="Arial" w:eastAsia="Arial" w:hAnsi="Arial"/>
                <w:sz w:val="14"/>
                <w:szCs w:val="14"/>
                <w:b w:val="1"/>
                <w:bCs w:val="1"/>
                <w:color w:val="auto"/>
              </w:rPr>
              <w:t>Outstanding</w:t>
            </w:r>
          </w:p>
        </w:tc>
      </w:tr>
      <w:tr>
        <w:trPr>
          <w:trHeight w:val="248"/>
        </w:trPr>
        <w:tc>
          <w:tcPr>
            <w:tcW w:w="4340" w:type="dxa"/>
            <w:vAlign w:val="bottom"/>
            <w:tcBorders>
              <w:top w:val="single" w:sz="8" w:color="CCEEFF"/>
            </w:tcBorders>
            <w:shd w:val="clear" w:color="auto" w:fill="CCEEFF"/>
          </w:tcPr>
          <w:p>
            <w:pPr>
              <w:jc w:val="right"/>
              <w:ind w:right="2510"/>
              <w:spacing w:after="0"/>
              <w:rPr>
                <w:sz w:val="20"/>
                <w:szCs w:val="20"/>
                <w:color w:val="auto"/>
              </w:rPr>
            </w:pPr>
            <w:r>
              <w:rPr>
                <w:rFonts w:ascii="Arial" w:cs="Arial" w:eastAsia="Arial" w:hAnsi="Arial"/>
                <w:sz w:val="14"/>
                <w:szCs w:val="14"/>
                <w:b w:val="1"/>
                <w:bCs w:val="1"/>
                <w:color w:val="auto"/>
                <w:w w:val="92"/>
              </w:rPr>
              <w:t>Short-Term Credit Facilities:</w:t>
            </w:r>
          </w:p>
        </w:tc>
        <w:tc>
          <w:tcPr>
            <w:tcW w:w="2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spacing w:after="0"/>
              <w:rPr>
                <w:sz w:val="21"/>
                <w:szCs w:val="21"/>
                <w:color w:val="auto"/>
              </w:rPr>
            </w:pPr>
          </w:p>
        </w:tc>
      </w:tr>
      <w:tr>
        <w:trPr>
          <w:trHeight w:val="257"/>
        </w:trPr>
        <w:tc>
          <w:tcPr>
            <w:tcW w:w="4340" w:type="dxa"/>
            <w:vAlign w:val="bottom"/>
            <w:tcBorders>
              <w:bottom w:val="single" w:sz="8" w:color="CCEEFF"/>
            </w:tcBorders>
          </w:tcPr>
          <w:p>
            <w:pPr>
              <w:jc w:val="right"/>
              <w:ind w:right="2510"/>
              <w:spacing w:after="0"/>
              <w:rPr>
                <w:sz w:val="20"/>
                <w:szCs w:val="20"/>
                <w:color w:val="auto"/>
              </w:rPr>
            </w:pPr>
            <w:r>
              <w:rPr>
                <w:rFonts w:ascii="Arial" w:cs="Arial" w:eastAsia="Arial" w:hAnsi="Arial"/>
                <w:sz w:val="14"/>
                <w:szCs w:val="14"/>
                <w:color w:val="auto"/>
                <w:w w:val="97"/>
              </w:rPr>
              <w:t>Short-term credit facilities (2)</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4.27%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144,660</w:t>
            </w:r>
          </w:p>
        </w:tc>
      </w:tr>
      <w:tr>
        <w:trPr>
          <w:trHeight w:val="229"/>
        </w:trPr>
        <w:tc>
          <w:tcPr>
            <w:tcW w:w="434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144,660</w:t>
            </w:r>
          </w:p>
        </w:tc>
      </w:tr>
      <w:tr>
        <w:trPr>
          <w:trHeight w:val="20"/>
        </w:trPr>
        <w:tc>
          <w:tcPr>
            <w:tcW w:w="4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At December 31, 2017</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280" w:type="dxa"/>
            <w:vAlign w:val="bottom"/>
          </w:tcPr>
          <w:p>
            <w:pPr>
              <w:spacing w:after="0"/>
              <w:rPr>
                <w:sz w:val="12"/>
                <w:szCs w:val="12"/>
                <w:color w:val="auto"/>
              </w:rPr>
            </w:pPr>
          </w:p>
        </w:tc>
        <w:tc>
          <w:tcPr>
            <w:tcW w:w="21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2"/>
                <w:szCs w:val="12"/>
                <w:color w:val="auto"/>
              </w:rPr>
            </w:pPr>
          </w:p>
        </w:tc>
        <w:tc>
          <w:tcPr>
            <w:tcW w:w="1820" w:type="dxa"/>
            <w:vAlign w:val="bottom"/>
          </w:tcPr>
          <w:p>
            <w:pPr>
              <w:jc w:val="right"/>
              <w:ind w:right="730"/>
              <w:spacing w:after="0" w:line="147" w:lineRule="exact"/>
              <w:rPr>
                <w:sz w:val="20"/>
                <w:szCs w:val="20"/>
                <w:color w:val="auto"/>
              </w:rPr>
            </w:pPr>
            <w:r>
              <w:rPr>
                <w:rFonts w:ascii="Arial" w:cs="Arial" w:eastAsia="Arial" w:hAnsi="Arial"/>
                <w:sz w:val="14"/>
                <w:szCs w:val="14"/>
                <w:b w:val="1"/>
                <w:bCs w:val="1"/>
                <w:color w:val="auto"/>
              </w:rPr>
              <w:t>Borrowing</w:t>
            </w:r>
          </w:p>
        </w:tc>
      </w:tr>
      <w:tr>
        <w:trPr>
          <w:trHeight w:val="188"/>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Interest Rate</w:t>
            </w:r>
          </w:p>
        </w:tc>
        <w:tc>
          <w:tcPr>
            <w:tcW w:w="280" w:type="dxa"/>
            <w:vAlign w:val="bottom"/>
          </w:tcPr>
          <w:p>
            <w:pPr>
              <w:spacing w:after="0"/>
              <w:rPr>
                <w:sz w:val="16"/>
                <w:szCs w:val="16"/>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Arial" w:cs="Arial" w:eastAsia="Arial" w:hAnsi="Arial"/>
                <w:sz w:val="14"/>
                <w:szCs w:val="14"/>
                <w:b w:val="1"/>
                <w:bCs w:val="1"/>
                <w:color w:val="auto"/>
              </w:rPr>
              <w:t>Outstanding</w:t>
            </w:r>
          </w:p>
        </w:tc>
      </w:tr>
      <w:tr>
        <w:trPr>
          <w:trHeight w:val="274"/>
        </w:trPr>
        <w:tc>
          <w:tcPr>
            <w:tcW w:w="20" w:type="dxa"/>
            <w:vAlign w:val="bottom"/>
          </w:tcPr>
          <w:p>
            <w:pPr>
              <w:spacing w:after="0"/>
              <w:rPr>
                <w:sz w:val="23"/>
                <w:szCs w:val="23"/>
                <w:color w:val="auto"/>
              </w:rPr>
            </w:pPr>
          </w:p>
        </w:tc>
        <w:tc>
          <w:tcPr>
            <w:tcW w:w="4340" w:type="dxa"/>
            <w:vAlign w:val="bottom"/>
            <w:tcBorders>
              <w:top w:val="single" w:sz="8" w:color="CCEEFF"/>
            </w:tcBorders>
            <w:gridSpan w:val="2"/>
            <w:shd w:val="clear" w:color="auto" w:fill="CCEEFF"/>
          </w:tcPr>
          <w:p>
            <w:pPr>
              <w:jc w:val="right"/>
              <w:ind w:right="2580"/>
              <w:spacing w:after="0"/>
              <w:rPr>
                <w:sz w:val="20"/>
                <w:szCs w:val="20"/>
                <w:color w:val="auto"/>
              </w:rPr>
            </w:pPr>
            <w:r>
              <w:rPr>
                <w:rFonts w:ascii="Arial" w:cs="Arial" w:eastAsia="Arial" w:hAnsi="Arial"/>
                <w:sz w:val="14"/>
                <w:szCs w:val="14"/>
                <w:b w:val="1"/>
                <w:bCs w:val="1"/>
                <w:color w:val="auto"/>
                <w:w w:val="92"/>
              </w:rPr>
              <w:t>Short-Term Credit Facilities:</w:t>
            </w:r>
          </w:p>
        </w:tc>
        <w:tc>
          <w:tcPr>
            <w:tcW w:w="2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340" w:type="dxa"/>
            <w:vAlign w:val="bottom"/>
            <w:tcBorders>
              <w:bottom w:val="single" w:sz="8" w:color="CCEEFF"/>
            </w:tcBorders>
            <w:gridSpan w:val="2"/>
          </w:tcPr>
          <w:p>
            <w:pPr>
              <w:jc w:val="right"/>
              <w:ind w:right="2580"/>
              <w:spacing w:after="0"/>
              <w:rPr>
                <w:sz w:val="20"/>
                <w:szCs w:val="20"/>
                <w:color w:val="auto"/>
              </w:rPr>
            </w:pPr>
            <w:r>
              <w:rPr>
                <w:rFonts w:ascii="Arial" w:cs="Arial" w:eastAsia="Arial" w:hAnsi="Arial"/>
                <w:sz w:val="14"/>
                <w:szCs w:val="14"/>
                <w:color w:val="auto"/>
                <w:w w:val="97"/>
              </w:rPr>
              <w:t>Short-term credit facilities (2)</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3.86%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543,000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205,677</w:t>
            </w:r>
          </w:p>
        </w:tc>
      </w:tr>
      <w:tr>
        <w:trPr>
          <w:trHeight w:val="242"/>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543,000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205,677</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106" w:lineRule="exact"/>
        <w:rPr>
          <w:sz w:val="20"/>
          <w:szCs w:val="20"/>
          <w:color w:val="auto"/>
        </w:rPr>
      </w:pPr>
    </w:p>
    <w:p>
      <w:pPr>
        <w:ind w:left="320" w:right="720" w:hanging="315"/>
        <w:spacing w:after="0" w:line="290"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Outstanding borrowings were included with receivable from/ payable to broker-dealers and clearing organization within the condensed consolidated statements of financial condition.</w:t>
      </w:r>
    </w:p>
    <w:p>
      <w:pPr>
        <w:spacing w:after="0" w:line="158" w:lineRule="exact"/>
        <w:rPr>
          <w:sz w:val="20"/>
          <w:szCs w:val="20"/>
          <w:color w:val="auto"/>
        </w:rPr>
      </w:pPr>
    </w:p>
    <w:p>
      <w:pPr>
        <w:ind w:right="560" w:firstLine="315"/>
        <w:spacing w:after="0" w:line="290" w:lineRule="auto"/>
        <w:rPr>
          <w:sz w:val="20"/>
          <w:szCs w:val="20"/>
          <w:color w:val="auto"/>
        </w:rPr>
      </w:pPr>
      <w:r>
        <w:rPr>
          <w:rFonts w:ascii="Arial" w:cs="Arial" w:eastAsia="Arial" w:hAnsi="Arial"/>
          <w:sz w:val="17"/>
          <w:szCs w:val="17"/>
          <w:color w:val="auto"/>
        </w:rPr>
        <w:t>Interest expense in relation to the facilities was approximately $1.5 million and $1.4 million for the three months ended September 30, 2018 and 2017, respectively, and $5.0 million and $4.8 million for the nine months ended September 30, 2018, and 2017.</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Borrowings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the Company’s long-term borrowings, net of unamortized discount and debt issuance costs, where applicable: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At September 30, 2018</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Maturity</w:t>
            </w: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12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2"/>
                <w:szCs w:val="12"/>
                <w:color w:val="auto"/>
              </w:rPr>
            </w:pPr>
          </w:p>
        </w:tc>
        <w:tc>
          <w:tcPr>
            <w:tcW w:w="1040" w:type="dxa"/>
            <w:vAlign w:val="bottom"/>
            <w:vMerge w:val="restart"/>
          </w:tcPr>
          <w:p>
            <w:pPr>
              <w:jc w:val="right"/>
              <w:ind w:right="250"/>
              <w:spacing w:after="0"/>
              <w:rPr>
                <w:sz w:val="20"/>
                <w:szCs w:val="20"/>
                <w:color w:val="auto"/>
              </w:rPr>
            </w:pPr>
            <w:r>
              <w:rPr>
                <w:rFonts w:ascii="Arial" w:cs="Arial" w:eastAsia="Arial" w:hAnsi="Arial"/>
                <w:sz w:val="14"/>
                <w:szCs w:val="14"/>
                <w:b w:val="1"/>
                <w:bCs w:val="1"/>
                <w:color w:val="auto"/>
              </w:rPr>
              <w:t>Discount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Deferred Debt</w:t>
            </w:r>
          </w:p>
        </w:tc>
        <w:tc>
          <w:tcPr>
            <w:tcW w:w="180" w:type="dxa"/>
            <w:vAlign w:val="bottom"/>
          </w:tcPr>
          <w:p>
            <w:pPr>
              <w:spacing w:after="0"/>
              <w:rPr>
                <w:sz w:val="12"/>
                <w:szCs w:val="12"/>
                <w:color w:val="auto"/>
              </w:rPr>
            </w:pPr>
          </w:p>
        </w:tc>
        <w:tc>
          <w:tcPr>
            <w:tcW w:w="1280" w:type="dxa"/>
            <w:vAlign w:val="bottom"/>
          </w:tcPr>
          <w:p>
            <w:pPr>
              <w:jc w:val="right"/>
              <w:ind w:right="29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Fourth Amended and Restate Credit Agreement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December 2021</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5.09%</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(7,267)</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392,373</w:t>
            </w:r>
          </w:p>
        </w:tc>
        <w:tc>
          <w:tcPr>
            <w:tcW w:w="0" w:type="dxa"/>
            <w:vAlign w:val="bottom"/>
          </w:tcPr>
          <w:p>
            <w:pPr>
              <w:spacing w:after="0"/>
              <w:rPr>
                <w:sz w:val="1"/>
                <w:szCs w:val="1"/>
                <w:color w:val="auto"/>
              </w:rPr>
            </w:pPr>
          </w:p>
        </w:tc>
      </w:tr>
      <w:tr>
        <w:trPr>
          <w:trHeight w:val="268"/>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June 2022</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480,901</w:t>
            </w: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January 2020</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30,783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30,753</w:t>
            </w:r>
          </w:p>
        </w:tc>
        <w:tc>
          <w:tcPr>
            <w:tcW w:w="0" w:type="dxa"/>
            <w:vAlign w:val="bottom"/>
          </w:tcPr>
          <w:p>
            <w:pPr>
              <w:spacing w:after="0"/>
              <w:rPr>
                <w:sz w:val="1"/>
                <w:szCs w:val="1"/>
                <w:color w:val="auto"/>
              </w:rPr>
            </w:pPr>
          </w:p>
        </w:tc>
      </w:tr>
      <w:tr>
        <w:trPr>
          <w:trHeight w:val="229"/>
        </w:trPr>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930,783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904,027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At December 31, 2017</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Maturity</w:t>
            </w: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12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2"/>
                <w:szCs w:val="12"/>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Discount</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Deferred Debt</w:t>
            </w:r>
          </w:p>
        </w:tc>
        <w:tc>
          <w:tcPr>
            <w:tcW w:w="180" w:type="dxa"/>
            <w:vAlign w:val="bottom"/>
          </w:tcPr>
          <w:p>
            <w:pPr>
              <w:spacing w:after="0"/>
              <w:rPr>
                <w:sz w:val="12"/>
                <w:szCs w:val="12"/>
                <w:color w:val="auto"/>
              </w:rPr>
            </w:pPr>
          </w:p>
        </w:tc>
        <w:tc>
          <w:tcPr>
            <w:tcW w:w="1280" w:type="dxa"/>
            <w:vAlign w:val="bottom"/>
          </w:tcPr>
          <w:p>
            <w:pPr>
              <w:jc w:val="right"/>
              <w:ind w:right="29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88"/>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74"/>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40" w:type="dxa"/>
            <w:vAlign w:val="bottom"/>
            <w:gridSpan w:val="2"/>
          </w:tcPr>
          <w:p>
            <w:pPr>
              <w:ind w:left="100"/>
              <w:spacing w:after="0"/>
              <w:rPr>
                <w:sz w:val="20"/>
                <w:szCs w:val="20"/>
                <w:color w:val="auto"/>
              </w:rPr>
            </w:pPr>
            <w:r>
              <w:rPr>
                <w:rFonts w:ascii="Arial" w:cs="Arial" w:eastAsia="Arial" w:hAnsi="Arial"/>
                <w:sz w:val="14"/>
                <w:szCs w:val="14"/>
                <w:color w:val="auto"/>
              </w:rPr>
              <w:t>Fourth Amended and Restate Credit Agreement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December 2021</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5.13%</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(18,504)</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880,497</w:t>
            </w:r>
          </w:p>
        </w:tc>
        <w:tc>
          <w:tcPr>
            <w:tcW w:w="0" w:type="dxa"/>
            <w:vAlign w:val="bottom"/>
          </w:tcPr>
          <w:p>
            <w:pPr>
              <w:spacing w:after="0"/>
              <w:rPr>
                <w:sz w:val="1"/>
                <w:szCs w:val="1"/>
                <w:color w:val="auto"/>
              </w:rPr>
            </w:pPr>
          </w:p>
        </w:tc>
      </w:tr>
      <w:tr>
        <w:trPr>
          <w:trHeight w:val="268"/>
        </w:trPr>
        <w:tc>
          <w:tcPr>
            <w:tcW w:w="3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June 2022</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477,039</w:t>
            </w:r>
          </w:p>
        </w:tc>
        <w:tc>
          <w:tcPr>
            <w:tcW w:w="0" w:type="dxa"/>
            <w:vAlign w:val="bottom"/>
          </w:tcPr>
          <w:p>
            <w:pPr>
              <w:spacing w:after="0"/>
              <w:rPr>
                <w:sz w:val="1"/>
                <w:szCs w:val="1"/>
                <w:color w:val="auto"/>
              </w:rPr>
            </w:pPr>
          </w:p>
        </w:tc>
      </w:tr>
      <w:tr>
        <w:trPr>
          <w:trHeight w:val="257"/>
        </w:trPr>
        <w:tc>
          <w:tcPr>
            <w:tcW w:w="344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January 2020</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31,059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31,012</w:t>
            </w:r>
          </w:p>
        </w:tc>
        <w:tc>
          <w:tcPr>
            <w:tcW w:w="0" w:type="dxa"/>
            <w:vAlign w:val="bottom"/>
          </w:tcPr>
          <w:p>
            <w:pPr>
              <w:spacing w:after="0"/>
              <w:rPr>
                <w:sz w:val="1"/>
                <w:szCs w:val="1"/>
                <w:color w:val="auto"/>
              </w:rPr>
            </w:pPr>
          </w:p>
        </w:tc>
      </w:tr>
      <w:tr>
        <w:trPr>
          <w:trHeight w:val="242"/>
        </w:trPr>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1,431,059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1,388,548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Fourth Amended and Restated Credit Agreement</w:t>
      </w:r>
    </w:p>
    <w:p>
      <w:pPr>
        <w:spacing w:after="0" w:line="224" w:lineRule="exact"/>
        <w:rPr>
          <w:sz w:val="20"/>
          <w:szCs w:val="20"/>
          <w:color w:val="auto"/>
        </w:rPr>
      </w:pPr>
    </w:p>
    <w:p>
      <w:pPr>
        <w:ind w:right="60" w:firstLine="315"/>
        <w:spacing w:after="0" w:line="290" w:lineRule="auto"/>
        <w:rPr>
          <w:sz w:val="20"/>
          <w:szCs w:val="20"/>
          <w:color w:val="auto"/>
        </w:rPr>
      </w:pPr>
      <w:r>
        <w:rPr>
          <w:rFonts w:ascii="Arial" w:cs="Arial" w:eastAsia="Arial" w:hAnsi="Arial"/>
          <w:sz w:val="16"/>
          <w:szCs w:val="16"/>
          <w:color w:val="auto"/>
        </w:rPr>
        <w:t>To finance the Acquisition, on June 30, 2017, Virtu Financial and VFH Parent LLC (“VFH”) entered into a fourth amended and restated credit agreement (as amended on January 2, 2018 and September 19, 2018, the “Fourth Amended and Restated Credit Agreement”) with the lenders party thereto and JPMorgan Chase Bank, N.A., as administrative agent, sole lead arranger and bookrunner, which amended and restated in its entirety the existing Credit Agreement, and upon the closing of the Acquisition of KCG, provided for an aggregate $1.15 billion of first lien secured term loans (the “Term Loan Facility”).</w:t>
      </w:r>
    </w:p>
    <w:p>
      <w:pPr>
        <w:spacing w:after="0" w:line="161" w:lineRule="exact"/>
        <w:rPr>
          <w:sz w:val="20"/>
          <w:szCs w:val="20"/>
          <w:color w:val="auto"/>
        </w:rPr>
      </w:pPr>
    </w:p>
    <w:p>
      <w:pPr>
        <w:ind w:right="60" w:firstLine="315"/>
        <w:spacing w:after="0" w:line="262" w:lineRule="auto"/>
        <w:rPr>
          <w:sz w:val="20"/>
          <w:szCs w:val="20"/>
          <w:color w:val="auto"/>
        </w:rPr>
      </w:pPr>
      <w:r>
        <w:rPr>
          <w:rFonts w:ascii="Arial" w:cs="Arial" w:eastAsia="Arial" w:hAnsi="Arial"/>
          <w:sz w:val="17"/>
          <w:szCs w:val="17"/>
          <w:color w:val="auto"/>
        </w:rPr>
        <w:t>For the nine months ended September 30, 2018, $500.0 million of prepayments were made under the Fourth Amended and Restated Credit Agreement, for an aggregate total of $750.0 million of principal prepayments under the Term Loan Facility since its closing. As a result of these prepayments, the total principal outstanding under the senior secured credit facility is $400.0 million. VFH also entered into a repricing transaction during January 2018 to reprice the senior secured term loans under the Fourth Amended and Restated Credit Agreement at LIBOR plus 3.25%, and another repricing transaction during September 2018 to reprice such senior secured term loans at LIBOR plus 2.75%. In connection with the debt refinancing and the debt prepayment, the Company accelerated approximately $11.7 million for unamortized financing costs incurred that were scheduled to be amortized over the term of the loan, including original issue discount and underwriting and legal fees, which is included within debt issue cost related to debt refinancing in the consolidated statements of comprehensive income.</w:t>
      </w:r>
    </w:p>
    <w:p>
      <w:pPr>
        <w:spacing w:after="0" w:line="183" w:lineRule="exact"/>
        <w:rPr>
          <w:sz w:val="20"/>
          <w:szCs w:val="20"/>
          <w:color w:val="auto"/>
        </w:rPr>
      </w:pPr>
    </w:p>
    <w:p>
      <w:pPr>
        <w:ind w:right="20" w:firstLine="315"/>
        <w:spacing w:after="0" w:line="290" w:lineRule="auto"/>
        <w:rPr>
          <w:sz w:val="20"/>
          <w:szCs w:val="20"/>
          <w:color w:val="auto"/>
        </w:rPr>
      </w:pPr>
      <w:r>
        <w:rPr>
          <w:rFonts w:ascii="Arial" w:cs="Arial" w:eastAsia="Arial" w:hAnsi="Arial"/>
          <w:sz w:val="16"/>
          <w:szCs w:val="16"/>
          <w:color w:val="auto"/>
        </w:rPr>
        <w:t>The Fourth Amended and Restated Credit Agreement contains certain customary covenants and certain customary events of default, including relating to a change of control. If an event of default occurs and is continuing, the lenders under the Fourth Amended and Restated Credit Agreement will be entitled to take various actions, including the acceleration of amounts outstanding under the Fourth Amended and Restated Credit Agreement and all actions permitted to be taken by a secured creditor in respect of the collateral securing the obligations under the Fourth Amended and Restated Credit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Second Lien Notes</w:t>
      </w:r>
    </w:p>
    <w:p>
      <w:pPr>
        <w:spacing w:after="0" w:line="224" w:lineRule="exact"/>
        <w:rPr>
          <w:sz w:val="20"/>
          <w:szCs w:val="20"/>
          <w:color w:val="auto"/>
        </w:rPr>
      </w:pPr>
    </w:p>
    <w:p>
      <w:pPr>
        <w:ind w:right="160" w:firstLine="315"/>
        <w:spacing w:after="0" w:line="298" w:lineRule="auto"/>
        <w:rPr>
          <w:sz w:val="20"/>
          <w:szCs w:val="20"/>
          <w:color w:val="auto"/>
        </w:rPr>
      </w:pPr>
      <w:r>
        <w:rPr>
          <w:rFonts w:ascii="Arial" w:cs="Arial" w:eastAsia="Arial" w:hAnsi="Arial"/>
          <w:sz w:val="16"/>
          <w:szCs w:val="16"/>
          <w:color w:val="auto"/>
        </w:rPr>
        <w:t>To finance the Acquisition of KCG, on June 16, 2017, the Escrow Issuer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w:t>
      </w:r>
    </w:p>
    <w:p>
      <w:pPr>
        <w:spacing w:after="0" w:line="155" w:lineRule="exact"/>
        <w:rPr>
          <w:sz w:val="20"/>
          <w:szCs w:val="20"/>
          <w:color w:val="auto"/>
        </w:rPr>
      </w:pPr>
    </w:p>
    <w:p>
      <w:pPr>
        <w:ind w:right="240" w:firstLine="315"/>
        <w:spacing w:after="0" w:line="323" w:lineRule="auto"/>
        <w:rPr>
          <w:sz w:val="20"/>
          <w:szCs w:val="20"/>
          <w:color w:val="auto"/>
        </w:rPr>
      </w:pPr>
      <w:r>
        <w:rPr>
          <w:rFonts w:ascii="Arial" w:cs="Arial" w:eastAsia="Arial" w:hAnsi="Arial"/>
          <w:sz w:val="16"/>
          <w:szCs w:val="16"/>
          <w:color w:val="auto"/>
        </w:rPr>
        <w:t>On July 20, 2017, VFH assumed all of the obligations of the Escrow Issuer under the Indenture and the Notes. The Notes are guaranteed by Virtu Financial and each of Virtu Financial’s wholly-owned domestic restricted subsidiaries that guarantees the Fourth Amended and Restated Credit Agreement.</w:t>
      </w:r>
    </w:p>
    <w:p>
      <w:pPr>
        <w:spacing w:after="0" w:line="135" w:lineRule="exact"/>
        <w:rPr>
          <w:sz w:val="20"/>
          <w:szCs w:val="20"/>
          <w:color w:val="auto"/>
        </w:rPr>
      </w:pPr>
    </w:p>
    <w:p>
      <w:pPr>
        <w:ind w:right="160" w:firstLine="315"/>
        <w:spacing w:after="0" w:line="268" w:lineRule="auto"/>
        <w:rPr>
          <w:sz w:val="20"/>
          <w:szCs w:val="20"/>
          <w:color w:val="auto"/>
        </w:rPr>
      </w:pPr>
      <w:r>
        <w:rPr>
          <w:rFonts w:ascii="Arial" w:cs="Arial" w:eastAsia="Arial" w:hAnsi="Arial"/>
          <w:sz w:val="17"/>
          <w:szCs w:val="17"/>
          <w:color w:val="auto"/>
        </w:rPr>
        <w:t>The Indenture imposes certain limitations on the Company, and contains certain customary events of default, including, among others, payment defaults related to the failure to pay principal or interest on the Notes, covenant defaults, final maturity default or cross-acceleration with respect to material indebtedness and certain bankruptcy events. The gross proceeds from the Notes were deposited into a segregated escrow account with an escrow agent. The proceeds were released from escrow as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Closing Date and were used to finance, in part, the Acquisition of KCG, and to repay certain indebtedness of the Company and KCG. (See Note 3 “Acquisition of KCG Holdings, Inc.” for further details).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Bonds</w:t>
      </w:r>
    </w:p>
    <w:p>
      <w:pPr>
        <w:spacing w:after="0" w:line="224"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The principal balance was ¥3.5 billion ($30.8 million) as of September 30, 2018 and ¥3.5 billion ($31.1 million) as of December 31, 2017. The Company recorded losses of $0.9 million and $0.3 million due to the change in currency rates during the three and nine months ended September 30, 2018. Losses due to the change in currency rates were immaterial for the three and nine months ended September 30, 2017.</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Aggregate future required minimum principal payments based on the terms of the long-term borrowings were as follows:</w:t>
      </w:r>
    </w:p>
    <w:p>
      <w:pPr>
        <w:spacing w:after="0" w:line="227" w:lineRule="exact"/>
        <w:rPr>
          <w:sz w:val="20"/>
          <w:szCs w:val="20"/>
          <w:color w:val="auto"/>
        </w:rPr>
      </w:pPr>
    </w:p>
    <w:tbl>
      <w:tblPr>
        <w:tblLayout w:type="fixed"/>
        <w:tblInd w:w="1560" w:type="dxa"/>
        <w:tblCellMar>
          <w:top w:w="0" w:type="dxa"/>
          <w:left w:w="0" w:type="dxa"/>
          <w:bottom w:w="0" w:type="dxa"/>
          <w:right w:w="0" w:type="dxa"/>
        </w:tblCellMar>
      </w:tblPr>
      <w:tr>
        <w:trPr>
          <w:trHeight w:val="188"/>
        </w:trPr>
        <w:tc>
          <w:tcPr>
            <w:tcW w:w="6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740" w:type="dxa"/>
            <w:vAlign w:val="bottom"/>
          </w:tcPr>
          <w:p>
            <w:pPr>
              <w:jc w:val="right"/>
              <w:ind w:right="343"/>
              <w:spacing w:after="0"/>
              <w:rPr>
                <w:sz w:val="20"/>
                <w:szCs w:val="20"/>
                <w:color w:val="auto"/>
              </w:rPr>
            </w:pPr>
            <w:r>
              <w:rPr>
                <w:rFonts w:ascii="Arial" w:cs="Arial" w:eastAsia="Arial" w:hAnsi="Arial"/>
                <w:sz w:val="14"/>
                <w:szCs w:val="14"/>
                <w:b w:val="1"/>
                <w:bCs w:val="1"/>
                <w:color w:val="auto"/>
                <w:w w:val="99"/>
              </w:rPr>
              <w:t>September 30, 2018</w:t>
            </w:r>
          </w:p>
        </w:tc>
      </w:tr>
      <w:tr>
        <w:trPr>
          <w:trHeight w:val="248"/>
        </w:trPr>
        <w:tc>
          <w:tcPr>
            <w:tcW w:w="6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57"/>
        </w:trPr>
        <w:tc>
          <w:tcPr>
            <w:tcW w:w="6180" w:type="dxa"/>
            <w:vAlign w:val="bottom"/>
          </w:tcPr>
          <w:p>
            <w:pPr>
              <w:ind w:left="4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68"/>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30,783</w:t>
            </w:r>
          </w:p>
        </w:tc>
      </w:tr>
      <w:tr>
        <w:trPr>
          <w:trHeight w:val="257"/>
        </w:trPr>
        <w:tc>
          <w:tcPr>
            <w:tcW w:w="63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2021 and thereafter</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900,000</w:t>
            </w:r>
          </w:p>
        </w:tc>
      </w:tr>
      <w:tr>
        <w:trPr>
          <w:trHeight w:val="248"/>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principal of long-term borrowings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930,783</w:t>
            </w:r>
          </w:p>
        </w:tc>
      </w:tr>
      <w:tr>
        <w:trPr>
          <w:trHeight w:val="20"/>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Financial Assets and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Measured at Fair Value</w:t>
      </w:r>
    </w:p>
    <w:p>
      <w:pPr>
        <w:spacing w:after="0" w:line="224" w:lineRule="exact"/>
        <w:rPr>
          <w:sz w:val="20"/>
          <w:szCs w:val="20"/>
          <w:color w:val="auto"/>
        </w:rPr>
      </w:pPr>
    </w:p>
    <w:p>
      <w:pPr>
        <w:ind w:right="40" w:firstLine="315"/>
        <w:spacing w:after="0" w:line="282" w:lineRule="auto"/>
        <w:rPr>
          <w:sz w:val="20"/>
          <w:szCs w:val="20"/>
          <w:color w:val="auto"/>
        </w:rPr>
      </w:pPr>
      <w:r>
        <w:rPr>
          <w:rFonts w:ascii="Arial" w:cs="Arial" w:eastAsia="Arial" w:hAnsi="Arial"/>
          <w:sz w:val="16"/>
          <w:szCs w:val="16"/>
          <w:color w:val="auto"/>
        </w:rPr>
        <w:t>The fair value of equities, options, on the 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broadly distributed bank and broker 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67" w:lineRule="exact"/>
        <w:rPr>
          <w:sz w:val="20"/>
          <w:szCs w:val="20"/>
          <w:color w:val="auto"/>
        </w:rPr>
      </w:pPr>
    </w:p>
    <w:p>
      <w:pPr>
        <w:ind w:right="360" w:firstLine="315"/>
        <w:spacing w:after="0" w:line="305" w:lineRule="auto"/>
        <w:rPr>
          <w:sz w:val="20"/>
          <w:szCs w:val="20"/>
          <w:color w:val="auto"/>
        </w:rPr>
      </w:pPr>
      <w:r>
        <w:rPr>
          <w:rFonts w:ascii="Arial" w:cs="Arial" w:eastAsia="Arial" w:hAnsi="Arial"/>
          <w:sz w:val="15"/>
          <w:szCs w:val="15"/>
          <w:color w:val="auto"/>
        </w:rPr>
        <w:t>As of March 31, 2017, the Company began pricing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 The Company concluded that this is a change in accounting estimate and no retrospective adjustments were necessary.</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transfers of financial instruments between levels during the three and nine months ended September 30, 2018 and 2017.</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September 30, 2018:</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2"/>
                <w:szCs w:val="12"/>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260" w:type="dxa"/>
            <w:vAlign w:val="bottom"/>
          </w:tcPr>
          <w:p>
            <w:pPr>
              <w:jc w:val="right"/>
              <w:ind w:right="7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Cash Collateral</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814,667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1,286,236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2,100,903</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92,965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21,375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114,340</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68,965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68,965</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13,042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48,369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61,411</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1,929,452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(1,901,746)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27,706</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799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921,473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3,354,397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2,374,124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386,731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155,357</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542,088</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2,790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7,751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10,541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389,521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163,108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552,629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investment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40,243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40,243</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stock</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2,132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2,132</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2,132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40,243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42,375</w:t>
            </w:r>
          </w:p>
        </w:tc>
        <w:tc>
          <w:tcPr>
            <w:tcW w:w="0" w:type="dxa"/>
            <w:vAlign w:val="bottom"/>
          </w:tcPr>
          <w:p>
            <w:pPr>
              <w:spacing w:after="0"/>
              <w:rPr>
                <w:sz w:val="1"/>
                <w:szCs w:val="1"/>
                <w:color w:val="auto"/>
              </w:rPr>
            </w:pPr>
          </w:p>
        </w:tc>
      </w:tr>
      <w:tr>
        <w:trPr>
          <w:trHeight w:val="247"/>
        </w:trPr>
        <w:tc>
          <w:tcPr>
            <w:tcW w:w="4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1,092,602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1,162,905</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2,255,507</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82,916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84,143</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37,865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37,865</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19,886</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1,942,686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(1,942,686)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1,177,085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3,163,695</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(1,942,686)</w:t>
            </w:r>
          </w:p>
        </w:tc>
        <w:tc>
          <w:tcPr>
            <w:tcW w:w="100" w:type="dxa"/>
            <w:vAlign w:val="bottom"/>
          </w:tcPr>
          <w:p>
            <w:pPr>
              <w:spacing w:after="0"/>
              <w:rPr>
                <w:sz w:val="19"/>
                <w:szCs w:val="19"/>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2,398,094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2017:</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2"/>
                <w:szCs w:val="12"/>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260" w:type="dxa"/>
            <w:vAlign w:val="bottom"/>
          </w:tcPr>
          <w:p>
            <w:pPr>
              <w:jc w:val="right"/>
              <w:ind w:right="7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Cash Collateral</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758,596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1,167,995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1,926,591</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5,968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16,815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22,783</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60,975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60,975</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13,576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68,819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82,395</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2,045,487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(2,027,697)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17,790</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7,045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785,185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3,360,091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(2,027,697)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2,117,579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410,670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175,581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586,251</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8,611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8,693</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410,851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184,192</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595,043</w:t>
            </w:r>
          </w:p>
        </w:tc>
        <w:tc>
          <w:tcPr>
            <w:tcW w:w="0" w:type="dxa"/>
            <w:vAlign w:val="bottom"/>
          </w:tcPr>
          <w:p>
            <w:pPr>
              <w:spacing w:after="0"/>
              <w:rPr>
                <w:sz w:val="1"/>
                <w:szCs w:val="1"/>
                <w:color w:val="auto"/>
              </w:rPr>
            </w:pPr>
          </w:p>
        </w:tc>
      </w:tr>
      <w:tr>
        <w:trPr>
          <w:trHeight w:val="247"/>
        </w:trPr>
        <w:tc>
          <w:tcPr>
            <w:tcW w:w="4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investment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40,588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40,588</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stock</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186"/>
        </w:trPr>
        <w:tc>
          <w:tcPr>
            <w:tcW w:w="4340" w:type="dxa"/>
            <w:vAlign w:val="bottom"/>
            <w:gridSpan w:val="2"/>
          </w:tcPr>
          <w:p>
            <w:pPr>
              <w:ind w:left="24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(1)</w:t>
            </w:r>
          </w:p>
        </w:tc>
        <w:tc>
          <w:tcPr>
            <w:tcW w:w="120" w:type="dxa"/>
            <w:vAlign w:val="bottom"/>
          </w:tcPr>
          <w:p>
            <w:pPr>
              <w:spacing w:after="0"/>
              <w:rPr>
                <w:sz w:val="16"/>
                <w:szCs w:val="16"/>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4"/>
                <w:szCs w:val="14"/>
                <w:color w:val="auto"/>
              </w:rPr>
              <w:t>55,824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55,824</w:t>
            </w:r>
          </w:p>
        </w:tc>
        <w:tc>
          <w:tcPr>
            <w:tcW w:w="0" w:type="dxa"/>
            <w:vAlign w:val="bottom"/>
          </w:tcPr>
          <w:p>
            <w:pPr>
              <w:spacing w:after="0"/>
              <w:rPr>
                <w:sz w:val="1"/>
                <w:szCs w:val="1"/>
                <w:color w:val="auto"/>
              </w:rPr>
            </w:pPr>
          </w:p>
        </w:tc>
      </w:tr>
      <w:tr>
        <w:trPr>
          <w:trHeight w:val="150"/>
        </w:trPr>
        <w:tc>
          <w:tcPr>
            <w:tcW w:w="42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55,824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40,588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98,364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847,816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1,355,616</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2,203,432</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18,940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12,481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31,421</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81,118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81,118</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54,248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55,762</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2,032,017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(2,024,991)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7,026</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5,839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5,839</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874,109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3,535,480</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(2,024,991)</w:t>
            </w:r>
          </w:p>
        </w:tc>
        <w:tc>
          <w:tcPr>
            <w:tcW w:w="100" w:type="dxa"/>
            <w:vAlign w:val="bottom"/>
          </w:tcPr>
          <w:p>
            <w:pPr>
              <w:spacing w:after="0"/>
              <w:rPr>
                <w:sz w:val="19"/>
                <w:szCs w:val="19"/>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2,384,598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6350</wp:posOffset>
            </wp:positionV>
            <wp:extent cx="449199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91990" cy="24765"/>
                    </a:xfrm>
                    <a:prstGeom prst="rect">
                      <a:avLst/>
                    </a:prstGeom>
                    <a:noFill/>
                  </pic:spPr>
                </pic:pic>
              </a:graphicData>
            </a:graphic>
          </wp:anchor>
        </w:drawing>
      </w:r>
    </w:p>
    <w:p>
      <w:pPr>
        <w:spacing w:after="0" w:line="33" w:lineRule="exact"/>
        <w:rPr>
          <w:sz w:val="20"/>
          <w:szCs w:val="20"/>
          <w:color w:val="auto"/>
        </w:rPr>
      </w:pPr>
    </w:p>
    <w:p>
      <w:pPr>
        <w:ind w:left="560" w:hanging="240"/>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6"/>
          <w:szCs w:val="16"/>
          <w:color w:val="auto"/>
        </w:rPr>
        <w:t>Other primarily consists of a $55.8 million receivable from Bats related to the sale of KCG Hotspot.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Investment</w:t>
      </w:r>
    </w:p>
    <w:p>
      <w:pPr>
        <w:spacing w:after="0" w:line="224" w:lineRule="exact"/>
        <w:rPr>
          <w:sz w:val="20"/>
          <w:szCs w:val="20"/>
          <w:color w:val="auto"/>
        </w:rPr>
      </w:pPr>
    </w:p>
    <w:p>
      <w:pPr>
        <w:ind w:firstLine="315"/>
        <w:spacing w:after="0" w:line="303" w:lineRule="auto"/>
        <w:rPr>
          <w:sz w:val="20"/>
          <w:szCs w:val="20"/>
          <w:color w:val="auto"/>
        </w:rPr>
      </w:pPr>
      <w:r>
        <w:rPr>
          <w:rFonts w:ascii="Arial" w:cs="Arial" w:eastAsia="Arial" w:hAnsi="Arial"/>
          <w:sz w:val="15"/>
          <w:szCs w:val="15"/>
          <w:color w:val="auto"/>
        </w:rPr>
        <w:t>As of September 30, 2018, the fair value of SBI Investment was determined using the discounted cash flow method, an income approach, with the discount rate of 15.0% applied to the cash flow forecasts. The Company also used a market approach based on 14x average price/earnings multiples of comparable companies to corroborate the income approach. The fair value of the SBI Investment at September 30, 2018 was determined by taking the weighted average of enterprise valuations based on discounted cash flow on projected income from the next five years, the implied enterprise valuations on comparable companies, and the implied enterprise valuations on comparable transactions. The fair value measurement is highly sensitive to significant changes in the unobservable inputs and significant increases (decreases) in discount rate or decreases (increases) in price/earnings multiples would result in a significantly lower (higher) fair value measurement. Changes in the fair value of the SBI Investment are reflected in other, net in the condensed consolidated statements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Receivable from Bats Global Markets, Inc. (“Bats”)</w:t>
      </w:r>
    </w:p>
    <w:p>
      <w:pPr>
        <w:spacing w:after="0" w:line="224" w:lineRule="exact"/>
        <w:rPr>
          <w:sz w:val="20"/>
          <w:szCs w:val="20"/>
          <w:color w:val="auto"/>
        </w:rPr>
      </w:pPr>
    </w:p>
    <w:p>
      <w:pPr>
        <w:ind w:right="220" w:firstLine="315"/>
        <w:spacing w:after="0" w:line="274" w:lineRule="auto"/>
        <w:rPr>
          <w:sz w:val="20"/>
          <w:szCs w:val="20"/>
          <w:color w:val="auto"/>
        </w:rPr>
      </w:pPr>
      <w:r>
        <w:rPr>
          <w:rFonts w:ascii="Arial" w:cs="Arial" w:eastAsia="Arial" w:hAnsi="Arial"/>
          <w:sz w:val="17"/>
          <w:szCs w:val="17"/>
          <w:color w:val="auto"/>
        </w:rPr>
        <w:t>In March 2015, KCG sold KCG Hotspot, an institutional spot foreign exchange electronic communications networks (“ECN”), to Bats, which is now a subsidiary of CBOE Holdings, Inc. KCG and Bats agreed to share certain tax benefits, which comprise a $50.0 million payment and an annual payment of up to $6.6 million, both of which were paid to the Company in April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Measured at Fair Value</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7" w:right="239" w:bottom="1440" w:gutter="0" w:footer="0" w:header="0"/>
          <w:type w:val="continuous"/>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color w:val="auto"/>
        </w:rPr>
        <w:t>The table below presents the carrying value, fair value and fair value hierarchy category of certain financial instruments that are not measured at fair value on the condensed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categorized as Level 2 in the fair value hierarchy, which is based on quoted prices from the market.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September 30,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8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2"/>
                <w:szCs w:val="12"/>
                <w:color w:val="auto"/>
              </w:rPr>
            </w:pPr>
          </w:p>
        </w:tc>
        <w:tc>
          <w:tcPr>
            <w:tcW w:w="108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Identical Assets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5"/>
                <w:szCs w:val="15"/>
                <w:color w:val="auto"/>
              </w:rPr>
            </w:pPr>
          </w:p>
        </w:tc>
        <w:tc>
          <w:tcPr>
            <w:tcW w:w="108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66"/>
        </w:trPr>
        <w:tc>
          <w:tcPr>
            <w:tcW w:w="4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3"/>
                <w:szCs w:val="23"/>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415,933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415,933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415,933</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1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1,305,789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1,305,789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1,305,789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purchased under agreements to resell</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Receivables from broker dealers and clearing organizations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1,115,764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1,115,764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225,274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890,490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2,847,500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2,847,500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641,207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2,206,293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Short-term borrowings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14,567</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14,567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14,567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Long-term borrowings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904,027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950,685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950,685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800,145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800,145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800,145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301,238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301,238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301,238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Payables to broker dealer and clearing organizations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952,343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952,343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277,486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674,859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2,972,320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3,018,978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277,486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2,741,494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December 31,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8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2"/>
                <w:szCs w:val="12"/>
                <w:color w:val="auto"/>
              </w:rPr>
            </w:pPr>
          </w:p>
        </w:tc>
        <w:tc>
          <w:tcPr>
            <w:tcW w:w="108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Identical Assets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5"/>
                <w:szCs w:val="15"/>
                <w:color w:val="auto"/>
              </w:rPr>
            </w:pPr>
          </w:p>
        </w:tc>
        <w:tc>
          <w:tcPr>
            <w:tcW w:w="108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68"/>
        </w:trPr>
        <w:tc>
          <w:tcPr>
            <w:tcW w:w="4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3"/>
                <w:szCs w:val="23"/>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532,887</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532,887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532,887</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borrowed</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1,471,172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1,471,172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1,471,172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Receivables from broker dealers and clearing organizations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972,018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972,018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36,513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935,505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2,976,077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2,976,077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569,400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2,406,677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Short-term borrowings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27,883</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27,883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27,883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Long-term borrowings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1,388,548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1,465,489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1,465,489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754,687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390,642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Payables to broker dealer and clearing organizations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716,205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716,205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2,925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713,280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3,277,965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3,354,906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2,925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3,351,981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presents the changes in Level 3 financial instruments measured at fair value on a recurring basis: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410"/>
              <w:spacing w:after="0"/>
              <w:rPr>
                <w:sz w:val="20"/>
                <w:szCs w:val="20"/>
                <w:color w:val="auto"/>
              </w:rPr>
            </w:pPr>
            <w:r>
              <w:rPr>
                <w:rFonts w:ascii="Arial" w:cs="Arial" w:eastAsia="Arial" w:hAnsi="Arial"/>
                <w:sz w:val="14"/>
                <w:szCs w:val="14"/>
                <w:b w:val="1"/>
                <w:bCs w:val="1"/>
                <w:color w:val="auto"/>
              </w:rPr>
              <w:t>Nine Months Ended September 30, 2018</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0"/>
              <w:spacing w:after="0" w:line="147"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3"/>
              </w:rPr>
              <w:t>Unrealized Gains /</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Realized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Net Transfers into</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44"/>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w w:val="95"/>
              </w:rPr>
              <w:t>Purchases</w:t>
            </w:r>
          </w:p>
        </w:tc>
        <w:tc>
          <w:tcPr>
            <w:tcW w:w="100" w:type="dxa"/>
            <w:vAlign w:val="bottom"/>
            <w:vMerge w:val="restart"/>
          </w:tcPr>
          <w:p>
            <w:pPr>
              <w:spacing w:after="0"/>
              <w:rPr>
                <w:sz w:val="12"/>
                <w:szCs w:val="12"/>
                <w:color w:val="auto"/>
              </w:rPr>
            </w:pPr>
          </w:p>
        </w:tc>
        <w:tc>
          <w:tcPr>
            <w:tcW w:w="13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Unrealized Gains /</w:t>
            </w:r>
          </w:p>
        </w:tc>
        <w:tc>
          <w:tcPr>
            <w:tcW w:w="1300" w:type="dxa"/>
            <w:vAlign w:val="bottom"/>
            <w:gridSpan w:val="3"/>
            <w:vMerge w:val="continue"/>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8"/>
              </w:rPr>
              <w:t>held at September</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(out of) Level 3</w:t>
            </w:r>
          </w:p>
        </w:tc>
        <w:tc>
          <w:tcPr>
            <w:tcW w:w="1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8"/>
              </w:rPr>
              <w:t>30, 2018</w:t>
            </w:r>
          </w:p>
        </w:tc>
        <w:tc>
          <w:tcPr>
            <w:tcW w:w="0" w:type="dxa"/>
            <w:vAlign w:val="bottom"/>
          </w:tcPr>
          <w:p>
            <w:pPr>
              <w:spacing w:after="0"/>
              <w:rPr>
                <w:sz w:val="1"/>
                <w:szCs w:val="1"/>
                <w:color w:val="auto"/>
              </w:rPr>
            </w:pPr>
          </w:p>
        </w:tc>
      </w:tr>
      <w:tr>
        <w:trPr>
          <w:trHeight w:val="256"/>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investment</w:t>
            </w:r>
          </w:p>
        </w:tc>
        <w:tc>
          <w:tcPr>
            <w:tcW w:w="4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40,588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770"/>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40,243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35"/>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40,588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40,243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410"/>
              <w:spacing w:after="0"/>
              <w:rPr>
                <w:sz w:val="20"/>
                <w:szCs w:val="20"/>
                <w:color w:val="auto"/>
              </w:rPr>
            </w:pPr>
            <w:r>
              <w:rPr>
                <w:rFonts w:ascii="Arial" w:cs="Arial" w:eastAsia="Arial" w:hAnsi="Arial"/>
                <w:sz w:val="14"/>
                <w:szCs w:val="14"/>
                <w:b w:val="1"/>
                <w:bCs w:val="1"/>
                <w:color w:val="auto"/>
              </w:rPr>
              <w:t>Nine Months Ended September 30, 2017</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0"/>
              <w:spacing w:after="0" w:line="147"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Unrealized Gains /</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Realized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Net Transfers into</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44"/>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w w:val="95"/>
              </w:rPr>
              <w:t>Purchases</w:t>
            </w:r>
          </w:p>
        </w:tc>
        <w:tc>
          <w:tcPr>
            <w:tcW w:w="100" w:type="dxa"/>
            <w:vAlign w:val="bottom"/>
            <w:vMerge w:val="restart"/>
          </w:tcPr>
          <w:p>
            <w:pPr>
              <w:spacing w:after="0"/>
              <w:rPr>
                <w:sz w:val="12"/>
                <w:szCs w:val="12"/>
                <w:color w:val="auto"/>
              </w:rPr>
            </w:pPr>
          </w:p>
        </w:tc>
        <w:tc>
          <w:tcPr>
            <w:tcW w:w="13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Unrealized Gains /</w:t>
            </w:r>
          </w:p>
        </w:tc>
        <w:tc>
          <w:tcPr>
            <w:tcW w:w="1300" w:type="dxa"/>
            <w:vAlign w:val="bottom"/>
            <w:gridSpan w:val="3"/>
            <w:vMerge w:val="continue"/>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8"/>
              </w:rPr>
              <w:t>held at September</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(out of) Level 3</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8"/>
              </w:rPr>
              <w:t>30, 2017</w:t>
            </w:r>
          </w:p>
        </w:tc>
        <w:tc>
          <w:tcPr>
            <w:tcW w:w="0" w:type="dxa"/>
            <w:vAlign w:val="bottom"/>
          </w:tcPr>
          <w:p>
            <w:pPr>
              <w:spacing w:after="0"/>
              <w:rPr>
                <w:sz w:val="1"/>
                <w:szCs w:val="1"/>
                <w:color w:val="auto"/>
              </w:rPr>
            </w:pPr>
          </w:p>
        </w:tc>
      </w:tr>
      <w:tr>
        <w:trPr>
          <w:trHeight w:val="261"/>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4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37,263</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3,000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40,263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Offsetting of Financial Assets and Liabilities</w:t>
      </w:r>
    </w:p>
    <w:p>
      <w:pPr>
        <w:spacing w:after="0" w:line="224" w:lineRule="exact"/>
        <w:rPr>
          <w:sz w:val="20"/>
          <w:szCs w:val="20"/>
          <w:color w:val="auto"/>
        </w:rPr>
      </w:pPr>
    </w:p>
    <w:p>
      <w:pPr>
        <w:ind w:right="100" w:firstLine="315"/>
        <w:spacing w:after="0" w:line="286" w:lineRule="auto"/>
        <w:rPr>
          <w:sz w:val="20"/>
          <w:szCs w:val="20"/>
          <w:color w:val="auto"/>
        </w:rPr>
      </w:pPr>
      <w:r>
        <w:rPr>
          <w:rFonts w:ascii="Arial" w:cs="Arial" w:eastAsia="Arial" w:hAnsi="Arial"/>
          <w:sz w:val="16"/>
          <w:szCs w:val="16"/>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164" w:lineRule="exact"/>
        <w:rPr>
          <w:sz w:val="20"/>
          <w:szCs w:val="20"/>
          <w:color w:val="auto"/>
        </w:rPr>
      </w:pPr>
    </w:p>
    <w:p>
      <w:pPr>
        <w:ind w:right="300" w:firstLine="315"/>
        <w:spacing w:after="0" w:line="290" w:lineRule="auto"/>
        <w:rPr>
          <w:sz w:val="20"/>
          <w:szCs w:val="20"/>
          <w:color w:val="auto"/>
        </w:rPr>
      </w:pPr>
      <w:r>
        <w:rPr>
          <w:rFonts w:ascii="Arial" w:cs="Arial" w:eastAsia="Arial" w:hAnsi="Arial"/>
          <w:sz w:val="17"/>
          <w:szCs w:val="17"/>
          <w:color w:val="auto"/>
        </w:rPr>
        <w:t>The following tables set forth the gross and net presentation of certain financial assets and financial liabilities as of September 30, 2018 and December 31, 2017: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88"/>
              </w:rPr>
              <w:t>September 30, 2018</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6"/>
              </w:rPr>
              <w:t>Net Amounts of Assets</w:t>
            </w:r>
          </w:p>
        </w:tc>
        <w:tc>
          <w:tcPr>
            <w:tcW w:w="278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Gross Amounts Not Offset In the Condensed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620" w:type="dxa"/>
            <w:vAlign w:val="bottom"/>
            <w:gridSpan w:val="5"/>
            <w:vMerge w:val="restart"/>
          </w:tcPr>
          <w:p>
            <w:pPr>
              <w:ind w:left="100"/>
              <w:spacing w:after="0" w:line="145" w:lineRule="exact"/>
              <w:rPr>
                <w:sz w:val="20"/>
                <w:szCs w:val="20"/>
                <w:color w:val="auto"/>
              </w:rPr>
            </w:pPr>
            <w:r>
              <w:rPr>
                <w:rFonts w:ascii="Arial" w:cs="Arial" w:eastAsia="Arial" w:hAnsi="Arial"/>
                <w:sz w:val="14"/>
                <w:szCs w:val="14"/>
                <w:b w:val="1"/>
                <w:bCs w:val="1"/>
                <w:color w:val="auto"/>
              </w:rPr>
              <w:t>Consolidated Statement of Financial</w:t>
            </w: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3"/>
            <w:vMerge w:val="restart"/>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Gross Amounts Offset in</w:t>
            </w:r>
          </w:p>
        </w:tc>
        <w:tc>
          <w:tcPr>
            <w:tcW w:w="120" w:type="dxa"/>
            <w:vAlign w:val="bottom"/>
          </w:tcPr>
          <w:p>
            <w:pPr>
              <w:spacing w:after="0"/>
              <w:rPr>
                <w:sz w:val="6"/>
                <w:szCs w:val="6"/>
                <w:color w:val="auto"/>
              </w:rPr>
            </w:pPr>
          </w:p>
        </w:tc>
        <w:tc>
          <w:tcPr>
            <w:tcW w:w="1640" w:type="dxa"/>
            <w:vAlign w:val="bottom"/>
            <w:gridSpan w:val="3"/>
            <w:vMerge w:val="restart"/>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Presented in the</w:t>
            </w:r>
          </w:p>
        </w:tc>
        <w:tc>
          <w:tcPr>
            <w:tcW w:w="160" w:type="dxa"/>
            <w:vAlign w:val="bottom"/>
          </w:tcPr>
          <w:p>
            <w:pPr>
              <w:spacing w:after="0"/>
              <w:rPr>
                <w:sz w:val="6"/>
                <w:szCs w:val="6"/>
                <w:color w:val="auto"/>
              </w:rPr>
            </w:pPr>
          </w:p>
        </w:tc>
        <w:tc>
          <w:tcPr>
            <w:tcW w:w="262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520" w:type="dxa"/>
            <w:vAlign w:val="bottom"/>
            <w:gridSpan w:val="4"/>
            <w:vMerge w:val="restart"/>
          </w:tcPr>
          <w:p>
            <w:pPr>
              <w:jc w:val="right"/>
              <w:ind w:right="970"/>
              <w:spacing w:after="0"/>
              <w:rPr>
                <w:sz w:val="20"/>
                <w:szCs w:val="20"/>
                <w:color w:val="auto"/>
              </w:rPr>
            </w:pPr>
            <w:r>
              <w:rPr>
                <w:rFonts w:ascii="Arial" w:cs="Arial" w:eastAsia="Arial" w:hAnsi="Arial"/>
                <w:sz w:val="14"/>
                <w:szCs w:val="14"/>
                <w:b w:val="1"/>
                <w:bCs w:val="1"/>
                <w:color w:val="auto"/>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3"/>
              </w:rPr>
              <w:t>the Condensed</w:t>
            </w:r>
          </w:p>
        </w:tc>
        <w:tc>
          <w:tcPr>
            <w:tcW w:w="1740" w:type="dxa"/>
            <w:vAlign w:val="bottom"/>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94"/>
              </w:rPr>
              <w:t>Condensed Consolidated</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Consolidated Statement</w:t>
            </w:r>
          </w:p>
        </w:tc>
        <w:tc>
          <w:tcPr>
            <w:tcW w:w="120" w:type="dxa"/>
            <w:vAlign w:val="bottom"/>
          </w:tcPr>
          <w:p>
            <w:pPr>
              <w:spacing w:after="0"/>
              <w:rPr>
                <w:sz w:val="12"/>
                <w:szCs w:val="12"/>
                <w:color w:val="auto"/>
              </w:rPr>
            </w:pPr>
          </w:p>
        </w:tc>
        <w:tc>
          <w:tcPr>
            <w:tcW w:w="164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Statement of Financial</w:t>
            </w:r>
          </w:p>
        </w:tc>
        <w:tc>
          <w:tcPr>
            <w:tcW w:w="160" w:type="dxa"/>
            <w:vAlign w:val="bottom"/>
          </w:tcPr>
          <w:p>
            <w:pPr>
              <w:spacing w:after="0"/>
              <w:rPr>
                <w:sz w:val="12"/>
                <w:szCs w:val="12"/>
                <w:color w:val="auto"/>
              </w:rPr>
            </w:pPr>
          </w:p>
        </w:tc>
        <w:tc>
          <w:tcPr>
            <w:tcW w:w="128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85"/>
              </w:rPr>
              <w:t>Recognized Assets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2"/>
              </w:rPr>
              <w:t>of Financial Condition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1"/>
              </w:rPr>
              <w:t>Condition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Received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1,305,789</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1,305,789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(1,268,772)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(6,195)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30,822</w:t>
            </w:r>
          </w:p>
        </w:tc>
        <w:tc>
          <w:tcPr>
            <w:tcW w:w="0" w:type="dxa"/>
            <w:vAlign w:val="bottom"/>
          </w:tcPr>
          <w:p>
            <w:pPr>
              <w:spacing w:after="0"/>
              <w:rPr>
                <w:sz w:val="1"/>
                <w:szCs w:val="1"/>
                <w:color w:val="auto"/>
              </w:rPr>
            </w:pPr>
          </w:p>
        </w:tc>
      </w:tr>
      <w:tr>
        <w:trPr>
          <w:trHeight w:val="157"/>
        </w:trPr>
        <w:tc>
          <w:tcPr>
            <w:tcW w:w="264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w w:val="93"/>
              </w:rPr>
              <w:t>Securities purchased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resell</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10,014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10,014</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Trading assets,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1,929,452</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(1,901,746)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27,706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27,706</w:t>
            </w:r>
          </w:p>
        </w:tc>
        <w:tc>
          <w:tcPr>
            <w:tcW w:w="0" w:type="dxa"/>
            <w:vAlign w:val="bottom"/>
          </w:tcPr>
          <w:p>
            <w:pPr>
              <w:spacing w:after="0"/>
              <w:rPr>
                <w:sz w:val="1"/>
                <w:szCs w:val="1"/>
                <w:color w:val="auto"/>
              </w:rPr>
            </w:pPr>
          </w:p>
        </w:tc>
      </w:tr>
      <w:tr>
        <w:trPr>
          <w:trHeight w:val="257"/>
        </w:trPr>
        <w:tc>
          <w:tcPr>
            <w:tcW w:w="2640" w:type="dxa"/>
            <w:vAlign w:val="bottom"/>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3,246,054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(1,901,746)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1,344,308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58,528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tcPr>
          <w:p>
            <w:pPr>
              <w:ind w:left="40"/>
              <w:spacing w:after="0"/>
              <w:rPr>
                <w:sz w:val="20"/>
                <w:szCs w:val="20"/>
                <w:color w:val="auto"/>
              </w:rPr>
            </w:pPr>
            <w:r>
              <w:rPr>
                <w:rFonts w:ascii="Arial" w:cs="Arial" w:eastAsia="Arial" w:hAnsi="Arial"/>
                <w:sz w:val="14"/>
                <w:szCs w:val="14"/>
                <w:b w:val="1"/>
                <w:bCs w:val="1"/>
                <w:color w:val="auto"/>
                <w:w w:val="91"/>
              </w:rPr>
              <w:t>Gross Amounts Not Offset In the Condensed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620" w:type="dxa"/>
            <w:vAlign w:val="bottom"/>
            <w:gridSpan w:val="5"/>
            <w:vMerge w:val="restart"/>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Consolidated Statement of Financial</w:t>
            </w: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3"/>
            <w:vMerge w:val="restart"/>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Gross Amounts Offset in</w:t>
            </w:r>
          </w:p>
        </w:tc>
        <w:tc>
          <w:tcPr>
            <w:tcW w:w="100" w:type="dxa"/>
            <w:vAlign w:val="bottom"/>
          </w:tcPr>
          <w:p>
            <w:pPr>
              <w:spacing w:after="0"/>
              <w:rPr>
                <w:sz w:val="6"/>
                <w:szCs w:val="6"/>
                <w:color w:val="auto"/>
              </w:rPr>
            </w:pPr>
          </w:p>
        </w:tc>
        <w:tc>
          <w:tcPr>
            <w:tcW w:w="1640" w:type="dxa"/>
            <w:vAlign w:val="bottom"/>
            <w:gridSpan w:val="2"/>
            <w:vMerge w:val="restart"/>
          </w:tcPr>
          <w:p>
            <w:pPr>
              <w:jc w:val="center"/>
              <w:ind w:right="200"/>
              <w:spacing w:after="0" w:line="145" w:lineRule="exact"/>
              <w:rPr>
                <w:sz w:val="20"/>
                <w:szCs w:val="20"/>
                <w:color w:val="auto"/>
              </w:rPr>
            </w:pPr>
            <w:r>
              <w:rPr>
                <w:rFonts w:ascii="Arial" w:cs="Arial" w:eastAsia="Arial" w:hAnsi="Arial"/>
                <w:sz w:val="14"/>
                <w:szCs w:val="14"/>
                <w:b w:val="1"/>
                <w:bCs w:val="1"/>
                <w:color w:val="auto"/>
                <w:w w:val="88"/>
              </w:rPr>
              <w:t>Presented in the</w:t>
            </w:r>
          </w:p>
        </w:tc>
        <w:tc>
          <w:tcPr>
            <w:tcW w:w="180" w:type="dxa"/>
            <w:vAlign w:val="bottom"/>
          </w:tcPr>
          <w:p>
            <w:pPr>
              <w:spacing w:after="0"/>
              <w:rPr>
                <w:sz w:val="6"/>
                <w:szCs w:val="6"/>
                <w:color w:val="auto"/>
              </w:rPr>
            </w:pPr>
          </w:p>
        </w:tc>
        <w:tc>
          <w:tcPr>
            <w:tcW w:w="262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center"/>
              <w:ind w:right="9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3"/>
              </w:rPr>
              <w:t>the Condensed</w:t>
            </w:r>
          </w:p>
        </w:tc>
        <w:tc>
          <w:tcPr>
            <w:tcW w:w="1740" w:type="dxa"/>
            <w:vAlign w:val="bottom"/>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94"/>
              </w:rPr>
              <w:t>Condensed Consolidated</w:t>
            </w: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Consolidated Statement</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Statement of Financial</w:t>
            </w:r>
          </w:p>
        </w:tc>
        <w:tc>
          <w:tcPr>
            <w:tcW w:w="180" w:type="dxa"/>
            <w:vAlign w:val="bottom"/>
          </w:tcPr>
          <w:p>
            <w:pPr>
              <w:spacing w:after="0"/>
              <w:rPr>
                <w:sz w:val="12"/>
                <w:szCs w:val="12"/>
                <w:color w:val="auto"/>
              </w:rPr>
            </w:pPr>
          </w:p>
        </w:tc>
        <w:tc>
          <w:tcPr>
            <w:tcW w:w="128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Recognized Liabilities</w:t>
            </w:r>
          </w:p>
        </w:tc>
        <w:tc>
          <w:tcPr>
            <w:tcW w:w="8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 Financial Condition</w:t>
            </w:r>
          </w:p>
        </w:tc>
        <w:tc>
          <w:tcPr>
            <w:tcW w:w="10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800,145</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800,145</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(786,922)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(6,195)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7,028</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301,238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301,238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1,942,686</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(1,942,686)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3,044,762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(1,942,686)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1,102,076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(1,088,835)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7,025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88"/>
              </w:rPr>
              <w:t>December 31, 2017</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24"/>
                <w:szCs w:val="24"/>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Gross Amounts Not Offset In the Statement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96"/>
              </w:rPr>
              <w:t>Offset in the Consolidated</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180" w:type="dxa"/>
            <w:vAlign w:val="bottom"/>
          </w:tcPr>
          <w:p>
            <w:pPr>
              <w:spacing w:after="0"/>
              <w:rPr>
                <w:sz w:val="12"/>
                <w:szCs w:val="12"/>
                <w:color w:val="auto"/>
              </w:rPr>
            </w:pPr>
          </w:p>
        </w:tc>
        <w:tc>
          <w:tcPr>
            <w:tcW w:w="128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Assets</w:t>
            </w:r>
          </w:p>
        </w:tc>
        <w:tc>
          <w:tcPr>
            <w:tcW w:w="8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18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Received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1,471,172</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1,471,172</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(1,418,672)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(13,318)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39,182</w:t>
            </w: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Trading assets, at fair value:</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2,045,487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(2,027,697)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17,790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17,790</w:t>
            </w:r>
          </w:p>
        </w:tc>
        <w:tc>
          <w:tcPr>
            <w:tcW w:w="0" w:type="dxa"/>
            <w:vAlign w:val="bottom"/>
          </w:tcPr>
          <w:p>
            <w:pPr>
              <w:spacing w:after="0"/>
              <w:rPr>
                <w:sz w:val="1"/>
                <w:szCs w:val="1"/>
                <w:color w:val="auto"/>
              </w:rPr>
            </w:pPr>
          </w:p>
        </w:tc>
      </w:tr>
      <w:tr>
        <w:trPr>
          <w:trHeight w:val="262"/>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35"/>
        </w:trPr>
        <w:tc>
          <w:tcPr>
            <w:tcW w:w="2640" w:type="dxa"/>
            <w:vAlign w:val="bottom"/>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3,523,704</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(2,027,697)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1,496,007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(1,418,717)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63,972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24"/>
                <w:szCs w:val="24"/>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Gross Amounts Not Offset In the Statement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96"/>
              </w:rPr>
              <w:t>Offset in the Consolidated</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180" w:type="dxa"/>
            <w:vAlign w:val="bottom"/>
          </w:tcPr>
          <w:p>
            <w:pPr>
              <w:spacing w:after="0"/>
              <w:rPr>
                <w:sz w:val="12"/>
                <w:szCs w:val="12"/>
                <w:color w:val="auto"/>
              </w:rPr>
            </w:pPr>
          </w:p>
        </w:tc>
        <w:tc>
          <w:tcPr>
            <w:tcW w:w="128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Recognized Liabilities</w:t>
            </w:r>
          </w:p>
        </w:tc>
        <w:tc>
          <w:tcPr>
            <w:tcW w:w="8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18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(737,731)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(10,776)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6,180</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2,032,017</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(2,024,991)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7,026</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5,839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5,839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3,183,185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(2,024,991)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1,158,194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(1,128,429)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18,989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60" w:firstLine="315"/>
        <w:spacing w:after="0" w:line="290" w:lineRule="auto"/>
        <w:rPr>
          <w:sz w:val="20"/>
          <w:szCs w:val="20"/>
          <w:color w:val="auto"/>
        </w:rPr>
      </w:pPr>
      <w:r>
        <w:rPr>
          <w:rFonts w:ascii="Arial" w:cs="Arial" w:eastAsia="Arial" w:hAnsi="Arial"/>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September 30, 2018</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7"/>
          </w:tcPr>
          <w:p>
            <w:pPr>
              <w:jc w:val="center"/>
              <w:ind w:left="110"/>
              <w:spacing w:after="0"/>
              <w:rPr>
                <w:sz w:val="20"/>
                <w:szCs w:val="20"/>
                <w:color w:val="auto"/>
              </w:rPr>
            </w:pPr>
            <w:r>
              <w:rPr>
                <w:rFonts w:ascii="Arial" w:cs="Arial" w:eastAsia="Arial" w:hAnsi="Arial"/>
                <w:sz w:val="14"/>
                <w:szCs w:val="14"/>
                <w:b w:val="1"/>
                <w:bCs w:val="1"/>
                <w:color w:val="auto"/>
                <w:w w:val="93"/>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Overnight and</w:t>
            </w:r>
          </w:p>
        </w:tc>
        <w:tc>
          <w:tcPr>
            <w:tcW w:w="1500" w:type="dxa"/>
            <w:vAlign w:val="bottom"/>
            <w:gridSpan w:val="5"/>
            <w:vMerge w:val="restart"/>
          </w:tcPr>
          <w:p>
            <w:pPr>
              <w:jc w:val="right"/>
              <w:ind w:right="330"/>
              <w:spacing w:after="0"/>
              <w:rPr>
                <w:sz w:val="20"/>
                <w:szCs w:val="20"/>
                <w:color w:val="auto"/>
              </w:rPr>
            </w:pPr>
            <w:r>
              <w:rPr>
                <w:rFonts w:ascii="Arial" w:cs="Arial" w:eastAsia="Arial" w:hAnsi="Arial"/>
                <w:sz w:val="14"/>
                <w:szCs w:val="14"/>
                <w:b w:val="1"/>
                <w:bCs w:val="1"/>
                <w:color w:val="auto"/>
                <w:w w:val="89"/>
              </w:rPr>
              <w:t>Less than 30 days</w:t>
            </w:r>
          </w:p>
        </w:tc>
        <w:tc>
          <w:tcPr>
            <w:tcW w:w="90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87"/>
              </w:rPr>
              <w:t>30 - 60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Continuous</w:t>
            </w:r>
          </w:p>
        </w:tc>
        <w:tc>
          <w:tcPr>
            <w:tcW w:w="1500" w:type="dxa"/>
            <w:vAlign w:val="bottom"/>
            <w:gridSpan w:val="5"/>
            <w:vMerge w:val="continue"/>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days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265,000</w:t>
            </w: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U.S. and Non-U.S. government obligations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36,238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36,238</w:t>
            </w:r>
          </w:p>
        </w:tc>
        <w:tc>
          <w:tcPr>
            <w:tcW w:w="0" w:type="dxa"/>
            <w:vAlign w:val="bottom"/>
          </w:tcPr>
          <w:p>
            <w:pPr>
              <w:spacing w:after="0"/>
              <w:rPr>
                <w:sz w:val="1"/>
                <w:szCs w:val="1"/>
                <w:color w:val="auto"/>
              </w:rPr>
            </w:pPr>
          </w:p>
        </w:tc>
      </w:tr>
      <w:tr>
        <w:trPr>
          <w:trHeight w:val="248"/>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36,238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301,238</w:t>
            </w:r>
          </w:p>
        </w:tc>
        <w:tc>
          <w:tcPr>
            <w:tcW w:w="0" w:type="dxa"/>
            <w:vAlign w:val="bottom"/>
          </w:tcPr>
          <w:p>
            <w:pPr>
              <w:spacing w:after="0"/>
              <w:rPr>
                <w:sz w:val="1"/>
                <w:szCs w:val="1"/>
                <w:color w:val="auto"/>
              </w:rPr>
            </w:pPr>
          </w:p>
        </w:tc>
      </w:tr>
      <w:tr>
        <w:trPr>
          <w:trHeight w:val="262"/>
        </w:trPr>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lending transactions: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800,145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800,145</w:t>
            </w:r>
          </w:p>
        </w:tc>
        <w:tc>
          <w:tcPr>
            <w:tcW w:w="0" w:type="dxa"/>
            <w:vAlign w:val="bottom"/>
          </w:tcPr>
          <w:p>
            <w:pPr>
              <w:spacing w:after="0"/>
              <w:rPr>
                <w:sz w:val="1"/>
                <w:szCs w:val="1"/>
                <w:color w:val="auto"/>
              </w:rPr>
            </w:pPr>
          </w:p>
        </w:tc>
      </w:tr>
      <w:tr>
        <w:trPr>
          <w:trHeight w:val="23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800,145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800,145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December 31, 2017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7"/>
          </w:tcPr>
          <w:p>
            <w:pPr>
              <w:jc w:val="center"/>
              <w:ind w:left="110"/>
              <w:spacing w:after="0"/>
              <w:rPr>
                <w:sz w:val="20"/>
                <w:szCs w:val="20"/>
                <w:color w:val="auto"/>
              </w:rPr>
            </w:pPr>
            <w:r>
              <w:rPr>
                <w:rFonts w:ascii="Arial" w:cs="Arial" w:eastAsia="Arial" w:hAnsi="Arial"/>
                <w:sz w:val="14"/>
                <w:szCs w:val="14"/>
                <w:b w:val="1"/>
                <w:bCs w:val="1"/>
                <w:color w:val="auto"/>
                <w:w w:val="93"/>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Overnight and</w:t>
            </w:r>
          </w:p>
        </w:tc>
        <w:tc>
          <w:tcPr>
            <w:tcW w:w="1500" w:type="dxa"/>
            <w:vAlign w:val="bottom"/>
            <w:gridSpan w:val="5"/>
            <w:vMerge w:val="restart"/>
          </w:tcPr>
          <w:p>
            <w:pPr>
              <w:jc w:val="right"/>
              <w:ind w:right="330"/>
              <w:spacing w:after="0"/>
              <w:rPr>
                <w:sz w:val="20"/>
                <w:szCs w:val="20"/>
                <w:color w:val="auto"/>
              </w:rPr>
            </w:pPr>
            <w:r>
              <w:rPr>
                <w:rFonts w:ascii="Arial" w:cs="Arial" w:eastAsia="Arial" w:hAnsi="Arial"/>
                <w:sz w:val="14"/>
                <w:szCs w:val="14"/>
                <w:b w:val="1"/>
                <w:bCs w:val="1"/>
                <w:color w:val="auto"/>
                <w:w w:val="89"/>
              </w:rPr>
              <w:t>Less than 30 days</w:t>
            </w:r>
          </w:p>
        </w:tc>
        <w:tc>
          <w:tcPr>
            <w:tcW w:w="90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87"/>
              </w:rPr>
              <w:t>30 - 60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Continuous</w:t>
            </w:r>
          </w:p>
        </w:tc>
        <w:tc>
          <w:tcPr>
            <w:tcW w:w="1500" w:type="dxa"/>
            <w:vAlign w:val="bottom"/>
            <w:gridSpan w:val="5"/>
            <w:vMerge w:val="continue"/>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days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U.S. and Non-U.S. government obligations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642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3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390,642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lending transactions: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754,687</w:t>
            </w:r>
          </w:p>
        </w:tc>
        <w:tc>
          <w:tcPr>
            <w:tcW w:w="0" w:type="dxa"/>
            <w:vAlign w:val="bottom"/>
          </w:tcPr>
          <w:p>
            <w:pPr>
              <w:spacing w:after="0"/>
              <w:rPr>
                <w:sz w:val="1"/>
                <w:szCs w:val="1"/>
                <w:color w:val="auto"/>
              </w:rPr>
            </w:pPr>
          </w:p>
        </w:tc>
      </w:tr>
      <w:tr>
        <w:trPr>
          <w:trHeight w:val="23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754,687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 Instruments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of the Company’s derivative instruments on a gross basis consisted of the following at September 30, 2018 and 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Assets</w:t>
            </w:r>
          </w:p>
        </w:tc>
        <w:tc>
          <w:tcPr>
            <w:tcW w:w="120" w:type="dxa"/>
            <w:vAlign w:val="bottom"/>
          </w:tcPr>
          <w:p>
            <w:pPr>
              <w:spacing w:after="0"/>
              <w:rPr>
                <w:sz w:val="22"/>
                <w:szCs w:val="22"/>
                <w:color w:val="auto"/>
              </w:rPr>
            </w:pPr>
          </w:p>
        </w:tc>
        <w:tc>
          <w:tcPr>
            <w:tcW w:w="36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Financial Statements Location</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46"/>
        </w:trPr>
        <w:tc>
          <w:tcPr>
            <w:tcW w:w="2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Derivative instruments not</w:t>
            </w: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designated as hedging instruments: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 futures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16,357</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3,398,419</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1,985,770</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Commodity futures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225,449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12,830,011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21,231,001</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futures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21,986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2,672,739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26,548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3,994,412</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Fixed income futures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34,186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44,395</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Financial instruments owned</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799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139,046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7,045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682,369</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Currency forwards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Financial instruments owned</w:t>
            </w:r>
          </w:p>
        </w:tc>
        <w:tc>
          <w:tcPr>
            <w:tcW w:w="2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1,929,452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138,790,533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2,045,487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124,000,221</w:t>
            </w:r>
          </w:p>
        </w:tc>
        <w:tc>
          <w:tcPr>
            <w:tcW w:w="0" w:type="dxa"/>
            <w:vAlign w:val="bottom"/>
          </w:tcPr>
          <w:p>
            <w:pPr>
              <w:spacing w:after="0"/>
              <w:rPr>
                <w:sz w:val="1"/>
                <w:szCs w:val="1"/>
                <w:color w:val="auto"/>
              </w:rPr>
            </w:pPr>
          </w:p>
        </w:tc>
      </w:tr>
      <w:tr>
        <w:trPr>
          <w:trHeight w:val="66"/>
        </w:trPr>
        <w:tc>
          <w:tcPr>
            <w:tcW w:w="2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Liabilities</w:t>
            </w:r>
          </w:p>
        </w:tc>
        <w:tc>
          <w:tcPr>
            <w:tcW w:w="120" w:type="dxa"/>
            <w:vAlign w:val="bottom"/>
          </w:tcPr>
          <w:p>
            <w:pPr>
              <w:spacing w:after="0"/>
              <w:rPr>
                <w:sz w:val="16"/>
                <w:szCs w:val="16"/>
                <w:color w:val="auto"/>
              </w:rPr>
            </w:pPr>
          </w:p>
        </w:tc>
        <w:tc>
          <w:tcPr>
            <w:tcW w:w="31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Financial Statements Location</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46"/>
        </w:trPr>
        <w:tc>
          <w:tcPr>
            <w:tcW w:w="2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Derivative instruments not</w:t>
            </w:r>
          </w:p>
        </w:tc>
        <w:tc>
          <w:tcPr>
            <w:tcW w:w="3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designated as hedging instruments:</w:t>
            </w:r>
          </w:p>
        </w:tc>
        <w:tc>
          <w:tcPr>
            <w:tcW w:w="3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 futures</w:t>
            </w:r>
          </w:p>
        </w:tc>
        <w:tc>
          <w:tcPr>
            <w:tcW w:w="3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3"/>
              </w:rPr>
              <w:t>Payables to broker dealers and clearing organizations</w:t>
            </w:r>
          </w:p>
        </w:tc>
        <w:tc>
          <w:tcPr>
            <w:tcW w:w="8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(1,687)</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127,500</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142,658</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16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Commodity futures</w:t>
            </w:r>
          </w:p>
        </w:tc>
        <w:tc>
          <w:tcPr>
            <w:tcW w:w="3160" w:type="dxa"/>
            <w:vAlign w:val="bottom"/>
            <w:vMerge w:val="restart"/>
          </w:tcPr>
          <w:p>
            <w:pPr>
              <w:ind w:left="20"/>
              <w:spacing w:after="0"/>
              <w:rPr>
                <w:sz w:val="20"/>
                <w:szCs w:val="20"/>
                <w:color w:val="auto"/>
              </w:rPr>
            </w:pPr>
            <w:r>
              <w:rPr>
                <w:rFonts w:ascii="Arial" w:cs="Arial" w:eastAsia="Arial" w:hAnsi="Arial"/>
                <w:sz w:val="14"/>
                <w:szCs w:val="14"/>
                <w:color w:val="auto"/>
                <w:w w:val="93"/>
              </w:rPr>
              <w:t>Payables to broker dealers and clearing organizations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(276,827)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6,058,850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130,042</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futures</w:t>
            </w:r>
          </w:p>
        </w:tc>
        <w:tc>
          <w:tcPr>
            <w:tcW w:w="3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3"/>
              </w:rPr>
              <w:t>Payables to broker dealers and clearing organizations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2,566,892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7,756,958</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16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0" w:type="dxa"/>
            <w:vAlign w:val="bottom"/>
          </w:tcPr>
          <w:p>
            <w:pPr>
              <w:jc w:val="right"/>
              <w:ind w:right="81"/>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00" w:type="dxa"/>
            <w:vAlign w:val="bottom"/>
          </w:tcPr>
          <w:p>
            <w:pPr>
              <w:ind w:left="40"/>
              <w:spacing w:after="0"/>
              <w:rPr>
                <w:sz w:val="20"/>
                <w:szCs w:val="20"/>
                <w:color w:val="auto"/>
              </w:rPr>
            </w:pPr>
            <w:r>
              <w:rPr>
                <w:rFonts w:ascii="Arial" w:cs="Arial" w:eastAsia="Arial" w:hAnsi="Arial"/>
                <w:sz w:val="14"/>
                <w:szCs w:val="14"/>
                <w:color w:val="auto"/>
              </w:rPr>
              <w:t>Fixed income futures</w:t>
            </w:r>
          </w:p>
        </w:tc>
        <w:tc>
          <w:tcPr>
            <w:tcW w:w="3800" w:type="dxa"/>
            <w:vAlign w:val="bottom"/>
            <w:vMerge w:val="restart"/>
          </w:tcPr>
          <w:p>
            <w:pPr>
              <w:ind w:left="120"/>
              <w:spacing w:after="0"/>
              <w:rPr>
                <w:sz w:val="20"/>
                <w:szCs w:val="20"/>
                <w:color w:val="auto"/>
              </w:rPr>
            </w:pPr>
            <w:r>
              <w:rPr>
                <w:rFonts w:ascii="Arial" w:cs="Arial" w:eastAsia="Arial" w:hAnsi="Arial"/>
                <w:sz w:val="14"/>
                <w:szCs w:val="14"/>
                <w:color w:val="auto"/>
              </w:rPr>
              <w:t>Payables to broker dealers and clearing organizations</w:t>
            </w:r>
          </w:p>
        </w:tc>
        <w:tc>
          <w:tcPr>
            <w:tcW w:w="1580" w:type="dxa"/>
            <w:vAlign w:val="bottom"/>
            <w:vMerge w:val="restart"/>
          </w:tcPr>
          <w:p>
            <w:pPr>
              <w:jc w:val="right"/>
              <w:ind w:right="270"/>
              <w:spacing w:after="0"/>
              <w:rPr>
                <w:sz w:val="20"/>
                <w:szCs w:val="20"/>
                <w:color w:val="auto"/>
              </w:rPr>
            </w:pPr>
            <w:r>
              <w:rPr>
                <w:rFonts w:ascii="Arial" w:cs="Arial" w:eastAsia="Arial" w:hAnsi="Arial"/>
                <w:sz w:val="14"/>
                <w:szCs w:val="14"/>
                <w:color w:val="auto"/>
              </w:rPr>
              <w:t>1,039</w:t>
            </w:r>
          </w:p>
        </w:tc>
        <w:tc>
          <w:tcPr>
            <w:tcW w:w="1440" w:type="dxa"/>
            <w:vAlign w:val="bottom"/>
            <w:vMerge w:val="restart"/>
          </w:tcPr>
          <w:p>
            <w:pPr>
              <w:jc w:val="right"/>
              <w:ind w:right="330"/>
              <w:spacing w:after="0"/>
              <w:rPr>
                <w:sz w:val="20"/>
                <w:szCs w:val="20"/>
                <w:color w:val="auto"/>
              </w:rPr>
            </w:pPr>
            <w:r>
              <w:rPr>
                <w:rFonts w:ascii="Arial" w:cs="Arial" w:eastAsia="Arial" w:hAnsi="Arial"/>
                <w:sz w:val="14"/>
                <w:szCs w:val="14"/>
                <w:color w:val="auto"/>
              </w:rPr>
              <w:t>54,534</w:t>
            </w:r>
          </w:p>
        </w:tc>
        <w:tc>
          <w:tcPr>
            <w:tcW w:w="1300" w:type="dxa"/>
            <w:vAlign w:val="bottom"/>
            <w:vMerge w:val="restart"/>
          </w:tcPr>
          <w:p>
            <w:pPr>
              <w:jc w:val="right"/>
              <w:ind w:right="230"/>
              <w:spacing w:after="0"/>
              <w:rPr>
                <w:sz w:val="20"/>
                <w:szCs w:val="20"/>
                <w:color w:val="auto"/>
              </w:rPr>
            </w:pPr>
            <w:r>
              <w:rPr>
                <w:rFonts w:ascii="Arial" w:cs="Arial" w:eastAsia="Arial" w:hAnsi="Arial"/>
                <w:sz w:val="14"/>
                <w:szCs w:val="14"/>
                <w:color w:val="auto"/>
              </w:rPr>
              <w:t>(1)</w:t>
            </w: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71"/>
        </w:trPr>
        <w:tc>
          <w:tcPr>
            <w:tcW w:w="2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8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Financial instruments sold, not yet purchased</w:t>
            </w:r>
          </w:p>
        </w:tc>
        <w:tc>
          <w:tcPr>
            <w:tcW w:w="1580" w:type="dxa"/>
            <w:vAlign w:val="bottom"/>
            <w:vMerge w:val="restart"/>
            <w:shd w:val="clear" w:color="auto" w:fill="CCEEFF"/>
          </w:tcPr>
          <w:p>
            <w:pPr>
              <w:jc w:val="right"/>
              <w:ind w:right="270"/>
              <w:spacing w:after="0"/>
              <w:rPr>
                <w:sz w:val="20"/>
                <w:szCs w:val="20"/>
                <w:color w:val="auto"/>
              </w:rPr>
            </w:pPr>
            <w:r>
              <w:rPr>
                <w:rFonts w:ascii="Arial" w:cs="Arial" w:eastAsia="Arial" w:hAnsi="Arial"/>
                <w:sz w:val="14"/>
                <w:szCs w:val="14"/>
                <w:color w:val="auto"/>
              </w:rPr>
              <w:t>693</w:t>
            </w:r>
          </w:p>
        </w:tc>
        <w:tc>
          <w:tcPr>
            <w:tcW w:w="1440" w:type="dxa"/>
            <w:vAlign w:val="bottom"/>
            <w:vMerge w:val="restart"/>
            <w:shd w:val="clear" w:color="auto" w:fill="CCEEFF"/>
          </w:tcPr>
          <w:p>
            <w:pPr>
              <w:jc w:val="right"/>
              <w:ind w:right="330"/>
              <w:spacing w:after="0"/>
              <w:rPr>
                <w:sz w:val="20"/>
                <w:szCs w:val="20"/>
                <w:color w:val="auto"/>
              </w:rPr>
            </w:pPr>
            <w:r>
              <w:rPr>
                <w:rFonts w:ascii="Arial" w:cs="Arial" w:eastAsia="Arial" w:hAnsi="Arial"/>
                <w:sz w:val="14"/>
                <w:szCs w:val="14"/>
                <w:color w:val="auto"/>
              </w:rPr>
              <w:t>140,079</w:t>
            </w:r>
          </w:p>
        </w:tc>
        <w:tc>
          <w:tcPr>
            <w:tcW w:w="1300" w:type="dxa"/>
            <w:vAlign w:val="bottom"/>
            <w:vMerge w:val="restart"/>
            <w:shd w:val="clear" w:color="auto" w:fill="CCEEFF"/>
          </w:tcPr>
          <w:p>
            <w:pPr>
              <w:jc w:val="right"/>
              <w:ind w:right="270"/>
              <w:spacing w:after="0"/>
              <w:rPr>
                <w:sz w:val="20"/>
                <w:szCs w:val="20"/>
                <w:color w:val="auto"/>
              </w:rPr>
            </w:pPr>
            <w:r>
              <w:rPr>
                <w:rFonts w:ascii="Arial" w:cs="Arial" w:eastAsia="Arial" w:hAnsi="Arial"/>
                <w:sz w:val="14"/>
                <w:szCs w:val="14"/>
                <w:color w:val="auto"/>
              </w:rPr>
              <w:t>5,839</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681,147</w:t>
            </w:r>
          </w:p>
        </w:tc>
        <w:tc>
          <w:tcPr>
            <w:tcW w:w="0" w:type="dxa"/>
            <w:vAlign w:val="bottom"/>
          </w:tcPr>
          <w:p>
            <w:pPr>
              <w:spacing w:after="0"/>
              <w:rPr>
                <w:sz w:val="1"/>
                <w:szCs w:val="1"/>
                <w:color w:val="auto"/>
              </w:rPr>
            </w:pPr>
          </w:p>
        </w:tc>
      </w:tr>
      <w:tr>
        <w:trPr>
          <w:trHeight w:val="76"/>
        </w:trPr>
        <w:tc>
          <w:tcPr>
            <w:tcW w:w="2200" w:type="dxa"/>
            <w:vAlign w:val="bottom"/>
            <w:shd w:val="clear" w:color="auto" w:fill="CCEEFF"/>
          </w:tcPr>
          <w:p>
            <w:pPr>
              <w:spacing w:after="0"/>
              <w:rPr>
                <w:sz w:val="6"/>
                <w:szCs w:val="6"/>
                <w:color w:val="auto"/>
              </w:rPr>
            </w:pPr>
          </w:p>
        </w:tc>
        <w:tc>
          <w:tcPr>
            <w:tcW w:w="380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200" w:type="dxa"/>
            <w:vAlign w:val="bottom"/>
          </w:tcPr>
          <w:p>
            <w:pPr>
              <w:ind w:left="40"/>
              <w:spacing w:after="0"/>
              <w:rPr>
                <w:sz w:val="20"/>
                <w:szCs w:val="20"/>
                <w:color w:val="auto"/>
              </w:rPr>
            </w:pPr>
            <w:r>
              <w:rPr>
                <w:rFonts w:ascii="Arial" w:cs="Arial" w:eastAsia="Arial" w:hAnsi="Arial"/>
                <w:sz w:val="14"/>
                <w:szCs w:val="14"/>
                <w:color w:val="auto"/>
              </w:rPr>
              <w:t>Currency forwards</w:t>
            </w:r>
          </w:p>
        </w:tc>
        <w:tc>
          <w:tcPr>
            <w:tcW w:w="3800" w:type="dxa"/>
            <w:vAlign w:val="bottom"/>
            <w:vMerge w:val="restart"/>
          </w:tcPr>
          <w:p>
            <w:pPr>
              <w:ind w:left="120"/>
              <w:spacing w:after="0"/>
              <w:rPr>
                <w:sz w:val="20"/>
                <w:szCs w:val="20"/>
                <w:color w:val="auto"/>
              </w:rPr>
            </w:pPr>
            <w:r>
              <w:rPr>
                <w:rFonts w:ascii="Arial" w:cs="Arial" w:eastAsia="Arial" w:hAnsi="Arial"/>
                <w:sz w:val="14"/>
                <w:szCs w:val="14"/>
                <w:color w:val="auto"/>
              </w:rPr>
              <w:t>Financial instruments sold, not yet purchased</w:t>
            </w:r>
          </w:p>
        </w:tc>
        <w:tc>
          <w:tcPr>
            <w:tcW w:w="1580" w:type="dxa"/>
            <w:vAlign w:val="bottom"/>
            <w:vMerge w:val="restart"/>
          </w:tcPr>
          <w:p>
            <w:pPr>
              <w:jc w:val="right"/>
              <w:ind w:right="270"/>
              <w:spacing w:after="0"/>
              <w:rPr>
                <w:sz w:val="20"/>
                <w:szCs w:val="20"/>
                <w:color w:val="auto"/>
              </w:rPr>
            </w:pPr>
            <w:r>
              <w:rPr>
                <w:rFonts w:ascii="Arial" w:cs="Arial" w:eastAsia="Arial" w:hAnsi="Arial"/>
                <w:sz w:val="14"/>
                <w:szCs w:val="14"/>
                <w:color w:val="auto"/>
              </w:rPr>
              <w:t>1,942,686</w:t>
            </w:r>
          </w:p>
        </w:tc>
        <w:tc>
          <w:tcPr>
            <w:tcW w:w="1440" w:type="dxa"/>
            <w:vAlign w:val="bottom"/>
            <w:vMerge w:val="restart"/>
          </w:tcPr>
          <w:p>
            <w:pPr>
              <w:jc w:val="right"/>
              <w:ind w:right="330"/>
              <w:spacing w:after="0"/>
              <w:rPr>
                <w:sz w:val="20"/>
                <w:szCs w:val="20"/>
                <w:color w:val="auto"/>
              </w:rPr>
            </w:pPr>
            <w:r>
              <w:rPr>
                <w:rFonts w:ascii="Arial" w:cs="Arial" w:eastAsia="Arial" w:hAnsi="Arial"/>
                <w:sz w:val="14"/>
                <w:szCs w:val="14"/>
                <w:color w:val="auto"/>
              </w:rPr>
              <w:t>138,797,150</w:t>
            </w:r>
          </w:p>
        </w:tc>
        <w:tc>
          <w:tcPr>
            <w:tcW w:w="1300" w:type="dxa"/>
            <w:vAlign w:val="bottom"/>
            <w:vMerge w:val="restart"/>
          </w:tcPr>
          <w:p>
            <w:pPr>
              <w:jc w:val="right"/>
              <w:ind w:right="270"/>
              <w:spacing w:after="0"/>
              <w:rPr>
                <w:sz w:val="20"/>
                <w:szCs w:val="20"/>
                <w:color w:val="auto"/>
              </w:rPr>
            </w:pPr>
            <w:r>
              <w:rPr>
                <w:rFonts w:ascii="Arial" w:cs="Arial" w:eastAsia="Arial" w:hAnsi="Arial"/>
                <w:sz w:val="14"/>
                <w:szCs w:val="14"/>
                <w:color w:val="auto"/>
              </w:rPr>
              <w:t>2,032,017</w:t>
            </w: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123,993,234</w:t>
            </w:r>
          </w:p>
        </w:tc>
        <w:tc>
          <w:tcPr>
            <w:tcW w:w="0" w:type="dxa"/>
            <w:vAlign w:val="bottom"/>
          </w:tcPr>
          <w:p>
            <w:pPr>
              <w:spacing w:after="0"/>
              <w:rPr>
                <w:sz w:val="1"/>
                <w:szCs w:val="1"/>
                <w:color w:val="auto"/>
              </w:rPr>
            </w:pPr>
          </w:p>
        </w:tc>
      </w:tr>
      <w:tr>
        <w:trPr>
          <w:trHeight w:val="71"/>
        </w:trPr>
        <w:tc>
          <w:tcPr>
            <w:tcW w:w="2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20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40"/>
              <w:spacing w:after="0" w:line="148" w:lineRule="exact"/>
              <w:rPr>
                <w:sz w:val="20"/>
                <w:szCs w:val="20"/>
                <w:color w:val="auto"/>
              </w:rPr>
            </w:pPr>
            <w:r>
              <w:rPr>
                <w:rFonts w:ascii="Arial" w:cs="Arial" w:eastAsia="Arial" w:hAnsi="Arial"/>
                <w:sz w:val="14"/>
                <w:szCs w:val="14"/>
                <w:b w:val="1"/>
                <w:bCs w:val="1"/>
                <w:color w:val="auto"/>
                <w:w w:val="93"/>
              </w:rPr>
              <w:t>Derivative instruments designated</w:t>
            </w:r>
          </w:p>
        </w:tc>
        <w:tc>
          <w:tcPr>
            <w:tcW w:w="3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3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forwards</w:t>
            </w:r>
          </w:p>
        </w:tc>
        <w:tc>
          <w:tcPr>
            <w:tcW w:w="38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Financial instruments sold, not yet purchased</w:t>
            </w:r>
          </w:p>
        </w:tc>
        <w:tc>
          <w:tcPr>
            <w:tcW w:w="1580" w:type="dxa"/>
            <w:vAlign w:val="bottom"/>
            <w:vMerge w:val="restart"/>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4"/>
                <w:szCs w:val="14"/>
                <w:color w:val="auto"/>
              </w:rPr>
              <w:t>(514)</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16,115</w:t>
            </w:r>
          </w:p>
        </w:tc>
        <w:tc>
          <w:tcPr>
            <w:tcW w:w="0" w:type="dxa"/>
            <w:vAlign w:val="bottom"/>
          </w:tcPr>
          <w:p>
            <w:pPr>
              <w:spacing w:after="0"/>
              <w:rPr>
                <w:sz w:val="1"/>
                <w:szCs w:val="1"/>
                <w:color w:val="auto"/>
              </w:rPr>
            </w:pPr>
          </w:p>
        </w:tc>
      </w:tr>
      <w:tr>
        <w:trPr>
          <w:trHeight w:val="76"/>
        </w:trPr>
        <w:tc>
          <w:tcPr>
            <w:tcW w:w="2200" w:type="dxa"/>
            <w:vAlign w:val="bottom"/>
            <w:shd w:val="clear" w:color="auto" w:fill="CCEEFF"/>
          </w:tcPr>
          <w:p>
            <w:pPr>
              <w:spacing w:after="0"/>
              <w:rPr>
                <w:sz w:val="6"/>
                <w:szCs w:val="6"/>
                <w:color w:val="auto"/>
              </w:rPr>
            </w:pPr>
          </w:p>
        </w:tc>
        <w:tc>
          <w:tcPr>
            <w:tcW w:w="380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net variation margin on long and short futures contracts.</w:t>
      </w:r>
    </w:p>
    <w:p>
      <w:pPr>
        <w:spacing w:after="0" w:line="158" w:lineRule="exact"/>
        <w:rPr>
          <w:sz w:val="20"/>
          <w:szCs w:val="20"/>
          <w:color w:val="auto"/>
        </w:rPr>
      </w:pPr>
    </w:p>
    <w:p>
      <w:pPr>
        <w:ind w:firstLine="315"/>
        <w:spacing w:after="0" w:line="298" w:lineRule="auto"/>
        <w:rPr>
          <w:sz w:val="20"/>
          <w:szCs w:val="20"/>
          <w:color w:val="auto"/>
        </w:rPr>
      </w:pPr>
      <w:r>
        <w:rPr>
          <w:rFonts w:ascii="Arial" w:cs="Arial" w:eastAsia="Arial" w:hAnsi="Arial"/>
          <w:sz w:val="16"/>
          <w:szCs w:val="16"/>
          <w:color w:val="auto"/>
        </w:rPr>
        <w:t>The following table summarizes the net gain from derivative instruments not designated as hedging instruments under ASC 815, which are recorded in trading income, net, and from those designated as hedging instrument under ASC 815, which are recorded in accumulated other comprehensive income in the accompanying condensed consolidated statements of comprehensive income for the three and nine months ended September 30, 2018 and 2017.</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66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56"/>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6"/>
        </w:trPr>
        <w:tc>
          <w:tcPr>
            <w:tcW w:w="38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Derivative instruments not designated as hedging</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0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Futures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103,950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35,097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(325,556)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249,274</w:t>
            </w:r>
          </w:p>
        </w:tc>
        <w:tc>
          <w:tcPr>
            <w:tcW w:w="0" w:type="dxa"/>
            <w:vAlign w:val="bottom"/>
          </w:tcPr>
          <w:p>
            <w:pPr>
              <w:spacing w:after="0"/>
              <w:rPr>
                <w:sz w:val="1"/>
                <w:szCs w:val="1"/>
                <w:color w:val="auto"/>
              </w:rPr>
            </w:pPr>
          </w:p>
        </w:tc>
      </w:tr>
      <w:tr>
        <w:trPr>
          <w:trHeight w:val="257"/>
        </w:trPr>
        <w:tc>
          <w:tcPr>
            <w:tcW w:w="3800" w:type="dxa"/>
            <w:vAlign w:val="bottom"/>
            <w:gridSpan w:val="2"/>
          </w:tcPr>
          <w:p>
            <w:pPr>
              <w:ind w:left="40"/>
              <w:spacing w:after="0"/>
              <w:rPr>
                <w:sz w:val="20"/>
                <w:szCs w:val="20"/>
                <w:color w:val="auto"/>
              </w:rPr>
            </w:pPr>
            <w:r>
              <w:rPr>
                <w:rFonts w:ascii="Arial" w:cs="Arial" w:eastAsia="Arial" w:hAnsi="Arial"/>
                <w:sz w:val="14"/>
                <w:szCs w:val="14"/>
                <w:color w:val="auto"/>
              </w:rPr>
              <w:t>Currency forwards</w:t>
            </w:r>
          </w:p>
        </w:tc>
        <w:tc>
          <w:tcPr>
            <w:tcW w:w="344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(47,882)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8,950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148,706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3,135</w:t>
            </w:r>
          </w:p>
        </w:tc>
        <w:tc>
          <w:tcPr>
            <w:tcW w:w="0" w:type="dxa"/>
            <w:vAlign w:val="bottom"/>
          </w:tcPr>
          <w:p>
            <w:pPr>
              <w:spacing w:after="0"/>
              <w:rPr>
                <w:sz w:val="1"/>
                <w:szCs w:val="1"/>
                <w:color w:val="auto"/>
              </w:rPr>
            </w:pPr>
          </w:p>
        </w:tc>
      </w:tr>
      <w:tr>
        <w:trPr>
          <w:trHeight w:val="268"/>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21,120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21,119</w:t>
            </w:r>
          </w:p>
        </w:tc>
        <w:tc>
          <w:tcPr>
            <w:tcW w:w="0" w:type="dxa"/>
            <w:vAlign w:val="bottom"/>
          </w:tcPr>
          <w:p>
            <w:pPr>
              <w:spacing w:after="0"/>
              <w:rPr>
                <w:sz w:val="1"/>
                <w:szCs w:val="1"/>
                <w:color w:val="auto"/>
              </w:rPr>
            </w:pPr>
          </w:p>
        </w:tc>
      </w:tr>
      <w:tr>
        <w:trPr>
          <w:trHeight w:val="257"/>
        </w:trPr>
        <w:tc>
          <w:tcPr>
            <w:tcW w:w="3800" w:type="dxa"/>
            <w:vAlign w:val="bottom"/>
            <w:gridSpan w:val="2"/>
          </w:tcPr>
          <w:p>
            <w:pPr>
              <w:ind w:left="40"/>
              <w:spacing w:after="0"/>
              <w:rPr>
                <w:sz w:val="20"/>
                <w:szCs w:val="20"/>
                <w:color w:val="auto"/>
              </w:rPr>
            </w:pPr>
            <w:r>
              <w:rPr>
                <w:rFonts w:ascii="Arial" w:cs="Arial" w:eastAsia="Arial" w:hAnsi="Arial"/>
                <w:sz w:val="14"/>
                <w:szCs w:val="14"/>
                <w:color w:val="auto"/>
              </w:rPr>
              <w:t>Others</w:t>
            </w:r>
          </w:p>
        </w:tc>
        <w:tc>
          <w:tcPr>
            <w:tcW w:w="344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57,229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65,292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273,528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4"/>
              </w:rPr>
              <w:t>Derivative instruments designated as hedging instruments:</w:t>
            </w:r>
          </w:p>
        </w:tc>
        <w:tc>
          <w:tcPr>
            <w:tcW w:w="3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800" w:type="dxa"/>
            <w:vAlign w:val="bottom"/>
            <w:gridSpan w:val="2"/>
          </w:tcPr>
          <w:p>
            <w:pPr>
              <w:ind w:left="40"/>
              <w:spacing w:after="0"/>
              <w:rPr>
                <w:sz w:val="20"/>
                <w:szCs w:val="20"/>
                <w:color w:val="auto"/>
              </w:rPr>
            </w:pPr>
            <w:r>
              <w:rPr>
                <w:rFonts w:ascii="Arial" w:cs="Arial" w:eastAsia="Arial" w:hAnsi="Arial"/>
                <w:sz w:val="14"/>
                <w:szCs w:val="14"/>
                <w:color w:val="auto"/>
              </w:rPr>
              <w:t>Foreign exchange - forward contract</w:t>
            </w:r>
          </w:p>
        </w:tc>
        <w:tc>
          <w:tcPr>
            <w:tcW w:w="3440" w:type="dxa"/>
            <w:vAlign w:val="bottom"/>
            <w:gridSpan w:val="2"/>
            <w:vMerge w:val="restart"/>
          </w:tcPr>
          <w:p>
            <w:pPr>
              <w:ind w:left="20"/>
              <w:spacing w:after="0"/>
              <w:rPr>
                <w:sz w:val="20"/>
                <w:szCs w:val="20"/>
                <w:color w:val="auto"/>
              </w:rPr>
            </w:pPr>
            <w:r>
              <w:rPr>
                <w:rFonts w:ascii="Arial" w:cs="Arial" w:eastAsia="Arial" w:hAnsi="Arial"/>
                <w:sz w:val="14"/>
                <w:szCs w:val="14"/>
                <w:color w:val="auto"/>
              </w:rPr>
              <w:t>Accumulated other comprehensive income</w:t>
            </w:r>
          </w:p>
        </w:tc>
        <w:tc>
          <w:tcPr>
            <w:tcW w:w="2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50"/>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16"/>
                <w:szCs w:val="16"/>
                <w:color w:val="auto"/>
              </w:rPr>
            </w:pPr>
          </w:p>
        </w:tc>
        <w:tc>
          <w:tcPr>
            <w:tcW w:w="200" w:type="dxa"/>
            <w:vAlign w:val="bottom"/>
            <w:vMerge w:val="restart"/>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60" w:type="dxa"/>
            <w:vAlign w:val="bottom"/>
            <w:vMerge w:val="restart"/>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30"/>
              <w:spacing w:after="0"/>
              <w:rPr>
                <w:sz w:val="20"/>
                <w:szCs w:val="20"/>
                <w:color w:val="auto"/>
              </w:rPr>
            </w:pPr>
            <w:r>
              <w:rPr>
                <w:rFonts w:ascii="Arial" w:cs="Arial" w:eastAsia="Arial" w:hAnsi="Arial"/>
                <w:sz w:val="14"/>
                <w:szCs w:val="14"/>
                <w:color w:val="auto"/>
              </w:rPr>
              <w:t>855</w:t>
            </w:r>
          </w:p>
        </w:tc>
        <w:tc>
          <w:tcPr>
            <w:tcW w:w="100" w:type="dxa"/>
            <w:vAlign w:val="bottom"/>
          </w:tcPr>
          <w:p>
            <w:pPr>
              <w:spacing w:after="0"/>
              <w:rPr>
                <w:sz w:val="16"/>
                <w:szCs w:val="16"/>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2"/>
            <w:vMerge w:val="continue"/>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Revenues from Contracts with Customers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24"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Company adopted ASC Topic 606, Revenue from Contracts with Customers as of January 1, 2018 in the condensed consolidated financial statements by applying the modified retrospective method. The Company’s revenue recognition methods for its contracts with customers prior to the adoption of Topic 606 are consistent with its methods after the adoption of Topic 606. Accordingly, the adoption of the new standard did not result in a transition adjustment to opening retained earnings, and as a result, revenues for contracts with customers would not have been adjusted in prior periods and are not presented herein on an adjusted basis.</w:t>
      </w:r>
    </w:p>
    <w:p>
      <w:pPr>
        <w:spacing w:after="0" w:line="181"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The new revenue guidance does not apply to revenue associated with financial instruments, including loans and securities that are accounted for under other U.S. GAAP, and as a result, did not have an impact on the elements of the Company’s condensed consolidated statement of comprehensive income most closely associated with financial instruments, including trading income, net and interest and dividend income. The new standard primarily impacts the presentation of the following revenue streams:</w:t>
      </w:r>
    </w:p>
    <w:p>
      <w:pPr>
        <w:spacing w:after="0" w:line="177" w:lineRule="exact"/>
        <w:rPr>
          <w:sz w:val="20"/>
          <w:szCs w:val="20"/>
          <w:color w:val="auto"/>
        </w:rPr>
      </w:pPr>
    </w:p>
    <w:p>
      <w:pPr>
        <w:ind w:left="640" w:right="140" w:hanging="320"/>
        <w:spacing w:after="0" w:line="264"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Commissions, net. The Company earns commission revenue by acting as an agent on behalf of customers. The Company’s performance obligations consist of trade execution and clearing services and are satisfied on the trade date; accordingly, commission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and technology services in the condensed consolidated statements of comprehensive income.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640" w:hanging="320"/>
        <w:spacing w:after="0" w:line="300" w:lineRule="auto"/>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Technology services. The Company’s 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customer revenues, which represent variable consideration. The services offered under these contracts are delivered as an integrated package and are interdependent and have the same pattern of transfer to the customer; accordingly, the Company measures and recognizes them as a single performance obligation. The performance obligation is satisfied over time, and, therefore,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 and are included within Receivables from broker dealers and clearing organizations.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Revenues</w:t>
      </w:r>
    </w:p>
    <w:p>
      <w:pPr>
        <w:spacing w:after="0" w:line="224"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The following tables present the Company’s revenue from contracts with customers disaggregated by the services described above, by timing of revenue recognition, reconciled to the Company’s reportable segments, as well as disaggregation of the Company’s revenues by services and geographic region, for the three and nine months ended September 30, 2018:</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9"/>
              </w:rPr>
              <w:t>Three Months Ended September 30, 2018</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Execution Services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Total</w:t>
            </w:r>
          </w:p>
        </w:tc>
      </w:tr>
      <w:tr>
        <w:trPr>
          <w:trHeight w:val="256"/>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from contract with Customers: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33,332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39,919</w:t>
            </w:r>
          </w:p>
        </w:tc>
      </w:tr>
      <w:tr>
        <w:trPr>
          <w:trHeight w:val="257"/>
        </w:trPr>
        <w:tc>
          <w:tcPr>
            <w:tcW w:w="4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Technology services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333</w:t>
            </w:r>
          </w:p>
        </w:tc>
      </w:tr>
      <w:tr>
        <w:trPr>
          <w:trHeight w:val="248"/>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revenue from contract with customers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33,665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40,252</w:t>
            </w:r>
          </w:p>
        </w:tc>
      </w:tr>
      <w:tr>
        <w:trPr>
          <w:trHeight w:val="315"/>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sources of revenue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257,783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254,871</w:t>
            </w:r>
          </w:p>
        </w:tc>
      </w:tr>
      <w:tr>
        <w:trPr>
          <w:trHeight w:val="315"/>
        </w:trPr>
        <w:tc>
          <w:tcPr>
            <w:tcW w:w="4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9"/>
        </w:trPr>
        <w:tc>
          <w:tcPr>
            <w:tcW w:w="4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264,370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34,206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295,123</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4"/>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264,370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33,873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294,790</w:t>
            </w:r>
          </w:p>
        </w:tc>
      </w:tr>
      <w:tr>
        <w:trPr>
          <w:trHeight w:val="262"/>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over time</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333</w:t>
            </w:r>
          </w:p>
        </w:tc>
      </w:tr>
      <w:tr>
        <w:trPr>
          <w:trHeight w:val="235"/>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264,370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34,206</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(3,453)</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295,123</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Nine Months Ended September 30, 2018</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Execution Services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Total</w:t>
            </w:r>
          </w:p>
        </w:tc>
      </w:tr>
      <w:tr>
        <w:trPr>
          <w:trHeight w:val="256"/>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from contract with Customers: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21,886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113,786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135,672</w:t>
            </w:r>
          </w:p>
        </w:tc>
      </w:tr>
      <w:tr>
        <w:trPr>
          <w:trHeight w:val="257"/>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Technology services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4,989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4,989</w:t>
            </w:r>
          </w:p>
        </w:tc>
      </w:tr>
      <w:tr>
        <w:trPr>
          <w:trHeight w:val="248"/>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 from contract with customers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21,886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118,775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140,661</w:t>
            </w:r>
          </w:p>
        </w:tc>
      </w:tr>
      <w:tr>
        <w:trPr>
          <w:trHeight w:val="315"/>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sources of revenue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962,715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339,984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1,297,642</w:t>
            </w:r>
          </w:p>
        </w:tc>
      </w:tr>
      <w:tr>
        <w:trPr>
          <w:trHeight w:val="315"/>
        </w:trPr>
        <w:tc>
          <w:tcPr>
            <w:tcW w:w="4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9"/>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984,601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458,759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1,438,303</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4"/>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984,601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453,770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1,433,314</w:t>
            </w:r>
          </w:p>
        </w:tc>
      </w:tr>
      <w:tr>
        <w:trPr>
          <w:trHeight w:val="262"/>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over time</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4,989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4,989</w:t>
            </w:r>
          </w:p>
        </w:tc>
      </w:tr>
      <w:tr>
        <w:trPr>
          <w:trHeight w:val="235"/>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984,601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458,759</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(5,057)</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1,438,303</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27" w:right="319" w:bottom="1440" w:gutter="0" w:footer="0" w:header="0"/>
        </w:sectPr>
      </w:pP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40"/>
          </w:cols>
          <w:pgMar w:left="240" w:top="127" w:right="319" w:bottom="1440" w:gutter="0" w:footer="0" w:header="0"/>
          <w:type w:val="continuous"/>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on Remaining Performance Obligations and Revenue Recognized</w:t>
      </w:r>
    </w:p>
    <w:p>
      <w:pPr>
        <w:spacing w:after="0" w:line="224" w:lineRule="exact"/>
        <w:rPr>
          <w:sz w:val="20"/>
          <w:szCs w:val="20"/>
          <w:color w:val="auto"/>
        </w:rPr>
      </w:pPr>
    </w:p>
    <w:p>
      <w:pPr>
        <w:ind w:right="580" w:firstLine="630"/>
        <w:spacing w:after="0" w:line="290" w:lineRule="auto"/>
        <w:rPr>
          <w:sz w:val="20"/>
          <w:szCs w:val="20"/>
          <w:color w:val="auto"/>
        </w:rPr>
      </w:pPr>
      <w:r>
        <w:rPr>
          <w:rFonts w:ascii="Arial" w:cs="Arial" w:eastAsia="Arial" w:hAnsi="Arial"/>
          <w:sz w:val="17"/>
          <w:szCs w:val="17"/>
          <w:color w:val="auto"/>
        </w:rPr>
        <w:t>As of September 30, 2018, the aggregate amount of the transaction price allocated to the performance obligations relating to Technology Services revenues that are unsatisfied (or partially unsatisfied) was not material.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Contract Liabilities</w:t>
      </w:r>
    </w:p>
    <w:p>
      <w:pPr>
        <w:spacing w:after="0" w:line="224" w:lineRule="exact"/>
        <w:rPr>
          <w:sz w:val="20"/>
          <w:szCs w:val="20"/>
          <w:color w:val="auto"/>
        </w:rPr>
      </w:pPr>
    </w:p>
    <w:p>
      <w:pPr>
        <w:ind w:right="180" w:firstLine="630"/>
        <w:spacing w:after="0" w:line="268" w:lineRule="auto"/>
        <w:rPr>
          <w:sz w:val="20"/>
          <w:szCs w:val="20"/>
          <w:color w:val="auto"/>
        </w:rPr>
      </w:pPr>
      <w:r>
        <w:rPr>
          <w:rFonts w:ascii="Arial" w:cs="Arial" w:eastAsia="Arial" w:hAnsi="Arial"/>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We had receivables related to revenues from contracts with customers of $1.7 million and $7.1 million as of September 30, 2018 and December 31,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30" w:lineRule="exact"/>
        <w:rPr>
          <w:sz w:val="20"/>
          <w:szCs w:val="20"/>
          <w:color w:val="auto"/>
        </w:rPr>
      </w:pPr>
    </w:p>
    <w:p>
      <w:pPr>
        <w:ind w:right="60" w:firstLine="315"/>
        <w:spacing w:after="0" w:line="262" w:lineRule="auto"/>
        <w:rPr>
          <w:sz w:val="20"/>
          <w:szCs w:val="20"/>
          <w:color w:val="auto"/>
        </w:rPr>
      </w:pPr>
      <w:r>
        <w:rPr>
          <w:rFonts w:ascii="Arial" w:cs="Arial" w:eastAsia="Arial" w:hAnsi="Arial"/>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and nine months ended September 30, 2018 and 2017, the income attributable to these noncontrolling interests is reported in the condensed consolidated statements of comprehensive income, but the related U.S. income tax expense attributable to these noncontrolling interests is not reported by the Company as it is the obligation of the individual partners. The Company’s provisions for (benefits from) income taxes and effective tax rates were $13.8 million and 46.9%, and $(6.5) million and 14.0% for the three months ended September 30, 2018 and 2017, respectively, and $75.3 million and 13.8%, and $(2.9) million and 16.7% for the nine months ended September 30, 2018 and 2017, respectively. Income tax expense is also affected by the differing effective tax rates in foreign, state and local jurisdictions where certain of the Company’s subsidiaries are subject to corporate taxation.</w:t>
      </w:r>
    </w:p>
    <w:p>
      <w:pPr>
        <w:spacing w:after="0" w:line="183" w:lineRule="exact"/>
        <w:rPr>
          <w:sz w:val="20"/>
          <w:szCs w:val="20"/>
          <w:color w:val="auto"/>
        </w:rPr>
      </w:pPr>
    </w:p>
    <w:p>
      <w:pPr>
        <w:ind w:right="80" w:firstLine="630"/>
        <w:spacing w:after="0" w:line="263" w:lineRule="auto"/>
        <w:rPr>
          <w:sz w:val="20"/>
          <w:szCs w:val="20"/>
          <w:color w:val="auto"/>
        </w:rPr>
      </w:pPr>
      <w:r>
        <w:rPr>
          <w:rFonts w:ascii="Arial" w:cs="Arial" w:eastAsia="Arial" w:hAnsi="Arial"/>
          <w:sz w:val="17"/>
          <w:szCs w:val="17"/>
          <w:color w:val="auto"/>
        </w:rPr>
        <w:t>Included in Other assets on the condensed consolidated statements of financial condition at September 30, 2018 and December 31, 2017 are current income tax receivables of $40.7 million and $115.2 million, respectively. The balance at September 30, 2018 primarily comprises income taxes due to the Company from federal, state and local, and foreign tax jurisdictions based on income before taxes, and the balance at December 31, 2017 primarily comprises the income tax benefit of KCG net operating losses that were generated prior to the Acquisition of KCG and are eligible to be carried back by the Company. Included in Accounts payable and accrued expenses and other liabilities on the condensed consolidated statements of financial condition at September 30, 2018 and December 31, 2017 are current tax liabilities of $16.0 million and $7.6 million, respectively. The balances primarily comprise income taxes owed to federal, state and local, and foreign tax jurisdictions based on income before taxes.</w:t>
      </w:r>
    </w:p>
    <w:p>
      <w:pPr>
        <w:spacing w:after="0" w:line="180" w:lineRule="exact"/>
        <w:rPr>
          <w:sz w:val="20"/>
          <w:szCs w:val="20"/>
          <w:color w:val="auto"/>
        </w:rPr>
      </w:pPr>
    </w:p>
    <w:p>
      <w:pPr>
        <w:jc w:val="both"/>
        <w:ind w:right="40" w:firstLine="630"/>
        <w:spacing w:after="0" w:line="326" w:lineRule="auto"/>
        <w:rPr>
          <w:sz w:val="20"/>
          <w:szCs w:val="20"/>
          <w:color w:val="auto"/>
        </w:rPr>
      </w:pPr>
      <w:r>
        <w:rPr>
          <w:rFonts w:ascii="Arial" w:cs="Arial" w:eastAsia="Arial" w:hAnsi="Arial"/>
          <w:sz w:val="15"/>
          <w:szCs w:val="15"/>
          <w:color w:val="auto"/>
        </w:rPr>
        <w:t>Deferred income taxes arise primarily due to the amortization of the deferred tax assets recognized in connection with the IPO (Note 6 "Tax Receivable Agreements") and the Acquisition of KCG (Note 3 "Acquisition of KCG Holdings, Inc."), differences in the valuation of financial assets and liabilities, and other temporary differences arising from the deductibility of compensation and depreciation expenses in different time periods for book and income tax return purposes.</w:t>
      </w:r>
    </w:p>
    <w:p>
      <w:pPr>
        <w:spacing w:after="0" w:line="137" w:lineRule="exact"/>
        <w:rPr>
          <w:sz w:val="20"/>
          <w:szCs w:val="20"/>
          <w:color w:val="auto"/>
        </w:rPr>
      </w:pPr>
    </w:p>
    <w:p>
      <w:pPr>
        <w:ind w:right="40" w:firstLine="315"/>
        <w:spacing w:after="0" w:line="279" w:lineRule="auto"/>
        <w:rPr>
          <w:sz w:val="20"/>
          <w:szCs w:val="20"/>
          <w:color w:val="auto"/>
        </w:rPr>
      </w:pPr>
      <w:r>
        <w:rPr>
          <w:rFonts w:ascii="Arial" w:cs="Arial" w:eastAsia="Arial" w:hAnsi="Arial"/>
          <w:sz w:val="16"/>
          <w:szCs w:val="16"/>
          <w:color w:val="auto"/>
        </w:rPr>
        <w:t>There are no expiration dates on the deferred tax assets. The Company’s deferred tax asset at September 30, 2018 and December 31, 2017 includes an alternative minimum tax credit carryforward of $0.6 million and $0.6 million, respectively, which can be either refunded over a period of years or applied against future income tax liability pursuant to the 2017 Tax Act.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As a result of the Acquisition of KCG, the Company has non-U.S. net operating losses at September 30, 2018 and December 31, 2017 of $231.8 million and $231.8 million, respectively, and has recorded a related deferred tax asset of $43.5 million and $43.5 million, respectively. A full valuation allowance was also recorded against this deferred tax asset at September 30, 2018 and December 31, 2017 as it is more likely than not that this deferred tax asset will not be realized. No valuation allowance against the remaining deferred taxes was recorded as of September 30, 2018 and December 31, 2017 because it is more likely than not that these deferred tax assets will be fully realized.</w:t>
      </w:r>
    </w:p>
    <w:p>
      <w:pPr>
        <w:spacing w:after="0" w:line="171"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The Company is subject to taxation in U.S. federal, state, local and foreign jurisdictions. As of September 30, 2018, the Company’s tax years for 2013 through 2017 and 2010 through 2017 are subject to examination by U.S. and non-U.S. tax authorities, respectively. As a result of the Acquisition of KCG, the Company has assumed any KCG tax exposures. KCG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currently subject to U.S. federal income tax examinations for 2013 through 2017, and to non-U.S. income tax examinations for the tax years 2007 through 2017. In addition, the Company is subject to state and local income tax examinations in various jurisdictions for the tax years 2007 through 2017. The final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177"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The 2017 Tax Act was signed into law on December 22, 2017 and significantly revises the U.S. corporate income tax by, among other things, lowering the statutory corporate tax rate from 35% to 21%, and eliminating certain deductions. As of December 31, 2017, the Company recorded a reduction of its deferred tax assets for the impact of the 2017 Tax Act of approximately $90.6 million, which was primarily composed of the remeasurement of federal net deferred tax assets as a result of the permanent reduction in the U.S. statutory corporate tax rate from 35% to 21%. During the first three quarters of 2018, the Company did not make any further adjustments due to the 2017 Tax Act. The Company has completed its determination of the accounting implications of the 2017 Tax act on its tax balances.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Contingencies and Guarantees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24" w:lineRule="exact"/>
        <w:rPr>
          <w:sz w:val="20"/>
          <w:szCs w:val="20"/>
          <w:color w:val="auto"/>
        </w:rPr>
      </w:pPr>
    </w:p>
    <w:p>
      <w:pPr>
        <w:ind w:right="120" w:firstLine="315"/>
        <w:spacing w:after="0" w:line="278"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for potential claims, including securities actions, against the Company and its respective directors and officers.</w:t>
      </w:r>
    </w:p>
    <w:p>
      <w:pPr>
        <w:spacing w:after="0" w:line="176" w:lineRule="exact"/>
        <w:rPr>
          <w:sz w:val="20"/>
          <w:szCs w:val="20"/>
          <w:color w:val="auto"/>
        </w:rPr>
      </w:pPr>
    </w:p>
    <w:p>
      <w:pPr>
        <w:ind w:right="120" w:firstLine="315"/>
        <w:spacing w:after="0" w:line="263" w:lineRule="auto"/>
        <w:rPr>
          <w:sz w:val="20"/>
          <w:szCs w:val="20"/>
          <w:color w:val="auto"/>
        </w:rPr>
      </w:pPr>
      <w:r>
        <w:rPr>
          <w:rFonts w:ascii="Arial" w:cs="Arial" w:eastAsia="Arial" w:hAnsi="Arial"/>
          <w:sz w:val="17"/>
          <w:szCs w:val="17"/>
          <w:color w:val="auto"/>
        </w:rPr>
        <w:t xml:space="preserve">In connection with the Acquisition of KCG, a previously filed complaint, which was initially captioned </w:t>
      </w:r>
      <w:r>
        <w:rPr>
          <w:rFonts w:ascii="Arial" w:cs="Arial" w:eastAsia="Arial" w:hAnsi="Arial"/>
          <w:sz w:val="17"/>
          <w:szCs w:val="17"/>
          <w:i w:val="1"/>
          <w:iCs w:val="1"/>
          <w:color w:val="auto"/>
        </w:rPr>
        <w:t>Greenway v. KCG Holdings, Inc., et al., Case No.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2017-421-JTL </w:t>
      </w:r>
      <w:r>
        <w:rPr>
          <w:rFonts w:ascii="Arial" w:cs="Arial" w:eastAsia="Arial" w:hAnsi="Arial"/>
          <w:sz w:val="17"/>
          <w:szCs w:val="17"/>
          <w:color w:val="auto"/>
        </w:rPr>
        <w:t>and filed on behalf of a putative class in Delaware Chancery Court, was recaptioned</w:t>
      </w:r>
      <w:r>
        <w:rPr>
          <w:rFonts w:ascii="Arial" w:cs="Arial" w:eastAsia="Arial" w:hAnsi="Arial"/>
          <w:sz w:val="17"/>
          <w:szCs w:val="17"/>
          <w:i w:val="1"/>
          <w:iCs w:val="1"/>
          <w:color w:val="auto"/>
        </w:rPr>
        <w:t xml:space="preserve"> Chester County Employees’ Retirement Fund v. KCG Holdings, Inc., et al.</w:t>
      </w:r>
      <w:r>
        <w:rPr>
          <w:rFonts w:ascii="Arial" w:cs="Arial" w:eastAsia="Arial" w:hAnsi="Arial"/>
          <w:sz w:val="17"/>
          <w:szCs w:val="17"/>
          <w:color w:val="auto"/>
        </w:rPr>
        <w:t>, amended and refiled on February 14, 2018 to include claims for the alleged breach of fiduciary duties against former KCG board members,</w:t>
      </w:r>
      <w:r>
        <w:rPr>
          <w:rFonts w:ascii="Arial" w:cs="Arial" w:eastAsia="Arial" w:hAnsi="Arial"/>
          <w:sz w:val="17"/>
          <w:szCs w:val="17"/>
          <w:i w:val="1"/>
          <w:iCs w:val="1"/>
          <w:color w:val="auto"/>
        </w:rPr>
        <w:t xml:space="preserve"> </w:t>
      </w:r>
      <w:r>
        <w:rPr>
          <w:rFonts w:ascii="Arial" w:cs="Arial" w:eastAsia="Arial" w:hAnsi="Arial"/>
          <w:sz w:val="17"/>
          <w:szCs w:val="17"/>
          <w:color w:val="auto"/>
        </w:rPr>
        <w:t>claims against each of Virtu and Jefferies for allegedly aiding and abetting the KCG board members’ alleged breaches of fiduciary duty and a claim against Virtu and Jefferies for alleged civil conspiracy. The amended complaint was again amended on July 16, 2018 with the filing of the Verified Second Amended Class Action Complaint (the “Second Amended Complaint”) to include additional factual allegations. No amount of damages is stated in the Second Amended Complaint, against which Virtu intends to defend vigorously.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and Regulatory Matters</w:t>
      </w:r>
    </w:p>
    <w:p>
      <w:pPr>
        <w:spacing w:after="0" w:line="224" w:lineRule="exact"/>
        <w:rPr>
          <w:sz w:val="20"/>
          <w:szCs w:val="20"/>
          <w:color w:val="auto"/>
        </w:rPr>
      </w:pPr>
    </w:p>
    <w:p>
      <w:pPr>
        <w:ind w:firstLine="315"/>
        <w:spacing w:after="0" w:line="299" w:lineRule="auto"/>
        <w:rPr>
          <w:sz w:val="20"/>
          <w:szCs w:val="20"/>
          <w:color w:val="auto"/>
        </w:rPr>
      </w:pPr>
      <w:r>
        <w:rPr>
          <w:rFonts w:ascii="Arial" w:cs="Arial" w:eastAsia="Arial" w:hAnsi="Arial"/>
          <w:sz w:val="15"/>
          <w:szCs w:val="15"/>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securities. In addition, there has been an increased focus by Congress, federal and state regulators, SROs and the media on market structure issues, and in particular, high frequency trading, best execution, internalization, ATS manner of operations, market fragmentation and complexity, colocation, cybersecurity, access to market data feeds and remuneration arrangements, such as payment for order flow and exchange fee structures. The Company has received information requests from various authorities,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127"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including the SEC, requesting, among other items, information regarding these market structure matters, to which the Company has responded or is in the process of responding.</w:t>
      </w:r>
    </w:p>
    <w:p>
      <w:pPr>
        <w:spacing w:after="0" w:line="158" w:lineRule="exact"/>
        <w:rPr>
          <w:sz w:val="20"/>
          <w:szCs w:val="20"/>
          <w:color w:val="auto"/>
        </w:rPr>
      </w:pPr>
    </w:p>
    <w:p>
      <w:pPr>
        <w:ind w:right="60" w:firstLine="315"/>
        <w:spacing w:after="0" w:line="283" w:lineRule="auto"/>
        <w:rPr>
          <w:sz w:val="20"/>
          <w:szCs w:val="20"/>
          <w:color w:val="auto"/>
        </w:rPr>
      </w:pPr>
      <w:r>
        <w:rPr>
          <w:rFonts w:ascii="Arial" w:cs="Arial" w:eastAsia="Arial" w:hAnsi="Arial"/>
          <w:sz w:val="16"/>
          <w:szCs w:val="16"/>
          <w:color w:val="auto"/>
        </w:rPr>
        <w:t>The Company is currently the subject of various regulatory reviews and investigations by federal, state and foreign regulators and SROs, including the SEC and the Financial Industry Regulatory Authority. In some instances, these matters may rise to a disciplinary action and/or a civil or administrative action. For example,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The Company has fully reserved for the monetary penalty as of September 30, 2018 and anticipates paying the fine during the year ended December 31, 2018.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 Indemnification Arrangements</w:t>
      </w:r>
    </w:p>
    <w:p>
      <w:pPr>
        <w:spacing w:after="0" w:line="224"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In the normal course of its operations, the Company enters into contracts that contain a variety of representations and warranties in addition to indemnification obligations.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168" w:lineRule="exact"/>
        <w:rPr>
          <w:sz w:val="20"/>
          <w:szCs w:val="20"/>
          <w:color w:val="auto"/>
        </w:rPr>
      </w:pPr>
    </w:p>
    <w:p>
      <w:pPr>
        <w:ind w:right="180" w:firstLine="315"/>
        <w:spacing w:after="0" w:line="268" w:lineRule="auto"/>
        <w:rPr>
          <w:sz w:val="20"/>
          <w:szCs w:val="20"/>
          <w:color w:val="auto"/>
        </w:rPr>
      </w:pPr>
      <w:r>
        <w:rPr>
          <w:rFonts w:ascii="Arial" w:cs="Arial" w:eastAsia="Arial" w:hAnsi="Arial"/>
          <w:sz w:val="17"/>
          <w:szCs w:val="17"/>
          <w:color w:val="auto"/>
        </w:rPr>
        <w:t>Consistent with standard business practices in the normal course of business, the Company has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Capital Structure</w:t>
      </w:r>
    </w:p>
    <w:p>
      <w:pPr>
        <w:spacing w:after="0" w:line="230"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For details related to the Company's IPO and Reorganization Transactions and other public offerings, refer to Note 15 "Capital Structure" in the Company's 2017 Form 10-K.</w:t>
      </w:r>
    </w:p>
    <w:p>
      <w:pPr>
        <w:spacing w:after="0" w:line="177" w:lineRule="exact"/>
        <w:rPr>
          <w:sz w:val="20"/>
          <w:szCs w:val="20"/>
          <w:color w:val="auto"/>
        </w:rPr>
      </w:pPr>
    </w:p>
    <w:p>
      <w:pPr>
        <w:ind w:right="80" w:firstLine="315"/>
        <w:spacing w:after="0" w:line="309" w:lineRule="auto"/>
        <w:rPr>
          <w:sz w:val="20"/>
          <w:szCs w:val="20"/>
          <w:color w:val="auto"/>
        </w:rPr>
      </w:pPr>
      <w:r>
        <w:rPr>
          <w:rFonts w:ascii="Arial" w:cs="Arial" w:eastAsia="Arial" w:hAnsi="Arial"/>
          <w:sz w:val="15"/>
          <w:szCs w:val="15"/>
          <w:color w:val="auto"/>
        </w:rPr>
        <w:t>During the period prior to the Reorganization Transactions and IPO, Class A-2 profits interests and Class B interests were issued to Employee Holdco (as defined below) on behalf of certain key employees and stakeholders. In connection with the Reorganization Transactions, all Class A-2 profits interests and Class B interests were reclassified into non-voting common interest units. As of September 30, 2018 and December 31, 2017, respectively, there were 9,012,000 and 12,301,067 non-voting common interest units outstanding, respectively, and 3,289,067 and 1,466,484 non-voting common interest units and corresponding Class C common stock were exchanged into Class A common stock, forfeited or repurchased during the nine months ended September 30, 2018 and 2017,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224" w:lineRule="exact"/>
        <w:rPr>
          <w:sz w:val="20"/>
          <w:szCs w:val="20"/>
          <w:color w:val="auto"/>
        </w:rPr>
      </w:pPr>
    </w:p>
    <w:p>
      <w:pPr>
        <w:ind w:right="40" w:firstLine="315"/>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KCG</w:t>
      </w:r>
    </w:p>
    <w:p>
      <w:pPr>
        <w:spacing w:after="0" w:line="224" w:lineRule="exact"/>
        <w:rPr>
          <w:sz w:val="20"/>
          <w:szCs w:val="20"/>
          <w:color w:val="auto"/>
        </w:rPr>
      </w:pPr>
    </w:p>
    <w:p>
      <w:pPr>
        <w:ind w:right="140" w:firstLine="315"/>
        <w:spacing w:after="0" w:line="274" w:lineRule="auto"/>
        <w:rPr>
          <w:sz w:val="20"/>
          <w:szCs w:val="20"/>
          <w:color w:val="auto"/>
        </w:rPr>
      </w:pPr>
      <w:r>
        <w:rPr>
          <w:rFonts w:ascii="Arial" w:cs="Arial" w:eastAsia="Arial" w:hAnsi="Arial"/>
          <w:sz w:val="17"/>
          <w:szCs w:val="17"/>
          <w:color w:val="auto"/>
        </w:rPr>
        <w:t>On the Closing Date and in connection with the financing of the Acquisition of KCG, the Company issued 6,346,155 shares of the Company’s Class A common stock to Aranda for an aggregate purchase price of approximately $99.0 million and 39,725,979 shares of the Company Class A Common Stock to NIH for an aggregate purchase price of approximately $613.5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120"/>
        <w:spacing w:after="0" w:line="274" w:lineRule="auto"/>
        <w:rPr>
          <w:sz w:val="20"/>
          <w:szCs w:val="20"/>
          <w:color w:val="auto"/>
        </w:rPr>
      </w:pPr>
      <w:r>
        <w:rPr>
          <w:rFonts w:ascii="Arial" w:cs="Arial" w:eastAsia="Arial" w:hAnsi="Arial"/>
          <w:sz w:val="17"/>
          <w:szCs w:val="17"/>
          <w:color w:val="auto"/>
        </w:rPr>
        <w:t>million. On August 10, 2017, the Company issued an additional 1,666,666 shares of its Class A Common Stock for an aggregate purchase price of $26.0 million and an additional 338,124 shares of its Class A Common Stock for an aggregate purchase price of $5.2 million. See Note 3 "Acquisition of KCG Holdings, Inc."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24"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color w:val="auto"/>
        </w:rPr>
        <w:t>In February 2018, the Company's board of directors authorized a new share repurchase program of up to $50.0 million in Class A common stock and common units by March 31, 2019.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w:t>
      </w:r>
    </w:p>
    <w:p>
      <w:pPr>
        <w:spacing w:after="0" w:line="181" w:lineRule="exact"/>
        <w:rPr>
          <w:sz w:val="20"/>
          <w:szCs w:val="20"/>
          <w:color w:val="auto"/>
        </w:rPr>
      </w:pPr>
    </w:p>
    <w:p>
      <w:pPr>
        <w:ind w:firstLine="315"/>
        <w:spacing w:after="0" w:line="315" w:lineRule="auto"/>
        <w:rPr>
          <w:sz w:val="20"/>
          <w:szCs w:val="20"/>
          <w:color w:val="auto"/>
        </w:rPr>
      </w:pPr>
      <w:r>
        <w:rPr>
          <w:rFonts w:ascii="Arial" w:cs="Arial" w:eastAsia="Arial" w:hAnsi="Arial"/>
          <w:sz w:val="15"/>
          <w:szCs w:val="15"/>
          <w:color w:val="auto"/>
        </w:rPr>
        <w:t>On July 27, 2018, the Company's board of directors authorized the expansion of the Company's share repurchase program, increasing the total authorized amount by $50.0 million to $100.0 million and extending the duration of the program through September 30, 2019. Since the inception of the program in February 2018, the Company has repurchased approximately 2.4 million shares of Class A common stock and common units for approximately $61.9 million. The Company now has approximately $38.1 million remaining capacity for future purchases of shares of Class A common stock and common units under the program.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Secondary Offerings</w:t>
      </w:r>
    </w:p>
    <w:p>
      <w:pPr>
        <w:spacing w:after="0" w:line="224" w:lineRule="exact"/>
        <w:rPr>
          <w:sz w:val="20"/>
          <w:szCs w:val="20"/>
          <w:color w:val="auto"/>
        </w:rPr>
      </w:pPr>
    </w:p>
    <w:p>
      <w:pPr>
        <w:ind w:right="220" w:firstLine="315"/>
        <w:spacing w:after="0" w:line="262" w:lineRule="auto"/>
        <w:rPr>
          <w:sz w:val="20"/>
          <w:szCs w:val="20"/>
          <w:color w:val="auto"/>
        </w:rPr>
      </w:pPr>
      <w:r>
        <w:rPr>
          <w:rFonts w:ascii="Arial" w:cs="Arial" w:eastAsia="Arial" w:hAnsi="Arial"/>
          <w:sz w:val="17"/>
          <w:szCs w:val="17"/>
          <w:color w:val="auto"/>
        </w:rPr>
        <w:t>In May 2018, the Company and certain selling stockholders completed a public offering (the “May 2018 Secondary Offering”) of 17,250,000 shares of its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its Class A common stock in the offering, the net proceeds of which were used to purchase an equivalent number of common interest units in Virtu Financial LLC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Exchanges</w:t>
      </w:r>
    </w:p>
    <w:p>
      <w:pPr>
        <w:spacing w:after="0" w:line="224" w:lineRule="exact"/>
        <w:rPr>
          <w:sz w:val="20"/>
          <w:szCs w:val="20"/>
          <w:color w:val="auto"/>
        </w:rPr>
      </w:pPr>
    </w:p>
    <w:p>
      <w:pPr>
        <w:ind w:right="160" w:firstLine="315"/>
        <w:spacing w:after="0" w:line="298" w:lineRule="auto"/>
        <w:rPr>
          <w:sz w:val="20"/>
          <w:szCs w:val="20"/>
          <w:color w:val="auto"/>
        </w:rPr>
      </w:pPr>
      <w:r>
        <w:rPr>
          <w:rFonts w:ascii="Arial" w:cs="Arial" w:eastAsia="Arial" w:hAnsi="Arial"/>
          <w:sz w:val="16"/>
          <w:szCs w:val="16"/>
          <w:color w:val="auto"/>
        </w:rPr>
        <w:t>During the nine months ended September 30, 2018 and 2017, respectively, pursuant to the exchange agreement by and among the Company, Virtu Financial and holders of Virtu Financial common units, certain current and former employees elected to exchange 3,508,217 and 1,146,315 units, in Virtu Financial held directly or on their behalf by Virtu Employee Holdco LLC (“Employee Holdco”) on a one-for-one basis for shares of Class A common stock.</w:t>
      </w:r>
    </w:p>
    <w:p>
      <w:pPr>
        <w:spacing w:after="0" w:line="155" w:lineRule="exact"/>
        <w:rPr>
          <w:sz w:val="20"/>
          <w:szCs w:val="20"/>
          <w:color w:val="auto"/>
        </w:rPr>
      </w:pPr>
    </w:p>
    <w:p>
      <w:pPr>
        <w:ind w:right="780" w:firstLine="315"/>
        <w:spacing w:after="0" w:line="290" w:lineRule="auto"/>
        <w:rPr>
          <w:sz w:val="20"/>
          <w:szCs w:val="20"/>
          <w:color w:val="auto"/>
        </w:rPr>
      </w:pPr>
      <w:r>
        <w:rPr>
          <w:rFonts w:ascii="Arial" w:cs="Arial" w:eastAsia="Arial" w:hAnsi="Arial"/>
          <w:sz w:val="17"/>
          <w:szCs w:val="17"/>
          <w:color w:val="auto"/>
        </w:rPr>
        <w:t>As a result of the completion of the IPO, the Reorganization Transactions, the Secondary Offerings, employee exchanges, and the share issuance in connection with the Acquisition, the Company holds approximately 56.6% interest in Virtu Financial at September 30, 2018.</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Share-based Compensation</w:t>
      </w:r>
    </w:p>
    <w:p>
      <w:pPr>
        <w:spacing w:after="0" w:line="230" w:lineRule="exact"/>
        <w:rPr>
          <w:sz w:val="20"/>
          <w:szCs w:val="20"/>
          <w:color w:val="auto"/>
        </w:rPr>
      </w:pPr>
    </w:p>
    <w:p>
      <w:pPr>
        <w:ind w:right="340" w:firstLine="354"/>
        <w:spacing w:after="0" w:line="274" w:lineRule="auto"/>
        <w:rPr>
          <w:sz w:val="20"/>
          <w:szCs w:val="20"/>
          <w:color w:val="auto"/>
        </w:rPr>
      </w:pPr>
      <w:r>
        <w:rPr>
          <w:rFonts w:ascii="Arial" w:cs="Arial" w:eastAsia="Arial" w:hAnsi="Arial"/>
          <w:sz w:val="17"/>
          <w:szCs w:val="17"/>
          <w:color w:val="auto"/>
        </w:rPr>
        <w:t>Pursuant to 2015 Management Incentive Plan as described in Note 16 "Capital Structure", and in connection with the IPO, non-qualified stock options to purchase shares of Class A common stock were granted, each of which vests in equal annual installments over a period of the four years from grant date and expires not later than 10 years from the date of grant.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activity related to stock options for the nine months ended September 30, 2018 and 2017:</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127"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3"/>
              </w:rPr>
              <w:t>Options Outstanding</w:t>
            </w: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Weighted Average</w:t>
            </w:r>
          </w:p>
        </w:tc>
        <w:tc>
          <w:tcPr>
            <w:tcW w:w="17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40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Remaining Contractual</w:t>
            </w: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Exercise Price Per Share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2016</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8,234,000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2,058,500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16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(401,000)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September 30, 2017</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7,833,000</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7.55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3,916,500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7,783,000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3,891,500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16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(4,086,558)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(4,086,558)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September 30, 2018</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3,612,692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6.55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1,741,942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firstLine="315"/>
        <w:spacing w:after="0" w:line="274" w:lineRule="auto"/>
        <w:rPr>
          <w:sz w:val="20"/>
          <w:szCs w:val="20"/>
          <w:color w:val="auto"/>
        </w:rPr>
      </w:pPr>
      <w:r>
        <w:rPr>
          <w:rFonts w:ascii="Arial" w:cs="Arial" w:eastAsia="Arial" w:hAnsi="Arial"/>
          <w:sz w:val="17"/>
          <w:szCs w:val="17"/>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70" w:lineRule="exact"/>
        <w:rPr>
          <w:sz w:val="20"/>
          <w:szCs w:val="20"/>
          <w:color w:val="auto"/>
        </w:rPr>
      </w:pPr>
    </w:p>
    <w:p>
      <w:pPr>
        <w:jc w:val="both"/>
        <w:ind w:right="140" w:firstLine="315"/>
        <w:spacing w:after="0" w:line="290" w:lineRule="auto"/>
        <w:rPr>
          <w:sz w:val="20"/>
          <w:szCs w:val="20"/>
          <w:color w:val="auto"/>
        </w:rPr>
      </w:pPr>
      <w:r>
        <w:rPr>
          <w:rFonts w:ascii="Arial" w:cs="Arial" w:eastAsia="Arial" w:hAnsi="Arial"/>
          <w:sz w:val="16"/>
          <w:szCs w:val="16"/>
          <w:color w:val="auto"/>
        </w:rPr>
        <w:t>The Company recognized $1.4 million and $1.4 million for the three months ended September 30, 2018, and 2017, respectively, and $4.2 million and $4.2 million for the nine months ended September 30, 2018, and 2017, respectively, of compensation expense in relation to the stock options issued and outstanding. As of September 30, 2018 and December 31, 2017, total unrecognized share-based compensation expense related to unvested stock options was $3.1 million and $7.5 million, respectively, and these amounts are to be recognized over a weighted average period of 0.6 and 1.3 years,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 and Restricted Stock Units</w:t>
      </w:r>
    </w:p>
    <w:p>
      <w:pPr>
        <w:spacing w:after="0" w:line="224" w:lineRule="exact"/>
        <w:rPr>
          <w:sz w:val="20"/>
          <w:szCs w:val="20"/>
          <w:color w:val="auto"/>
        </w:rPr>
      </w:pPr>
    </w:p>
    <w:p>
      <w:pPr>
        <w:ind w:firstLine="315"/>
        <w:spacing w:after="0" w:line="280" w:lineRule="auto"/>
        <w:rPr>
          <w:sz w:val="20"/>
          <w:szCs w:val="20"/>
          <w:color w:val="auto"/>
        </w:rPr>
      </w:pPr>
      <w:r>
        <w:rPr>
          <w:rFonts w:ascii="Arial" w:cs="Arial" w:eastAsia="Arial" w:hAnsi="Arial"/>
          <w:sz w:val="16"/>
          <w:szCs w:val="16"/>
          <w:color w:val="auto"/>
        </w:rPr>
        <w:t>Pursuant to the 2015 Management Incentive Plan as described in Note 16 "Capital Structure", subsequent to the IPO, shares of immediately vested Class A common stock and restricted stock units were granted, the latter which vest over a period of up to 4 years. The fair value of the Class A common stock and RSUs was determined based on a volume weighted average price and is being recognized on a straight line basis over the vesting period. For the nine months ended September 30, 2018, there were 594,536 shares of immediately vested Class A common stock granted as part of 2017 year-end compensation, with a fair value of $11.3 million which was recorded as an increase to the condensed consolidated statements of changes in equity. In addition, the Company accrued compensation expense of $2.5 million and $0.0 million for the three months ended September 30, 2018 and 2017, respectively, and $7.1 million and $9.4 million for the nine months ended September 30, 2018 and 2017, respectively, related to immediately vested Class A common stock expected to be awarded as part of year-end incentive compensation, which was included in employee compensation and payroll taxes on the condensed consolidated statements of comprehensive income and accounts payable and accrued expenses and other liabilities on the condensed consolidated statements of financial condition.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activity related to the RSUs: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37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91"/>
              </w:rPr>
              <w:t>Average Fair Value</w:t>
            </w:r>
          </w:p>
        </w:tc>
        <w:tc>
          <w:tcPr>
            <w:tcW w:w="0" w:type="dxa"/>
            <w:vAlign w:val="bottom"/>
          </w:tcPr>
          <w:p>
            <w:pPr>
              <w:spacing w:after="0"/>
              <w:rPr>
                <w:sz w:val="1"/>
                <w:szCs w:val="1"/>
                <w:color w:val="auto"/>
              </w:rPr>
            </w:pPr>
          </w:p>
        </w:tc>
      </w:tr>
      <w:tr>
        <w:trPr>
          <w:trHeight w:val="248"/>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2016</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1,573,441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57"/>
        </w:trPr>
        <w:tc>
          <w:tcPr>
            <w:tcW w:w="8700" w:type="dxa"/>
            <w:vAlign w:val="bottom"/>
          </w:tcPr>
          <w:p>
            <w:pPr>
              <w:ind w:left="40"/>
              <w:spacing w:after="0"/>
              <w:rPr>
                <w:sz w:val="20"/>
                <w:szCs w:val="20"/>
                <w:color w:val="auto"/>
              </w:rPr>
            </w:pPr>
            <w:r>
              <w:rPr>
                <w:rFonts w:ascii="Arial" w:cs="Arial" w:eastAsia="Arial" w:hAnsi="Arial"/>
                <w:sz w:val="14"/>
                <w:szCs w:val="14"/>
                <w:color w:val="auto"/>
              </w:rPr>
              <w:t>Granted</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34,825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268"/>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(212,729)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18.46</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(58,536)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235"/>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September 30, 2017</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1,337,001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18.21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853,047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257"/>
        </w:trPr>
        <w:tc>
          <w:tcPr>
            <w:tcW w:w="8700" w:type="dxa"/>
            <w:vAlign w:val="bottom"/>
          </w:tcPr>
          <w:p>
            <w:pPr>
              <w:ind w:left="40"/>
              <w:spacing w:after="0"/>
              <w:rPr>
                <w:sz w:val="20"/>
                <w:szCs w:val="20"/>
                <w:color w:val="auto"/>
              </w:rPr>
            </w:pPr>
            <w:r>
              <w:rPr>
                <w:rFonts w:ascii="Arial" w:cs="Arial" w:eastAsia="Arial" w:hAnsi="Arial"/>
                <w:sz w:val="14"/>
                <w:szCs w:val="14"/>
                <w:color w:val="auto"/>
              </w:rPr>
              <w:t>Granted</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1,265,899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20.89</w:t>
            </w:r>
          </w:p>
        </w:tc>
        <w:tc>
          <w:tcPr>
            <w:tcW w:w="0" w:type="dxa"/>
            <w:vAlign w:val="bottom"/>
          </w:tcPr>
          <w:p>
            <w:pPr>
              <w:spacing w:after="0"/>
              <w:rPr>
                <w:sz w:val="1"/>
                <w:szCs w:val="1"/>
                <w:color w:val="auto"/>
              </w:rPr>
            </w:pPr>
          </w:p>
        </w:tc>
      </w:tr>
      <w:tr>
        <w:trPr>
          <w:trHeight w:val="268"/>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235"/>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September 30, 2018</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1,907,511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40" w:firstLine="315"/>
        <w:spacing w:after="0" w:line="290" w:lineRule="auto"/>
        <w:rPr>
          <w:sz w:val="20"/>
          <w:szCs w:val="20"/>
          <w:color w:val="auto"/>
        </w:rPr>
      </w:pPr>
      <w:r>
        <w:rPr>
          <w:rFonts w:ascii="Arial" w:cs="Arial" w:eastAsia="Arial" w:hAnsi="Arial"/>
          <w:sz w:val="16"/>
          <w:szCs w:val="16"/>
          <w:color w:val="auto"/>
        </w:rPr>
        <w:t>The Company recognized $4.6 million and $2.2 million for the three months ended September 30, 2018 and 2017, respectively, and $13.1 million and $7.1 million for the nine months ended September 30, 2018 and 2017, respectively, of compensation expense in relation to the restricted stock units. As of September 30, 2018 and December 31, 2017, total unrecognized share-based compensation expense related to unvested RSUs was $25.0 million and $14.3 million, respectively, and this amount is to be recognized over a weighted average period of 1.1 and 1.5 years,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Regulatory Requirement</w:t>
      </w:r>
    </w:p>
    <w:p>
      <w:pPr>
        <w:spacing w:after="0" w:line="204"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As of September 30, 2018 and December 31, 2017, broker-dealer subsidiaries of the Company are subject to the SEC Uniform Net Capital Rule 15c3-1, which requires the maintenance of minimum net capital of $1.0 million for each of the three broker-dealers. Pursuant to NYSE and NYSE MKT (formerly NYSE Amex) rules, VAL was also required to maintain $3.1 million and $4.1 million of capital in connection with the operation of its designated market maker (“DMM”) business as of September 30, 2018 and December 31, 2017, respectively. The required amount is determined under the exchange rules as the greater of $1 million or 15% of the market value of 60 trading units for each symbol in which the broker-dealer subsidiary is registered as the DMM. This DMM business was transferred from VFCM to VAL during the second quarter of 2018.</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regulatory capital and regulatory capital requirements of these subsidiaries as of September 30, 2018 were as follows:</w:t>
      </w:r>
    </w:p>
    <w:p>
      <w:pPr>
        <w:spacing w:after="0" w:line="14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12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Regulatory Capital</w:t>
            </w:r>
          </w:p>
        </w:tc>
        <w:tc>
          <w:tcPr>
            <w:tcW w:w="1660" w:type="dxa"/>
            <w:vAlign w:val="bottom"/>
          </w:tcPr>
          <w:p>
            <w:pPr>
              <w:jc w:val="center"/>
              <w:ind w:left="50"/>
              <w:spacing w:after="0"/>
              <w:rPr>
                <w:sz w:val="20"/>
                <w:szCs w:val="20"/>
                <w:color w:val="auto"/>
              </w:rPr>
            </w:pPr>
            <w:r>
              <w:rPr>
                <w:rFonts w:ascii="Arial" w:cs="Arial" w:eastAsia="Arial" w:hAnsi="Arial"/>
                <w:sz w:val="14"/>
                <w:szCs w:val="14"/>
                <w:b w:val="1"/>
                <w:bCs w:val="1"/>
                <w:color w:val="auto"/>
                <w:w w:val="92"/>
              </w:rPr>
              <w:t>Regulatory Capital</w:t>
            </w:r>
          </w:p>
        </w:tc>
        <w:tc>
          <w:tcPr>
            <w:tcW w:w="178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8"/>
              </w:rPr>
              <w:t>Excess Regulatory Capital</w:t>
            </w:r>
          </w:p>
        </w:tc>
        <w:tc>
          <w:tcPr>
            <w:tcW w:w="0" w:type="dxa"/>
            <w:vAlign w:val="bottom"/>
          </w:tcPr>
          <w:p>
            <w:pPr>
              <w:spacing w:after="0"/>
              <w:rPr>
                <w:sz w:val="1"/>
                <w:szCs w:val="1"/>
                <w:color w:val="auto"/>
              </w:rPr>
            </w:pPr>
          </w:p>
        </w:tc>
      </w:tr>
      <w:tr>
        <w:trPr>
          <w:trHeight w:val="183"/>
        </w:trPr>
        <w:tc>
          <w:tcPr>
            <w:tcW w:w="3500" w:type="dxa"/>
            <w:vAlign w:val="bottom"/>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1660" w:type="dxa"/>
            <w:vAlign w:val="bottom"/>
          </w:tcPr>
          <w:p>
            <w:pPr>
              <w:jc w:val="center"/>
              <w:ind w:left="50"/>
              <w:spacing w:after="0"/>
              <w:rPr>
                <w:sz w:val="20"/>
                <w:szCs w:val="20"/>
                <w:color w:val="auto"/>
              </w:rPr>
            </w:pPr>
            <w:r>
              <w:rPr>
                <w:rFonts w:ascii="Arial" w:cs="Arial" w:eastAsia="Arial" w:hAnsi="Arial"/>
                <w:sz w:val="14"/>
                <w:szCs w:val="14"/>
                <w:b w:val="1"/>
                <w:bCs w:val="1"/>
                <w:color w:val="auto"/>
                <w:w w:val="91"/>
              </w:rPr>
              <w:t>Requirement</w:t>
            </w: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337,534</w:t>
            </w:r>
          </w:p>
        </w:tc>
        <w:tc>
          <w:tcPr>
            <w:tcW w:w="1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4,086</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333,448</w:t>
            </w: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58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82,546</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81,546</w:t>
            </w: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9,020</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8,020</w:t>
            </w: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regulatory capital and regulatory capital requirements of these subsidiaries as of December 31, 2017 were as follows:</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6"/>
              </w:rPr>
              <w:t>Regulatory Capital</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Excess Regulatory Capital</w:t>
            </w:r>
          </w:p>
        </w:tc>
        <w:tc>
          <w:tcPr>
            <w:tcW w:w="0" w:type="dxa"/>
            <w:vAlign w:val="bottom"/>
          </w:tcPr>
          <w:p>
            <w:pPr>
              <w:spacing w:after="0"/>
              <w:rPr>
                <w:sz w:val="1"/>
                <w:szCs w:val="1"/>
                <w:color w:val="auto"/>
              </w:rPr>
            </w:pPr>
          </w:p>
        </w:tc>
      </w:tr>
      <w:tr>
        <w:trPr>
          <w:trHeight w:val="188"/>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379,875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378,875</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40,683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25"/>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39,683</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8,308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5,114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3,194</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Geographic Information and Business Segments</w:t>
      </w:r>
    </w:p>
    <w:p>
      <w:pPr>
        <w:spacing w:after="0" w:line="204" w:lineRule="exact"/>
        <w:rPr>
          <w:sz w:val="20"/>
          <w:szCs w:val="20"/>
          <w:color w:val="auto"/>
        </w:rPr>
      </w:pPr>
    </w:p>
    <w:p>
      <w:pPr>
        <w:ind w:right="40" w:firstLine="315"/>
        <w:spacing w:after="0" w:line="305" w:lineRule="auto"/>
        <w:rPr>
          <w:sz w:val="20"/>
          <w:szCs w:val="20"/>
          <w:color w:val="auto"/>
        </w:rPr>
      </w:pPr>
      <w:r>
        <w:rPr>
          <w:rFonts w:ascii="Arial" w:cs="Arial" w:eastAsia="Arial" w:hAnsi="Arial"/>
          <w:sz w:val="15"/>
          <w:szCs w:val="15"/>
          <w:color w:val="auto"/>
        </w:rPr>
        <w:t>The Company operates its business in the U.S. and internationally, primarily in Europe and Asia. Significant transactions and balances between geographic regions occur primarily as a result of certain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nine months ended September 30, 2018 and 2017</w:t>
      </w:r>
      <w:r>
        <w:rPr>
          <w:rFonts w:ascii="Arial" w:cs="Arial" w:eastAsia="Arial" w:hAnsi="Arial"/>
          <w:sz w:val="13"/>
          <w:szCs w:val="13"/>
          <w:color w:val="auto"/>
        </w:rPr>
        <w:t>:</w:t>
      </w:r>
    </w:p>
    <w:p>
      <w:pPr>
        <w:spacing w:after="0" w:line="158" w:lineRule="exact"/>
        <w:rPr>
          <w:sz w:val="20"/>
          <w:szCs w:val="20"/>
          <w:color w:val="auto"/>
        </w:rPr>
      </w:pPr>
    </w:p>
    <w:tbl>
      <w:tblPr>
        <w:tblLayout w:type="fixed"/>
        <w:tblInd w:w="60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5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61"/>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245,631</w:t>
            </w:r>
          </w:p>
        </w:tc>
        <w:tc>
          <w:tcPr>
            <w:tcW w:w="100" w:type="dxa"/>
            <w:vAlign w:val="bottom"/>
          </w:tcPr>
          <w:p>
            <w:pPr>
              <w:spacing w:after="0"/>
              <w:rPr>
                <w:sz w:val="22"/>
                <w:szCs w:val="22"/>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218,042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1,266,047</w:t>
            </w:r>
          </w:p>
        </w:tc>
        <w:tc>
          <w:tcPr>
            <w:tcW w:w="12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399,361</w:t>
            </w:r>
          </w:p>
        </w:tc>
      </w:tr>
      <w:tr>
        <w:trPr>
          <w:trHeight w:val="268"/>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Ireland</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21,938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17,874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60,563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79,129</w:t>
            </w: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United Kingdom</w:t>
            </w:r>
          </w:p>
        </w:tc>
        <w:tc>
          <w:tcPr>
            <w:tcW w:w="14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10,485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15,324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10,485</w:t>
            </w:r>
          </w:p>
        </w:tc>
      </w:tr>
      <w:tr>
        <w:trPr>
          <w:trHeight w:val="268"/>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Singapore</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26,921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22,601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95,757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72,210</w:t>
            </w:r>
          </w:p>
        </w:tc>
      </w:tr>
      <w:tr>
        <w:trPr>
          <w:trHeight w:val="257"/>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2,284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2,276</w:t>
            </w:r>
          </w:p>
        </w:tc>
      </w:tr>
      <w:tr>
        <w:trPr>
          <w:trHeight w:val="235"/>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295,123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271,286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1,438,303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563,461</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60" w:firstLine="315"/>
        <w:spacing w:after="0" w:line="274" w:lineRule="auto"/>
        <w:rPr>
          <w:sz w:val="20"/>
          <w:szCs w:val="20"/>
          <w:color w:val="auto"/>
        </w:rPr>
      </w:pPr>
      <w:r>
        <w:rPr>
          <w:rFonts w:ascii="Arial" w:cs="Arial" w:eastAsia="Arial" w:hAnsi="Arial"/>
          <w:sz w:val="17"/>
          <w:szCs w:val="17"/>
          <w:color w:val="auto"/>
        </w:rPr>
        <w:t>Prior to the Acquisition of KCG, the Company was managed and operated as one business, and, accordingly, operated under one reportable segment. As a result of the acquisition of KCG, beginning in the third quarter of 2017 the Company has three operating segments: (i) Market Making; (ii) Execution Services; and (iii) Corporate.</w:t>
      </w:r>
    </w:p>
    <w:p>
      <w:pPr>
        <w:spacing w:after="0" w:line="170" w:lineRule="exact"/>
        <w:rPr>
          <w:sz w:val="20"/>
          <w:szCs w:val="20"/>
          <w:color w:val="auto"/>
        </w:rPr>
      </w:pPr>
    </w:p>
    <w:p>
      <w:pPr>
        <w:ind w:right="260" w:firstLine="315"/>
        <w:spacing w:after="0" w:line="290" w:lineRule="auto"/>
        <w:rPr>
          <w:sz w:val="20"/>
          <w:szCs w:val="20"/>
          <w:color w:val="auto"/>
        </w:rPr>
      </w:pPr>
      <w:r>
        <w:rPr>
          <w:rFonts w:ascii="Arial" w:cs="Arial" w:eastAsia="Arial" w:hAnsi="Arial"/>
          <w:sz w:val="17"/>
          <w:szCs w:val="17"/>
          <w:color w:val="auto"/>
        </w:rPr>
        <w:t>The Market Making segment principally consists of market making in the cash, futures and options markets across global equities, options, fixed income, currencies and commodities. As a market maker, the Company commits capital on a principal</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20"/>
          </w:cols>
          <w:pgMar w:left="240" w:top="127" w:right="3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basis by offering to buy securities from, or sell securities to, broker dealers, banks and institutions. The Company engages in principal trading in the Market Making segment direct to clients as well as in a supplemental capacity on exchanges,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Bulletin Board marketplaces operated by the OTC Markets Group Inc. and the AIM.</w:t>
      </w:r>
    </w:p>
    <w:p>
      <w:pPr>
        <w:spacing w:after="0" w:line="181"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The Execution Services segment comprises agency-based trading and trading venues, offering execution services in global equities, options, futures and fixed income on behalf of institutions, banks and broker dealers as well as technology services revenues. The Company earns commissions and commission equivalents as an agent on behalf of clients as well as between principals to transactions; in addition, the Company will commit capital on behalf of clients as needed. Agency-based, execution-only trading in the segment is done primarily through a variety of access points including: (i) algorithmic trading and order routing in global equities and options; (ii) institutional sales traders executing program, block and riskless principal trades in global equities and ETFs; (iii) a fixed income ECN that also offers trading applications; and (iv) an ATS for U.S. equities. Technology licensing fees are earned from third parties for licensing of the Company’s proprietary risk management and trading infrastructure technology and the provision of associated management and hosting services.</w:t>
      </w:r>
    </w:p>
    <w:p>
      <w:pPr>
        <w:spacing w:after="0" w:line="167" w:lineRule="exact"/>
        <w:rPr>
          <w:sz w:val="20"/>
          <w:szCs w:val="20"/>
          <w:color w:val="auto"/>
        </w:rPr>
      </w:pPr>
    </w:p>
    <w:p>
      <w:pPr>
        <w:ind w:right="80" w:firstLine="315"/>
        <w:spacing w:after="0" w:line="290"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58"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September 30, 2018 and 2017 are summarized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Execution</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4"/>
                <w:szCs w:val="14"/>
                <w:color w:val="auto"/>
              </w:rPr>
            </w:pPr>
          </w:p>
        </w:tc>
        <w:tc>
          <w:tcPr>
            <w:tcW w:w="1060" w:type="dxa"/>
            <w:vAlign w:val="bottom"/>
          </w:tcPr>
          <w:p>
            <w:pPr>
              <w:jc w:val="right"/>
              <w:ind w:right="14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6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Making</w:t>
            </w: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264,370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34,206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295,123</w:t>
            </w:r>
          </w:p>
        </w:tc>
        <w:tc>
          <w:tcPr>
            <w:tcW w:w="0" w:type="dxa"/>
            <w:vAlign w:val="bottom"/>
          </w:tcPr>
          <w:p>
            <w:pPr>
              <w:spacing w:after="0"/>
              <w:rPr>
                <w:sz w:val="1"/>
                <w:szCs w:val="1"/>
                <w:color w:val="auto"/>
              </w:rPr>
            </w:pPr>
          </w:p>
        </w:tc>
      </w:tr>
      <w:tr>
        <w:trPr>
          <w:trHeight w:val="257"/>
        </w:trPr>
        <w:tc>
          <w:tcPr>
            <w:tcW w:w="6060" w:type="dxa"/>
            <w:vAlign w:val="bottom"/>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260" w:type="dxa"/>
            <w:vAlign w:val="bottom"/>
          </w:tcPr>
          <w:p>
            <w:pPr>
              <w:spacing w:after="0"/>
              <w:rPr>
                <w:sz w:val="22"/>
                <w:szCs w:val="22"/>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39,744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29,425</w:t>
            </w:r>
          </w:p>
        </w:tc>
        <w:tc>
          <w:tcPr>
            <w:tcW w:w="0" w:type="dxa"/>
            <w:vAlign w:val="bottom"/>
          </w:tcPr>
          <w:p>
            <w:pPr>
              <w:spacing w:after="0"/>
              <w:rPr>
                <w:sz w:val="1"/>
                <w:szCs w:val="1"/>
                <w:color w:val="auto"/>
              </w:rPr>
            </w:pPr>
          </w:p>
        </w:tc>
      </w:tr>
      <w:tr>
        <w:trPr>
          <w:trHeight w:val="281"/>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228,582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39,077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3,627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271,286</w:t>
            </w:r>
          </w:p>
        </w:tc>
        <w:tc>
          <w:tcPr>
            <w:tcW w:w="0" w:type="dxa"/>
            <w:vAlign w:val="bottom"/>
          </w:tcPr>
          <w:p>
            <w:pPr>
              <w:spacing w:after="0"/>
              <w:rPr>
                <w:sz w:val="1"/>
                <w:szCs w:val="1"/>
                <w:color w:val="auto"/>
              </w:rPr>
            </w:pPr>
          </w:p>
        </w:tc>
      </w:tr>
      <w:tr>
        <w:trPr>
          <w:trHeight w:val="252"/>
        </w:trPr>
        <w:tc>
          <w:tcPr>
            <w:tcW w:w="6060" w:type="dxa"/>
            <w:vAlign w:val="bottom"/>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(6,017)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(46,495)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250430" cy="125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250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(1) Amounts shown in the Corporate segment include eliminations of income statement and balance sheet items included in the Company's other segments.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Pre-tax earnings by segment for the nine months ended September 30, 2018 and 2017 are summarized in the following table: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Execution</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4"/>
                <w:szCs w:val="14"/>
                <w:color w:val="auto"/>
              </w:rPr>
            </w:pPr>
          </w:p>
        </w:tc>
        <w:tc>
          <w:tcPr>
            <w:tcW w:w="1060" w:type="dxa"/>
            <w:vAlign w:val="bottom"/>
          </w:tcPr>
          <w:p>
            <w:pPr>
              <w:jc w:val="right"/>
              <w:ind w:right="14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6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Making</w:t>
            </w: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984,601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458,759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1,438,303</w:t>
            </w:r>
          </w:p>
        </w:tc>
        <w:tc>
          <w:tcPr>
            <w:tcW w:w="0" w:type="dxa"/>
            <w:vAlign w:val="bottom"/>
          </w:tcPr>
          <w:p>
            <w:pPr>
              <w:spacing w:after="0"/>
              <w:rPr>
                <w:sz w:val="1"/>
                <w:szCs w:val="1"/>
                <w:color w:val="auto"/>
              </w:rPr>
            </w:pPr>
          </w:p>
        </w:tc>
      </w:tr>
      <w:tr>
        <w:trPr>
          <w:trHeight w:val="257"/>
        </w:trPr>
        <w:tc>
          <w:tcPr>
            <w:tcW w:w="6060" w:type="dxa"/>
            <w:vAlign w:val="bottom"/>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260" w:type="dxa"/>
            <w:vAlign w:val="bottom"/>
          </w:tcPr>
          <w:p>
            <w:pPr>
              <w:spacing w:after="0"/>
              <w:rPr>
                <w:sz w:val="22"/>
                <w:szCs w:val="22"/>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262,910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331,703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(47,028)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547,585</w:t>
            </w:r>
          </w:p>
        </w:tc>
        <w:tc>
          <w:tcPr>
            <w:tcW w:w="0" w:type="dxa"/>
            <w:vAlign w:val="bottom"/>
          </w:tcPr>
          <w:p>
            <w:pPr>
              <w:spacing w:after="0"/>
              <w:rPr>
                <w:sz w:val="1"/>
                <w:szCs w:val="1"/>
                <w:color w:val="auto"/>
              </w:rPr>
            </w:pPr>
          </w:p>
        </w:tc>
      </w:tr>
      <w:tr>
        <w:trPr>
          <w:trHeight w:val="281"/>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514,823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44,964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3,674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563,461</w:t>
            </w:r>
          </w:p>
        </w:tc>
        <w:tc>
          <w:tcPr>
            <w:tcW w:w="0" w:type="dxa"/>
            <w:vAlign w:val="bottom"/>
          </w:tcPr>
          <w:p>
            <w:pPr>
              <w:spacing w:after="0"/>
              <w:rPr>
                <w:sz w:val="1"/>
                <w:szCs w:val="1"/>
                <w:color w:val="auto"/>
              </w:rPr>
            </w:pPr>
          </w:p>
        </w:tc>
      </w:tr>
      <w:tr>
        <w:trPr>
          <w:trHeight w:val="252"/>
        </w:trPr>
        <w:tc>
          <w:tcPr>
            <w:tcW w:w="6060" w:type="dxa"/>
            <w:vAlign w:val="bottom"/>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tcPr>
          <w:p>
            <w:pPr>
              <w:spacing w:after="0"/>
              <w:rPr>
                <w:sz w:val="21"/>
                <w:szCs w:val="21"/>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17,241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(4,913)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250430" cy="125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1250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(1) Amounts shown in the Corporate segment include eliminations of income statement and balance sheet items included in the Company's other segments.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Related Party Transactions</w:t>
      </w:r>
    </w:p>
    <w:p>
      <w:pPr>
        <w:spacing w:after="0" w:line="204"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7"/>
          <w:szCs w:val="17"/>
          <w:color w:val="auto"/>
        </w:rPr>
        <w:t>The Company incurs expenses and maintains balances with its affiliates in the ordinary course of business. As of September 30, 2018, and December 31, 2017 the Company had a payable of $3.7 million and a receivable of $0.1 million to its affiliates,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firstLine="315"/>
        <w:spacing w:after="0" w:line="274" w:lineRule="auto"/>
        <w:rPr>
          <w:sz w:val="20"/>
          <w:szCs w:val="20"/>
          <w:color w:val="auto"/>
        </w:rPr>
      </w:pPr>
      <w:r>
        <w:rPr>
          <w:rFonts w:ascii="Arial" w:cs="Arial" w:eastAsia="Arial" w:hAnsi="Arial"/>
          <w:sz w:val="17"/>
          <w:szCs w:val="17"/>
          <w:color w:val="auto"/>
        </w:rPr>
        <w:t>The Company conducts securities lending transactions with Industrial and Commercial Bank of China (“ICBC”), which is partially owned by Temasek and its affiliates. As of September 30, 2018, the Company had a securities loaned contract of $0.4 million with ICBC. The Company had a securities borrowed contract of $23.1 million and a securities loaned contract of $1.1 million outstanding with ICBC as of December 31, 2017.</w:t>
      </w:r>
    </w:p>
    <w:p>
      <w:pPr>
        <w:spacing w:after="0" w:line="170" w:lineRule="exact"/>
        <w:rPr>
          <w:sz w:val="20"/>
          <w:szCs w:val="20"/>
          <w:color w:val="auto"/>
        </w:rPr>
      </w:pPr>
    </w:p>
    <w:p>
      <w:pPr>
        <w:jc w:val="both"/>
        <w:ind w:right="160" w:firstLine="315"/>
        <w:spacing w:after="0" w:line="274" w:lineRule="auto"/>
        <w:rPr>
          <w:sz w:val="20"/>
          <w:szCs w:val="20"/>
          <w:color w:val="auto"/>
        </w:rPr>
      </w:pPr>
      <w:r>
        <w:rPr>
          <w:rFonts w:ascii="Arial" w:cs="Arial" w:eastAsia="Arial" w:hAnsi="Arial"/>
          <w:sz w:val="17"/>
          <w:szCs w:val="17"/>
          <w:color w:val="auto"/>
        </w:rPr>
        <w:t>The Company purchases network connections services from affiliates of Level 3 Communications (“Level 3”). Temasek and its affiliates have a significant ownership interest in Level 3. The Company paid $0.4 million and $0.5 million for the three months ended September 30, 2018 and 2017, respectively, and $1.9 million and $1.6 million for the nine months ended September 30, 2018 and 2017, respectively, to Level 3 for these services.</w:t>
      </w:r>
    </w:p>
    <w:p>
      <w:pPr>
        <w:spacing w:after="0" w:line="131" w:lineRule="exact"/>
        <w:rPr>
          <w:sz w:val="20"/>
          <w:szCs w:val="20"/>
          <w:color w:val="auto"/>
        </w:rPr>
      </w:pPr>
    </w:p>
    <w:p>
      <w:pPr>
        <w:jc w:val="both"/>
        <w:ind w:right="160" w:firstLine="315"/>
        <w:spacing w:after="0" w:line="274" w:lineRule="auto"/>
        <w:rPr>
          <w:sz w:val="20"/>
          <w:szCs w:val="20"/>
          <w:color w:val="auto"/>
        </w:rPr>
      </w:pPr>
      <w:r>
        <w:rPr>
          <w:rFonts w:ascii="Arial" w:cs="Arial" w:eastAsia="Arial" w:hAnsi="Arial"/>
          <w:sz w:val="17"/>
          <w:szCs w:val="17"/>
          <w:color w:val="auto"/>
        </w:rPr>
        <w:t>The Company purchases and leases computer equipment and maintenance and support from affiliates of Dell Inc. (“Dell”). Temasek and its affiliates have a significant ownership interest in Dell. The Company paid $0.5 million for the three months ended September 30, 2017, and $0.8 million and $1.9 million for the nine months ended September 30, 2018 and 2017, respectively, to Dell for these purchases and leases.</w:t>
      </w:r>
    </w:p>
    <w:p>
      <w:pPr>
        <w:spacing w:after="0" w:line="170" w:lineRule="exact"/>
        <w:rPr>
          <w:sz w:val="20"/>
          <w:szCs w:val="20"/>
          <w:color w:val="auto"/>
        </w:rPr>
      </w:pPr>
    </w:p>
    <w:p>
      <w:pPr>
        <w:ind w:right="100" w:firstLine="315"/>
        <w:spacing w:after="0" w:line="298" w:lineRule="auto"/>
        <w:rPr>
          <w:sz w:val="20"/>
          <w:szCs w:val="20"/>
          <w:color w:val="auto"/>
        </w:rPr>
      </w:pPr>
      <w:r>
        <w:rPr>
          <w:rFonts w:ascii="Arial" w:cs="Arial" w:eastAsia="Arial" w:hAnsi="Arial"/>
          <w:sz w:val="16"/>
          <w:szCs w:val="16"/>
          <w:color w:val="auto"/>
        </w:rPr>
        <w:t>The Company purchases market data and software licenses from affiliates of Markit Group Holdings Limited (“MarkIt”). Temasek and its affiliates have a significant ownership interest in MarkIt. For the three and nine months ended September 30, 2018, the amounts paid to MarkIt for these services were immaterial and $0.4 million, respectively. The amount paid to MarkIt was immaterial for the three and nine months ended September 30, 2017.</w:t>
      </w:r>
    </w:p>
    <w:p>
      <w:pPr>
        <w:spacing w:after="0" w:line="155" w:lineRule="exact"/>
        <w:rPr>
          <w:sz w:val="20"/>
          <w:szCs w:val="20"/>
          <w:color w:val="auto"/>
        </w:rPr>
      </w:pPr>
    </w:p>
    <w:p>
      <w:pPr>
        <w:ind w:firstLine="315"/>
        <w:spacing w:after="0" w:line="326" w:lineRule="auto"/>
        <w:rPr>
          <w:sz w:val="20"/>
          <w:szCs w:val="20"/>
          <w:color w:val="auto"/>
        </w:rPr>
      </w:pPr>
      <w:r>
        <w:rPr>
          <w:rFonts w:ascii="Arial" w:cs="Arial" w:eastAsia="Arial" w:hAnsi="Arial"/>
          <w:sz w:val="15"/>
          <w:szCs w:val="15"/>
          <w:color w:val="auto"/>
        </w:rPr>
        <w:t>The Company has held a minority interest in SBI since 2016 (See Note 11 "Financial Assets and Liabilities"). The Company pays exchange fees to SBI for the trading activities conducted on its proprietary trading system. The Company paid $1.5 million and $1.4 million for the three months ended September 30, 2018 and 2017, respectively, and $6.2 million and $4.1 million for the nine months ended September 30, 2018 and 2017, respectively, to SBI for these trading activities.</w:t>
      </w:r>
    </w:p>
    <w:p>
      <w:pPr>
        <w:spacing w:after="0" w:line="137" w:lineRule="exact"/>
        <w:rPr>
          <w:sz w:val="20"/>
          <w:szCs w:val="20"/>
          <w:color w:val="auto"/>
        </w:rPr>
      </w:pPr>
    </w:p>
    <w:p>
      <w:pPr>
        <w:ind w:firstLine="315"/>
        <w:spacing w:after="0" w:line="290" w:lineRule="auto"/>
        <w:rPr>
          <w:sz w:val="20"/>
          <w:szCs w:val="20"/>
          <w:color w:val="auto"/>
        </w:rPr>
      </w:pPr>
      <w:r>
        <w:rPr>
          <w:rFonts w:ascii="Arial" w:cs="Arial" w:eastAsia="Arial" w:hAnsi="Arial"/>
          <w:sz w:val="16"/>
          <w:szCs w:val="16"/>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condensed consolidated statements of comprehensive income. The Company made payments of $3.0 million and $0.2 million to the JVs for the three months ended September 30, 2018 and 2017, respectively, and $13.1 million and $0.4 million for the nine months ended September 30, 2018 and 2017,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Subsequent Events</w:t>
      </w:r>
    </w:p>
    <w:p>
      <w:pPr>
        <w:spacing w:after="0" w:line="204" w:lineRule="exact"/>
        <w:rPr>
          <w:sz w:val="20"/>
          <w:szCs w:val="20"/>
          <w:color w:val="auto"/>
        </w:rPr>
      </w:pPr>
    </w:p>
    <w:p>
      <w:pPr>
        <w:ind w:right="400" w:firstLine="315"/>
        <w:spacing w:after="0" w:line="274" w:lineRule="auto"/>
        <w:rPr>
          <w:sz w:val="20"/>
          <w:szCs w:val="20"/>
          <w:color w:val="auto"/>
        </w:rPr>
      </w:pPr>
      <w:r>
        <w:rPr>
          <w:rFonts w:ascii="Arial" w:cs="Arial" w:eastAsia="Arial" w:hAnsi="Arial"/>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70" w:lineRule="exact"/>
        <w:rPr>
          <w:sz w:val="20"/>
          <w:szCs w:val="20"/>
          <w:color w:val="auto"/>
        </w:rPr>
      </w:pPr>
    </w:p>
    <w:p>
      <w:pPr>
        <w:ind w:firstLine="315"/>
        <w:spacing w:after="0" w:line="290" w:lineRule="auto"/>
        <w:rPr>
          <w:sz w:val="20"/>
          <w:szCs w:val="20"/>
          <w:color w:val="auto"/>
        </w:rPr>
      </w:pPr>
      <w:r>
        <w:rPr>
          <w:rFonts w:ascii="Arial" w:cs="Arial" w:eastAsia="Arial" w:hAnsi="Arial"/>
          <w:sz w:val="17"/>
          <w:szCs w:val="17"/>
          <w:color w:val="auto"/>
        </w:rPr>
        <w:t>On November 6, 2018, the Company’s board of directors declared a dividend of $0.24 per share of Class A common stock and Class B common stock and per Restricted Stock Unit that will be paid on December 14, 2018 to holders of record as of November 30, 2018.</w:t>
      </w:r>
    </w:p>
    <w:p>
      <w:pPr>
        <w:spacing w:after="0" w:line="158" w:lineRule="exact"/>
        <w:rPr>
          <w:sz w:val="20"/>
          <w:szCs w:val="20"/>
          <w:color w:val="auto"/>
        </w:rPr>
      </w:pPr>
    </w:p>
    <w:p>
      <w:pPr>
        <w:ind w:right="20" w:firstLine="315"/>
        <w:spacing w:after="0" w:line="283" w:lineRule="auto"/>
        <w:rPr>
          <w:sz w:val="20"/>
          <w:szCs w:val="20"/>
          <w:color w:val="auto"/>
        </w:rPr>
      </w:pPr>
      <w:r>
        <w:rPr>
          <w:rFonts w:ascii="Arial" w:cs="Arial" w:eastAsia="Arial" w:hAnsi="Arial"/>
          <w:sz w:val="16"/>
          <w:szCs w:val="16"/>
          <w:color w:val="auto"/>
        </w:rPr>
        <w:t>On November 6, 2018, the Company and Investment Technology Group, Inc. ("ITG") entered into a definitive agreement (the “ITG Merger Agreement”) whereby the Company will acquire ITG in a cash transaction valued at $30.30 per ITG share, or a total of approximately $1.0 billion (the “ITG Acquisition”). The ITG Acquisition is expected to close during the first half of 2019 after receipt of all required regulatory approvals and ITG shareholder approval. The Company intends to finance the ITG Acquisition solely with debt financing (collectively with the ITG Acquisition and related transactions, the “ITG Transactions”) and has entered into a debt commitment letter with Jefferies Finance LLC and Royal Bank of Canada for gross new borrowings of $1.5 billion, the proceeds of which will be used to pay the merger consideration and related fees and to refinance the Company’s existing first lien term loan.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127"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The following management’s discussion and analysis covers the three and nine months ended September 30, 2018 and 2017 and should be read in conjunction with the condensed consolidated financial statements of Virtu Financial, Inc. (the "Company") for the three and nine months ended September 30, 2018 and 2017.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91" w:lineRule="exact"/>
        <w:rPr>
          <w:sz w:val="20"/>
          <w:szCs w:val="20"/>
          <w:color w:val="auto"/>
        </w:rPr>
      </w:pPr>
    </w:p>
    <w:p>
      <w:pPr>
        <w:ind w:firstLine="315"/>
        <w:spacing w:after="0" w:line="277"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this quarterly report on Form 10-Q or in Part I “Item 1A. Risk factors” in our 2017 Form 10-K as filed with the Securities and Exchange Commission (“SEC”) on March 13, 2018, could affect our actual financial results or results of operations and cash flows, and could cause actual results to differ materially from those in such forward-looking statements, including but not limited to:</w:t>
      </w:r>
    </w:p>
    <w:p>
      <w:pPr>
        <w:spacing w:after="0" w:line="133" w:lineRule="exact"/>
        <w:rPr>
          <w:sz w:val="20"/>
          <w:szCs w:val="20"/>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levels of overall trading activity;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competition in market making activities and execution services;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self</w:t>
      </w:r>
      <w:r>
        <w:rPr>
          <w:rFonts w:ascii="MS PGothic" w:cs="MS PGothic" w:eastAsia="MS PGothic" w:hAnsi="MS PGothic"/>
          <w:sz w:val="17"/>
          <w:szCs w:val="17"/>
          <w:color w:val="auto"/>
        </w:rPr>
        <w:t>‑</w:t>
      </w:r>
      <w:r>
        <w:rPr>
          <w:rFonts w:ascii="Arial" w:cs="Arial" w:eastAsia="Arial" w:hAnsi="Arial"/>
          <w:sz w:val="17"/>
          <w:szCs w:val="17"/>
          <w:color w:val="auto"/>
        </w:rPr>
        <w:t>clearing and other operational elements of our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compliance with laws and regulations, including those specific to our industry;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obligations to comply with applicable regulatory capital requirements;</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litigation or other legal and regulatory</w:t>
      </w:r>
      <w:r>
        <w:rPr>
          <w:rFonts w:ascii="MS PGothic" w:cs="MS PGothic" w:eastAsia="MS PGothic" w:hAnsi="MS PGothic"/>
          <w:sz w:val="17"/>
          <w:szCs w:val="17"/>
          <w:color w:val="auto"/>
        </w:rPr>
        <w:t>‑</w:t>
      </w:r>
      <w:r>
        <w:rPr>
          <w:rFonts w:ascii="Arial" w:cs="Arial" w:eastAsia="Arial" w:hAnsi="Arial"/>
          <w:sz w:val="17"/>
          <w:szCs w:val="17"/>
          <w:color w:val="auto"/>
        </w:rPr>
        <w:t>based liabilities;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obligations to comply with laws and regulations applicable to our international operations;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enhanced media and regulatory scrutiny and its impact upon public perception of us or of companies in our industry;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to maintain system security or otherwise maintain confidential and proprietary information;</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effect of the Acquisition of KCG on existing business relationships, operating results, and ongoing business operations generally;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127"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960" w:right="220" w:hanging="168"/>
        <w:spacing w:after="0" w:line="290"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significant costs and significant indebtedness that we incurred in connection with the Acquisition of KCG, and the integration of KCG into our business;</w:t>
      </w:r>
    </w:p>
    <w:p>
      <w:pPr>
        <w:spacing w:after="0" w:line="52" w:lineRule="exact"/>
        <w:rPr>
          <w:rFonts w:ascii="Arial" w:cs="Arial" w:eastAsia="Arial" w:hAnsi="Arial"/>
          <w:sz w:val="17"/>
          <w:szCs w:val="17"/>
          <w:color w:val="auto"/>
        </w:rPr>
      </w:pPr>
    </w:p>
    <w:p>
      <w:pPr>
        <w:ind w:left="960" w:right="440" w:hanging="168"/>
        <w:spacing w:after="0" w:line="290"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risk that we may encounter significant difficulties or delays in integrating the KCG business with ours and that the anticipated benefits, cost savings and synergies or capital release may not be achieved;</w:t>
      </w:r>
    </w:p>
    <w:p>
      <w:pPr>
        <w:spacing w:after="0" w:line="52"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assumption of potential liabilities relating to KCG’s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timely completion, or completion at all, of the ITG Transactions;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 of the Acquisition of ITG on existing business relationships, operating results, and ongoing business operations generally,</w:t>
      </w:r>
    </w:p>
    <w:p>
      <w:pPr>
        <w:spacing w:after="0" w:line="119" w:lineRule="exact"/>
        <w:rPr>
          <w:rFonts w:ascii="Arial" w:cs="Arial" w:eastAsia="Arial" w:hAnsi="Arial"/>
          <w:sz w:val="17"/>
          <w:szCs w:val="17"/>
          <w:color w:val="auto"/>
        </w:rPr>
      </w:pPr>
    </w:p>
    <w:p>
      <w:pPr>
        <w:ind w:left="960" w:right="220" w:hanging="168"/>
        <w:spacing w:after="0" w:line="290"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significant costs and significant indebtedness that we intend to incur in connection with the Acquisition of ITG, and the integration of ITG into our business;</w:t>
      </w:r>
    </w:p>
    <w:p>
      <w:pPr>
        <w:spacing w:after="0" w:line="52" w:lineRule="exact"/>
        <w:rPr>
          <w:rFonts w:ascii="Arial" w:cs="Arial" w:eastAsia="Arial" w:hAnsi="Arial"/>
          <w:sz w:val="17"/>
          <w:szCs w:val="17"/>
          <w:color w:val="auto"/>
        </w:rPr>
      </w:pPr>
    </w:p>
    <w:p>
      <w:pPr>
        <w:ind w:left="960" w:right="520" w:hanging="168"/>
        <w:spacing w:after="0" w:line="290"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risk that we may encounter significant difficulties or delays in integrating the ITG business with ours and that the anticipated benefits, cost savings and synergies or capital release may not be achieved;</w:t>
      </w:r>
    </w:p>
    <w:p>
      <w:pPr>
        <w:spacing w:after="0" w:line="52"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assumption of potential liabilities and risks relating to ITG's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dependence on third party infrastructure or systems;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19" w:lineRule="exact"/>
        <w:rPr>
          <w:rFonts w:ascii="Arial" w:cs="Arial" w:eastAsia="Arial" w:hAnsi="Arial"/>
          <w:sz w:val="17"/>
          <w:szCs w:val="17"/>
          <w:color w:val="auto"/>
        </w:rPr>
      </w:pPr>
    </w:p>
    <w:p>
      <w:pPr>
        <w:ind w:left="960" w:hanging="168"/>
        <w:spacing w:after="0" w:line="274"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and political conditions (such as military actions and terrorist activities);</w:t>
      </w:r>
    </w:p>
    <w:p>
      <w:pPr>
        <w:spacing w:after="0" w:line="65"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inability to access, or delay in accessing the capital markets to sell shares or raise additional capital;</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329" w:lineRule="exact"/>
        <w:rPr>
          <w:sz w:val="20"/>
          <w:szCs w:val="20"/>
          <w:color w:val="auto"/>
        </w:rPr>
      </w:pPr>
    </w:p>
    <w:p>
      <w:pPr>
        <w:ind w:right="80" w:firstLine="315"/>
        <w:spacing w:after="0" w:line="290" w:lineRule="auto"/>
        <w:rPr>
          <w:sz w:val="20"/>
          <w:szCs w:val="20"/>
          <w:color w:val="auto"/>
        </w:rPr>
      </w:pPr>
      <w:r>
        <w:rPr>
          <w:rFonts w:ascii="Arial" w:cs="Arial" w:eastAsia="Arial" w:hAnsi="Arial"/>
          <w:sz w:val="16"/>
          <w:szCs w:val="16"/>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Preparation</w:t>
      </w:r>
    </w:p>
    <w:p>
      <w:pPr>
        <w:spacing w:after="0" w:line="230" w:lineRule="exact"/>
        <w:rPr>
          <w:sz w:val="20"/>
          <w:szCs w:val="20"/>
          <w:color w:val="auto"/>
        </w:rPr>
      </w:pPr>
    </w:p>
    <w:p>
      <w:pPr>
        <w:ind w:right="20" w:firstLine="315"/>
        <w:spacing w:after="0" w:line="261" w:lineRule="auto"/>
        <w:rPr>
          <w:sz w:val="20"/>
          <w:szCs w:val="20"/>
          <w:color w:val="auto"/>
        </w:rPr>
      </w:pPr>
      <w:r>
        <w:rPr>
          <w:rFonts w:ascii="Arial" w:cs="Arial" w:eastAsia="Arial" w:hAnsi="Arial"/>
          <w:sz w:val="17"/>
          <w:szCs w:val="17"/>
          <w:color w:val="auto"/>
        </w:rPr>
        <w:t>Our condensed consolidated financial statements for the three and nine months ended September 30, 2018 reflect our operations and those of our consolidated subsidiaries. As discussed in Note 1 "Organization and Basis of Presentation" and in Note 3 “Acquisition of KCG Holdings Inc.” of Part I Item 1 “Condensed Consolidated Financial Statements (Unaudited)” of this quarterly report on Form 10-Q, we have accounted for the acquisition of KCG Holdings, Inc. ("Acquisition of KCG") under the acquisition method of accounting. Under the acquisition method of accounting, the assets and liabilities of KCG, as of July 20, 2017 (the "Closing Date"), were recorded at their respective fair values and added to the carrying values of our existing assets and liabilities. Our reported financial condition, results of operations and cash flows for the periods following the Acquisition of KCG reflect KCG's and our balances and reflect the impact of purchase accounting adjustments, including revised amortization and depreciation expense for acquired assets. As we are the accounting acquirer, the financial results for the three and nine months ended September 30, 2018 comprise our results and the results of KCG for the three and nine months ended September 30, 2018. All periods prior to the Closing Date comprise solely our results.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27"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20" w:firstLine="315"/>
        <w:spacing w:after="0" w:line="268" w:lineRule="auto"/>
        <w:rPr>
          <w:sz w:val="20"/>
          <w:szCs w:val="20"/>
          <w:color w:val="auto"/>
        </w:rPr>
      </w:pPr>
      <w:r>
        <w:rPr>
          <w:rFonts w:ascii="Arial" w:cs="Arial" w:eastAsia="Arial" w:hAnsi="Arial"/>
          <w:sz w:val="17"/>
          <w:szCs w:val="17"/>
          <w:color w:val="auto"/>
        </w:rPr>
        <w:t>We are a leading financial services firm that leverages cutting edge technology to deliver liquidity to the global markets and innovative, transparent trading solutions to our clients. We believe that our broad diversification, in combination with our proprietary technology platform and low-cost structure, enables us to facilitate risk transfer between global capital markets participants by supplying competitive liquidity and execution services while at the same time earning attractive margins and returns.</w:t>
      </w:r>
    </w:p>
    <w:p>
      <w:pPr>
        <w:spacing w:after="0" w:line="177" w:lineRule="exact"/>
        <w:rPr>
          <w:sz w:val="20"/>
          <w:szCs w:val="20"/>
          <w:color w:val="auto"/>
        </w:rPr>
      </w:pPr>
    </w:p>
    <w:p>
      <w:pPr>
        <w:ind w:right="180" w:firstLine="315"/>
        <w:spacing w:after="0" w:line="286" w:lineRule="auto"/>
        <w:rPr>
          <w:sz w:val="20"/>
          <w:szCs w:val="20"/>
          <w:color w:val="auto"/>
        </w:rPr>
      </w:pPr>
      <w:r>
        <w:rPr>
          <w:rFonts w:ascii="Arial" w:cs="Arial" w:eastAsia="Arial" w:hAnsi="Arial"/>
          <w:sz w:val="16"/>
          <w:szCs w:val="16"/>
          <w:color w:val="auto"/>
        </w:rPr>
        <w:t>Technology and operational efficiency are at the core of our business, and our focus on market making technology is a key element of our success. We have developed a proprietary, multi-asset, multi-currency technology platform that is highly reliable, scalable and modular, and we integrate directly with exchanges and other liquidity centers. Our market data, order routing, transaction processing, risk management and market surveillance technology modules manage our market making activities in an efficient manner and enable us to scale our market making activities globally and across additional securities and other financial instruments and asset classes without significant incremental costs or third party licensing or processing fees.</w:t>
      </w:r>
    </w:p>
    <w:p>
      <w:pPr>
        <w:spacing w:after="0" w:line="164" w:lineRule="exact"/>
        <w:rPr>
          <w:sz w:val="20"/>
          <w:szCs w:val="20"/>
          <w:color w:val="auto"/>
        </w:rPr>
      </w:pPr>
    </w:p>
    <w:p>
      <w:pPr>
        <w:ind w:right="260" w:firstLine="315"/>
        <w:spacing w:after="0" w:line="298" w:lineRule="auto"/>
        <w:rPr>
          <w:sz w:val="20"/>
          <w:szCs w:val="20"/>
          <w:color w:val="auto"/>
        </w:rPr>
      </w:pPr>
      <w:r>
        <w:rPr>
          <w:rFonts w:ascii="Arial" w:cs="Arial" w:eastAsia="Arial" w:hAnsi="Arial"/>
          <w:sz w:val="16"/>
          <w:szCs w:val="16"/>
          <w:color w:val="auto"/>
        </w:rPr>
        <w:t>We believe that technology-enabled market makers like Virtu serve an important role in maintaining and improving the overall health and efficiency of the global capital markets by continuously posting bids and offers for financial instruments and thereby providing market participants a transparent and efficient means to transfer risk. All market participants benefit from the increased liquidity, lower overall trading costs and execution certainty that Virtu provides.</w:t>
      </w:r>
    </w:p>
    <w:p>
      <w:pPr>
        <w:spacing w:after="0" w:line="155" w:lineRule="exact"/>
        <w:rPr>
          <w:sz w:val="20"/>
          <w:szCs w:val="20"/>
          <w:color w:val="auto"/>
        </w:rPr>
      </w:pPr>
    </w:p>
    <w:p>
      <w:pPr>
        <w:ind w:right="200" w:firstLine="315"/>
        <w:spacing w:after="0" w:line="265" w:lineRule="auto"/>
        <w:rPr>
          <w:sz w:val="20"/>
          <w:szCs w:val="20"/>
          <w:color w:val="auto"/>
        </w:rPr>
      </w:pPr>
      <w:r>
        <w:rPr>
          <w:rFonts w:ascii="Arial" w:cs="Arial" w:eastAsia="Arial" w:hAnsi="Arial"/>
          <w:sz w:val="17"/>
          <w:szCs w:val="17"/>
          <w:color w:val="auto"/>
        </w:rPr>
        <w:t>As described in “Acquisition of KCG” below, on the Closing Date, we completed the Acquisition of KCG. KCG was a leading independent securities firm offering clients a range of services designed to address trading needs across asset classes, product types and geographies. KCG combined advanced technology with specialized client service across market making, agency execution and trading venues and also engaged in principal trading via exchange-based electronic market making. KCG offered multiple access points to trade global equities, options, futures, fixed income, currencies and commodities available via voice or electronically.</w:t>
      </w:r>
    </w:p>
    <w:p>
      <w:pPr>
        <w:spacing w:after="0" w:line="181" w:lineRule="exact"/>
        <w:rPr>
          <w:sz w:val="20"/>
          <w:szCs w:val="20"/>
          <w:color w:val="auto"/>
        </w:rPr>
      </w:pPr>
    </w:p>
    <w:p>
      <w:pPr>
        <w:jc w:val="both"/>
        <w:ind w:right="100" w:firstLine="315"/>
        <w:spacing w:after="0" w:line="274" w:lineRule="auto"/>
        <w:rPr>
          <w:sz w:val="20"/>
          <w:szCs w:val="20"/>
          <w:color w:val="auto"/>
        </w:rPr>
      </w:pPr>
      <w:r>
        <w:rPr>
          <w:rFonts w:ascii="Arial" w:cs="Arial" w:eastAsia="Arial" w:hAnsi="Arial"/>
          <w:sz w:val="17"/>
          <w:szCs w:val="17"/>
          <w:color w:val="auto"/>
        </w:rPr>
        <w:t>Prior to the Acquisition of KCG, Virtu operated as a single operating business segment. As a result of the Acquisition of KCG, beginning in the third quarter of 2017, Virtu has three operating segments: Market Making, Execution Services, and Corporate. Our management allocates resources, assesses performance and manages our business according to these segments.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Making</w:t>
      </w:r>
    </w:p>
    <w:p>
      <w:pPr>
        <w:spacing w:after="0" w:line="224"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color w:val="auto"/>
        </w:rPr>
        <w:t>We provide competitive and deep liquidity that helps to create more efficient markets around the world. We stand ready, at any time, to buy or sell a broad range of securities, and we generate revenue by buying and selling large volumes of securities and other financial instruments and earning small bid/ask spreads. Our market structure expertise, broad diversification, and execution technology enables us to provide competitive bids and offers in over 25,000 securities, at over 235 venues, in 36 countries worldwide.</w:t>
      </w:r>
    </w:p>
    <w:p>
      <w:pPr>
        <w:spacing w:after="0" w:line="177"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businesses. Increases in market volatility can cause bid/ask spreads to widen as market participants are more willing to pay market makers like us to transact immediately and as a result market makers' capture rate per notional amount transacted will increase.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Execution Services</w:t>
      </w:r>
    </w:p>
    <w:p>
      <w:pPr>
        <w:spacing w:after="0" w:line="224"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We offer agency execution services and trading venues that provide transparent trading in global equities, ETFs, futures and fixed income to institutions, banks and broker dealers. We generally earn commissions as an agent between principals for transactions. Agency based, execution-only trading in the segment is done primarily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orders in Virtu MatchIt (our ATS for U.S. equities). We also earn technology services revenues by providing our proprietary technology and infrastructure to select third parties for a service fee.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224" w:lineRule="exact"/>
        <w:rPr>
          <w:sz w:val="20"/>
          <w:szCs w:val="20"/>
          <w:color w:val="auto"/>
        </w:rPr>
      </w:pPr>
    </w:p>
    <w:p>
      <w:pPr>
        <w:ind w:right="80" w:firstLine="315"/>
        <w:spacing w:after="0" w:line="290" w:lineRule="auto"/>
        <w:rPr>
          <w:sz w:val="20"/>
          <w:szCs w:val="20"/>
          <w:color w:val="auto"/>
        </w:rPr>
      </w:pPr>
      <w:r>
        <w:rPr>
          <w:rFonts w:ascii="Arial" w:cs="Arial" w:eastAsia="Arial" w:hAnsi="Arial"/>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KCG</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127"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140" w:firstLine="315"/>
        <w:spacing w:after="0" w:line="274" w:lineRule="auto"/>
        <w:rPr>
          <w:sz w:val="20"/>
          <w:szCs w:val="20"/>
          <w:color w:val="auto"/>
        </w:rPr>
      </w:pPr>
      <w:r>
        <w:rPr>
          <w:rFonts w:ascii="Arial" w:cs="Arial" w:eastAsia="Arial" w:hAnsi="Arial"/>
          <w:sz w:val="17"/>
          <w:szCs w:val="17"/>
          <w:color w:val="auto"/>
        </w:rPr>
        <w:t>On the Closing Date, pursuant to the terms of the Agreement and Plan of Merger, dated as of April 20, 2017 (the “Merger Agreement”), by and among the Company, Orchestra Merger Sub, Inc., a Delaware corporation and an indirect wholly-owned subsidiary of the Company (“Merger Sub”), and KCG, Merger Sub merged with and into KCG (the “Merger”), with KCG surviving the Merger as a wholly owned subsidiary of the Company.</w:t>
      </w:r>
    </w:p>
    <w:p>
      <w:pPr>
        <w:spacing w:after="0" w:line="170" w:lineRule="exact"/>
        <w:rPr>
          <w:sz w:val="20"/>
          <w:szCs w:val="20"/>
          <w:color w:val="auto"/>
        </w:rPr>
      </w:pPr>
    </w:p>
    <w:p>
      <w:pPr>
        <w:ind w:right="80" w:firstLine="315"/>
        <w:spacing w:after="0" w:line="264" w:lineRule="auto"/>
        <w:rPr>
          <w:sz w:val="20"/>
          <w:szCs w:val="20"/>
          <w:color w:val="auto"/>
        </w:rPr>
      </w:pPr>
      <w:r>
        <w:rPr>
          <w:rFonts w:ascii="Arial" w:cs="Arial" w:eastAsia="Arial" w:hAnsi="Arial"/>
          <w:sz w:val="17"/>
          <w:szCs w:val="17"/>
          <w:color w:val="auto"/>
        </w:rPr>
        <w:t>In connection with the financing of the Acquisition of KCG, on the Closing Date, the Company issued to (i) Aranda Investments Pte. Ltd. (“Aranda”), an affiliate of Temasek Holding (Private) Limited ("Temasek"), 6,346,155 shares of the Company’s Class A common stock, par value $0.00001 per share (the "Class A Common Stock") for an aggregate purchase price of approximately $99.0 million and (ii) North Island Holdings I, LP (“NIH”) 39,725,979 shares of Class A Common Stock for an aggregate purchase price of approximately $613.5 million. On August 10, 2017, the Company issued additional 1,666,666 shares and 338,124 shares of Class A Common Stock to Aranda and NIH respectively, for an aggregate additional purchase price of approximately $26.0 million and $5.2 million, respectively.</w:t>
      </w:r>
    </w:p>
    <w:p>
      <w:pPr>
        <w:spacing w:after="0" w:line="180" w:lineRule="exact"/>
        <w:rPr>
          <w:sz w:val="20"/>
          <w:szCs w:val="20"/>
          <w:color w:val="auto"/>
        </w:rPr>
      </w:pPr>
    </w:p>
    <w:p>
      <w:pPr>
        <w:ind w:right="160" w:firstLine="315"/>
        <w:spacing w:after="0" w:line="290" w:lineRule="auto"/>
        <w:rPr>
          <w:sz w:val="20"/>
          <w:szCs w:val="20"/>
          <w:color w:val="auto"/>
        </w:rPr>
      </w:pPr>
      <w:r>
        <w:rPr>
          <w:rFonts w:ascii="Arial" w:cs="Arial" w:eastAsia="Arial" w:hAnsi="Arial"/>
          <w:sz w:val="16"/>
          <w:szCs w:val="16"/>
          <w:color w:val="auto"/>
        </w:rPr>
        <w:t xml:space="preserve">Also in connection with the financing of the Acquisition of KCG, on June 16, 2017, Orchestra Borrower LLC (the "Escrow Issuer") a wholly owned subsidiary of Virtu Financial LLC (“Virtu Financial”) and Orchestra Co-Issuer, Inc. (the “Co-Issuer”) completed the offering of $500 million aggregate principal amount of 6.750% Senior Secured Second Lien Notes due 2022 (the “Notes”) as more fully described under - </w:t>
      </w:r>
      <w:r>
        <w:rPr>
          <w:rFonts w:ascii="Arial" w:cs="Arial" w:eastAsia="Arial" w:hAnsi="Arial"/>
          <w:sz w:val="16"/>
          <w:szCs w:val="16"/>
          <w:i w:val="1"/>
          <w:iCs w:val="1"/>
          <w:color w:val="auto"/>
        </w:rPr>
        <w:t>Senior Secured Second Lien Notes</w:t>
      </w:r>
      <w:r>
        <w:rPr>
          <w:rFonts w:ascii="Arial" w:cs="Arial" w:eastAsia="Arial" w:hAnsi="Arial"/>
          <w:sz w:val="16"/>
          <w:szCs w:val="16"/>
          <w:color w:val="auto"/>
        </w:rPr>
        <w:t>. On July 20, 2017, VFH Parent LLC ("VFH") assumed all of the obligations of the Escrow Issuer under the Notes and the indenture governing the Notes.</w:t>
      </w:r>
    </w:p>
    <w:p>
      <w:pPr>
        <w:spacing w:after="0" w:line="161" w:lineRule="exact"/>
        <w:rPr>
          <w:sz w:val="20"/>
          <w:szCs w:val="20"/>
          <w:color w:val="auto"/>
        </w:rPr>
      </w:pPr>
    </w:p>
    <w:p>
      <w:pPr>
        <w:ind w:right="460" w:firstLine="315"/>
        <w:spacing w:after="0" w:line="274" w:lineRule="auto"/>
        <w:rPr>
          <w:sz w:val="20"/>
          <w:szCs w:val="20"/>
          <w:color w:val="auto"/>
        </w:rPr>
      </w:pPr>
      <w:r>
        <w:rPr>
          <w:rFonts w:ascii="Arial" w:cs="Arial" w:eastAsia="Arial" w:hAnsi="Arial"/>
          <w:sz w:val="17"/>
          <w:szCs w:val="17"/>
          <w:color w:val="auto"/>
        </w:rPr>
        <w:t>On June 30, 2017, Virtu Financial and VFH entered into a fourth amended and restated credit agreement (the “Fourth Amended and Restated Credit Agreement”) for $1.15 billion first lien secured term loans with the lenders party thereto and JPMorgan Chase Bank, N.A., as administrative agent, sole lead arranger and bookrunner, which amended and restated in its entirety VFH’s existing credit agreement.</w:t>
      </w:r>
    </w:p>
    <w:p>
      <w:pPr>
        <w:spacing w:after="0" w:line="170" w:lineRule="exact"/>
        <w:rPr>
          <w:sz w:val="20"/>
          <w:szCs w:val="20"/>
          <w:color w:val="auto"/>
        </w:rPr>
      </w:pPr>
    </w:p>
    <w:p>
      <w:pPr>
        <w:ind w:right="340" w:firstLine="315"/>
        <w:spacing w:after="0" w:line="298" w:lineRule="auto"/>
        <w:rPr>
          <w:sz w:val="20"/>
          <w:szCs w:val="20"/>
          <w:color w:val="auto"/>
        </w:rPr>
      </w:pPr>
      <w:r>
        <w:rPr>
          <w:rFonts w:ascii="Arial" w:cs="Arial" w:eastAsia="Arial" w:hAnsi="Arial"/>
          <w:sz w:val="16"/>
          <w:szCs w:val="16"/>
          <w:color w:val="auto"/>
        </w:rPr>
        <w:t>On July 21, 2017, the outstanding 6.875% Senior Secured Notes due 2020 issued by KCG were redeemed at a redemption price equal to 103.438% of the principal amount, plus accrued and unpaid interest, pursuant to the indenture, dated as of March 13, 2015 (as amended, restated, supplemented or otherwise modified), by and among KCG, the subsidiary guarantors party thereto and The Bank of New York Mellon, as trustee and collateral agent.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198" w:lineRule="exact"/>
        <w:rPr>
          <w:sz w:val="20"/>
          <w:szCs w:val="20"/>
          <w:color w:val="auto"/>
        </w:rPr>
      </w:pPr>
    </w:p>
    <w:p>
      <w:pPr>
        <w:ind w:right="40" w:firstLine="315"/>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Company's initial public offering in April 2015 (the "IPO") (the "2015 Management Incentive Plan"). The 2015 Management Incentive Plan, which was amended and restated in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54" w:lineRule="exact"/>
        <w:rPr>
          <w:sz w:val="20"/>
          <w:szCs w:val="20"/>
          <w:color w:val="auto"/>
        </w:rPr>
      </w:pPr>
    </w:p>
    <w:p>
      <w:pPr>
        <w:ind w:firstLine="315"/>
        <w:spacing w:after="0" w:line="262" w:lineRule="auto"/>
        <w:rPr>
          <w:sz w:val="20"/>
          <w:szCs w:val="20"/>
          <w:color w:val="auto"/>
        </w:rPr>
      </w:pPr>
      <w:r>
        <w:rPr>
          <w:rFonts w:ascii="Arial" w:cs="Arial" w:eastAsia="Arial" w:hAnsi="Arial"/>
          <w:sz w:val="17"/>
          <w:szCs w:val="17"/>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September 30, 2018, options to purchase 1,528,750 shares in the aggregate were forfeited and 4,049,058 options were exercised. The fair value of the stock option grants was determined through the application of the Black-Scholes-Merton model and will be recognized on a straight 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will be recognized on a straight line basis over the vesting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Company Financial Information</w:t>
      </w:r>
    </w:p>
    <w:p>
      <w:pPr>
        <w:spacing w:after="0" w:line="224" w:lineRule="exact"/>
        <w:rPr>
          <w:sz w:val="20"/>
          <w:szCs w:val="20"/>
          <w:color w:val="auto"/>
        </w:rPr>
      </w:pPr>
    </w:p>
    <w:p>
      <w:pPr>
        <w:ind w:right="320" w:firstLine="315"/>
        <w:spacing w:after="0" w:line="264" w:lineRule="auto"/>
        <w:rPr>
          <w:sz w:val="20"/>
          <w:szCs w:val="20"/>
          <w:color w:val="auto"/>
        </w:rPr>
      </w:pPr>
      <w:r>
        <w:rPr>
          <w:rFonts w:ascii="Arial" w:cs="Arial" w:eastAsia="Arial" w:hAnsi="Arial"/>
          <w:sz w:val="17"/>
          <w:szCs w:val="17"/>
          <w:color w:val="auto"/>
        </w:rPr>
        <w:t>There are no material differences between our condensed consolidated financial statements and the financial statements of Virtu Financial LLC (“Virtu Financial”) except as follows: (i) cash and cash equivalents reflected on our Condensed Consolidated Statement of Financial Condition in the amount of $24.6 million; (ii) deferred tax assets reflected on our Condensed Consolidated Statement of Financial Condition in the amount of $177.0 million and tax receivable agreement obligation in the amount of $199.3 million, in each case as described in greater detail in Note 6 "Tax Receivable Agreements" of Part I "Financial Information" of this quarterly report on Form 10-Q; (iii) a portion of the member's equity of Virtu Financial is represented as non-controlling interest on our Condensed Consolidated Statement of Financial Condition; and (iv) provision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27"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for corporate income tax in the amount of $0.5 million and $56.5 million reflected on our Condensed Consolidated Statements of Comprehensive Income for the three and nine months ended September 30, 2018,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04"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The following table shows the i) Total revenue, ii) Total operating expenses, and iii) Income before income taxes and noncontrolling interest by operating segment for the three and nine months ended September 30, 2018 and 2017:</w:t>
      </w:r>
    </w:p>
    <w:p>
      <w:pPr>
        <w:spacing w:after="0" w:line="344" w:lineRule="exact"/>
        <w:rPr>
          <w:sz w:val="20"/>
          <w:szCs w:val="20"/>
          <w:color w:val="auto"/>
        </w:rPr>
      </w:pPr>
    </w:p>
    <w:tbl>
      <w:tblPr>
        <w:tblLayout w:type="fixed"/>
        <w:tblInd w:w="500" w:type="dxa"/>
        <w:tblCellMar>
          <w:top w:w="0" w:type="dxa"/>
          <w:left w:w="0" w:type="dxa"/>
          <w:bottom w:w="0" w:type="dxa"/>
          <w:right w:w="0" w:type="dxa"/>
        </w:tblCellMar>
      </w:tblPr>
      <w:tr>
        <w:trPr>
          <w:trHeight w:val="188"/>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5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b w:val="1"/>
                <w:bCs w:val="1"/>
                <w:color w:val="auto"/>
              </w:rPr>
              <w:t>2017</w:t>
            </w:r>
          </w:p>
        </w:tc>
      </w:tr>
      <w:tr>
        <w:trPr>
          <w:trHeight w:val="242"/>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264,370</w:t>
            </w:r>
          </w:p>
        </w:tc>
        <w:tc>
          <w:tcPr>
            <w:tcW w:w="120" w:type="dxa"/>
            <w:vAlign w:val="bottom"/>
          </w:tcPr>
          <w:p>
            <w:pPr>
              <w:spacing w:after="0"/>
              <w:rPr>
                <w:sz w:val="21"/>
                <w:szCs w:val="21"/>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228,582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984,601</w:t>
            </w:r>
          </w:p>
        </w:tc>
        <w:tc>
          <w:tcPr>
            <w:tcW w:w="100" w:type="dxa"/>
            <w:vAlign w:val="bottom"/>
          </w:tcPr>
          <w:p>
            <w:pPr>
              <w:spacing w:after="0"/>
              <w:rPr>
                <w:sz w:val="21"/>
                <w:szCs w:val="21"/>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514,823</w:t>
            </w:r>
          </w:p>
        </w:tc>
      </w:tr>
      <w:tr>
        <w:trPr>
          <w:trHeight w:val="262"/>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224,626</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247,904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721,691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497,582</w:t>
            </w:r>
          </w:p>
        </w:tc>
      </w:tr>
      <w:tr>
        <w:trPr>
          <w:trHeight w:val="242"/>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1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39,744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262,910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17,241</w:t>
            </w:r>
          </w:p>
        </w:tc>
      </w:tr>
      <w:tr>
        <w:trPr>
          <w:trHeight w:val="268"/>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Execution Services</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5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34,206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39,077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458,759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44,964</w:t>
            </w:r>
          </w:p>
        </w:tc>
      </w:tr>
      <w:tr>
        <w:trPr>
          <w:trHeight w:val="262"/>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34,077</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45,094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127,056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49,877</w:t>
            </w:r>
          </w:p>
        </w:tc>
      </w:tr>
      <w:tr>
        <w:trPr>
          <w:trHeight w:val="242"/>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1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331,703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(4,913)</w:t>
            </w:r>
          </w:p>
        </w:tc>
      </w:tr>
      <w:tr>
        <w:trPr>
          <w:trHeight w:val="268"/>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5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3,627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3,674</w:t>
            </w:r>
          </w:p>
        </w:tc>
      </w:tr>
      <w:tr>
        <w:trPr>
          <w:trHeight w:val="262"/>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6,995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24,783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41,971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33,423</w:t>
            </w:r>
          </w:p>
        </w:tc>
      </w:tr>
      <w:tr>
        <w:trPr>
          <w:trHeight w:val="242"/>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(29,749)</w:t>
            </w:r>
          </w:p>
        </w:tc>
      </w:tr>
      <w:tr>
        <w:trPr>
          <w:trHeight w:val="268"/>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5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295,123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271,286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1,438,303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563,461</w:t>
            </w:r>
          </w:p>
        </w:tc>
      </w:tr>
      <w:tr>
        <w:trPr>
          <w:trHeight w:val="262"/>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265,698</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317,781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890,718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580,882</w:t>
            </w:r>
          </w:p>
        </w:tc>
      </w:tr>
      <w:tr>
        <w:trPr>
          <w:trHeight w:val="23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29,425</w:t>
            </w:r>
          </w:p>
        </w:tc>
        <w:tc>
          <w:tcPr>
            <w:tcW w:w="120" w:type="dxa"/>
            <w:vAlign w:val="bottom"/>
          </w:tcPr>
          <w:p>
            <w:pPr>
              <w:spacing w:after="0"/>
              <w:rPr>
                <w:sz w:val="20"/>
                <w:szCs w:val="20"/>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(46,495)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547,585</w:t>
            </w:r>
          </w:p>
        </w:tc>
        <w:tc>
          <w:tcPr>
            <w:tcW w:w="100" w:type="dxa"/>
            <w:vAlign w:val="bottom"/>
          </w:tcPr>
          <w:p>
            <w:pPr>
              <w:spacing w:after="0"/>
              <w:rPr>
                <w:sz w:val="20"/>
                <w:szCs w:val="20"/>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(17,421)</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80"/>
          </w:cols>
          <w:pgMar w:left="240" w:top="127" w:right="27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50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56"/>
        </w:trPr>
        <w:tc>
          <w:tcPr>
            <w:tcW w:w="5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r>
      <w:tr>
        <w:trPr>
          <w:trHeight w:val="64"/>
        </w:trPr>
        <w:tc>
          <w:tcPr>
            <w:tcW w:w="52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r>
      <w:tr>
        <w:trPr>
          <w:trHeight w:val="262"/>
        </w:trPr>
        <w:tc>
          <w:tcPr>
            <w:tcW w:w="5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7"/>
        </w:trPr>
        <w:tc>
          <w:tcPr>
            <w:tcW w:w="534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8"/>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235,699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203,907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900,454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479,644</w:t>
            </w:r>
          </w:p>
        </w:tc>
      </w:tr>
      <w:tr>
        <w:trPr>
          <w:trHeight w:val="25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21,451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20,430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61,337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30,933</w:t>
            </w:r>
          </w:p>
        </w:tc>
      </w:tr>
      <w:tr>
        <w:trPr>
          <w:trHeight w:val="268"/>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40,252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43,351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140,661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49,237</w:t>
            </w:r>
          </w:p>
        </w:tc>
      </w:tr>
      <w:tr>
        <w:trPr>
          <w:trHeight w:val="257"/>
        </w:trPr>
        <w:tc>
          <w:tcPr>
            <w:tcW w:w="5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3,598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335,851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3,647</w:t>
            </w:r>
          </w:p>
        </w:tc>
      </w:tr>
      <w:tr>
        <w:trPr>
          <w:trHeight w:val="248"/>
        </w:trPr>
        <w:tc>
          <w:tcPr>
            <w:tcW w:w="53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Total revenue</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295,123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271,286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1,438,303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563,461</w:t>
            </w:r>
          </w:p>
        </w:tc>
      </w:tr>
      <w:tr>
        <w:trPr>
          <w:trHeight w:val="262"/>
        </w:trPr>
        <w:tc>
          <w:tcPr>
            <w:tcW w:w="5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Brokerage, exchange and clearance fees, net</w:t>
            </w: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68,638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64,584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229,779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170,253</w:t>
            </w:r>
          </w:p>
        </w:tc>
      </w:tr>
      <w:tr>
        <w:trPr>
          <w:trHeight w:val="268"/>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Communication and data processing</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39,516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45,998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137,793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83,190</w:t>
            </w:r>
          </w:p>
        </w:tc>
      </w:tr>
      <w:tr>
        <w:trPr>
          <w:trHeight w:val="25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Employee compensation and payroll taxes</w:t>
            </w: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44,827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72,341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150,723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111,053</w:t>
            </w:r>
          </w:p>
        </w:tc>
      </w:tr>
      <w:tr>
        <w:trPr>
          <w:trHeight w:val="268"/>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Payments for order flow</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18,283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12,071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50,381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12,071</w:t>
            </w:r>
          </w:p>
        </w:tc>
      </w:tr>
      <w:tr>
        <w:trPr>
          <w:trHeight w:val="25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expense</w:t>
            </w: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32,566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31,242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101,199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58,456</w:t>
            </w:r>
          </w:p>
        </w:tc>
      </w:tr>
      <w:tr>
        <w:trPr>
          <w:trHeight w:val="268"/>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Operations and administrative</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17,254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24,183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53,671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35,931</w:t>
            </w:r>
          </w:p>
        </w:tc>
      </w:tr>
      <w:tr>
        <w:trPr>
          <w:trHeight w:val="25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16,012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15,602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47,558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29,157</w:t>
            </w:r>
          </w:p>
        </w:tc>
      </w:tr>
      <w:tr>
        <w:trPr>
          <w:trHeight w:val="268"/>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6,367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6,440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6,546</w:t>
            </w:r>
          </w:p>
        </w:tc>
      </w:tr>
      <w:tr>
        <w:trPr>
          <w:trHeight w:val="25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Termination of office leases</w:t>
            </w: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1,440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23,300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Debt issue cost related to debt refinancing and prepayment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3,347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11,727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9,351</w:t>
            </w:r>
          </w:p>
        </w:tc>
      </w:tr>
      <w:tr>
        <w:trPr>
          <w:trHeight w:val="257"/>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15,677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8,985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24,188</w:t>
            </w:r>
          </w:p>
        </w:tc>
      </w:tr>
      <w:tr>
        <w:trPr>
          <w:trHeight w:val="268"/>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Charges related to share based compensation at IPO</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545</w:t>
            </w:r>
          </w:p>
        </w:tc>
      </w:tr>
      <w:tr>
        <w:trPr>
          <w:trHeight w:val="257"/>
        </w:trPr>
        <w:tc>
          <w:tcPr>
            <w:tcW w:w="5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Financing interest expense on long-term borrowings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17,709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24,593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55,536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40,141</w:t>
            </w:r>
          </w:p>
        </w:tc>
      </w:tr>
      <w:tr>
        <w:trPr>
          <w:trHeight w:val="242"/>
        </w:trPr>
        <w:tc>
          <w:tcPr>
            <w:tcW w:w="53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265,698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317,781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890,718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580,882</w:t>
            </w:r>
          </w:p>
        </w:tc>
      </w:tr>
      <w:tr>
        <w:trPr>
          <w:trHeight w:val="242"/>
        </w:trPr>
        <w:tc>
          <w:tcPr>
            <w:tcW w:w="534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1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29,425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(46,495)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547,585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(17,421)</w:t>
            </w:r>
          </w:p>
        </w:tc>
      </w:tr>
      <w:tr>
        <w:trPr>
          <w:trHeight w:val="262"/>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13,815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75,330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(2,918)</w:t>
            </w:r>
          </w:p>
        </w:tc>
      </w:tr>
      <w:tr>
        <w:trPr>
          <w:trHeight w:val="235"/>
        </w:trPr>
        <w:tc>
          <w:tcPr>
            <w:tcW w:w="5340" w:type="dxa"/>
            <w:vAlign w:val="bottom"/>
            <w:gridSpan w:val="2"/>
          </w:tcPr>
          <w:p>
            <w:pPr>
              <w:ind w:left="24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15,610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(39,990)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472,255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(14,503)</w:t>
            </w: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24" w:lineRule="exact"/>
        <w:rPr>
          <w:sz w:val="20"/>
          <w:szCs w:val="20"/>
          <w:color w:val="auto"/>
        </w:rPr>
      </w:pPr>
    </w:p>
    <w:p>
      <w:pPr>
        <w:ind w:right="80" w:firstLine="315"/>
        <w:spacing w:after="0" w:line="280" w:lineRule="auto"/>
        <w:rPr>
          <w:sz w:val="20"/>
          <w:szCs w:val="20"/>
          <w:color w:val="auto"/>
        </w:rPr>
      </w:pPr>
      <w:r>
        <w:rPr>
          <w:rFonts w:ascii="Arial" w:cs="Arial" w:eastAsia="Arial" w:hAnsi="Arial"/>
          <w:sz w:val="16"/>
          <w:szCs w:val="16"/>
          <w:color w:val="auto"/>
        </w:rPr>
        <w:t>The majority of our revenue is generated through market making activities and is recorded as trading income, net. In addition, we generate revenues from interest and dividends income, agency execution services to select third parties, and technology services to third parties using our proprietary technology to provide technology infrastructure. Following the Acquisition of KCG, we also earn commissions and commission equivalents terms,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73" w:lineRule="exact"/>
        <w:rPr>
          <w:sz w:val="20"/>
          <w:szCs w:val="20"/>
          <w:color w:val="auto"/>
        </w:rPr>
      </w:pPr>
    </w:p>
    <w:p>
      <w:pPr>
        <w:ind w:firstLine="359"/>
        <w:spacing w:after="0" w:line="262"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represents revenue earned from bid/ask spreads. Trading income is generated in the normal course of our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making activities and is typically proportional to the level of trading activity, or volumes, in the asset classes we serve. Our trading income is highly diversified by asset class and geography and is comprised of small amounts earned on millions of trades on various exchanges, primarily in the following three categories: Americas Equities, Rest of World Equities, and Global FICC, options and other. Our trading income, net, results from gains and losses associated with economically neutral trading strategies, which are designed to capture small bid ask spreads and often involve making markets in a derivative versus a correlated instrument that is not a derivative. These transactions often result in a gain or loss on the derivative and a corresponding loss or gain on the non-derivative. Trading income, net, accounted for 79.9% and 75.2% of our total revenues for the three months ended September 30, 2018, and 2017, respectively, and 62.6% and 85% for the nine months ended September 30, 2018 and 2017, respectively.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80"/>
          </w:cols>
          <w:pgMar w:left="240" w:top="127" w:right="27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securities on a regular basis, and we generate revenues in the form of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dividends income from these securities. Interest is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77"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Agency commission fees are charged for agency trades executed by us on behalf of third party broker-dealers,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institutions and other financial institutions. We began providing agency execution services in April 2016, and revenue is recognized on a trade date basis, which is the point at which the performance obligation to the customer is satisfied, based on the trade volume executed. Revenues on transactions for which we charge explicit commissions or commission equivalents, which include the majority of our institutional client orders, are included within commissions, net and technology services. Commissions and fees are primarily affected by changes in our equity, fixed income and futures transaction volumes with institutional clients; client relationships; changes in commission rates; client experience on the various platforms; level of volume based fees from providing liquidity to other trading venues; and the level of our soft dollar and commission recapture activity.</w:t>
      </w:r>
    </w:p>
    <w:p>
      <w:pPr>
        <w:spacing w:after="0" w:line="180" w:lineRule="exact"/>
        <w:rPr>
          <w:sz w:val="20"/>
          <w:szCs w:val="20"/>
          <w:color w:val="auto"/>
        </w:rPr>
      </w:pPr>
    </w:p>
    <w:p>
      <w:pPr>
        <w:ind w:right="120" w:firstLine="315"/>
        <w:spacing w:after="0" w:line="268" w:lineRule="auto"/>
        <w:rPr>
          <w:sz w:val="20"/>
          <w:szCs w:val="20"/>
          <w:color w:val="auto"/>
        </w:rPr>
      </w:pPr>
      <w:r>
        <w:rPr>
          <w:rFonts w:ascii="Arial" w:cs="Arial" w:eastAsia="Arial" w:hAnsi="Arial"/>
          <w:sz w:val="17"/>
          <w:szCs w:val="17"/>
          <w:color w:val="auto"/>
        </w:rPr>
        <w:t>Technology services revenues include technology licensing fees and agency commission fees. 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77" w:lineRule="exact"/>
        <w:rPr>
          <w:sz w:val="20"/>
          <w:szCs w:val="20"/>
          <w:color w:val="auto"/>
        </w:rPr>
      </w:pPr>
    </w:p>
    <w:p>
      <w:pPr>
        <w:jc w:val="both"/>
        <w:ind w:right="60" w:firstLine="315"/>
        <w:spacing w:after="0" w:line="274"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In July 2016, we made a minority investment in SBI Japannext Co., Ltd. (“SBI”), a proprietary trading system based in Tokyo.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investment, we issued bonds to certain affiliates of SBI and used the proceeds to partially finance the transaction. Revenues or losses are recognized due to the changes in fair value of the investment or fluctuations in Japanese Yen conversion rates within other, net.</w:t>
      </w:r>
    </w:p>
    <w:p>
      <w:pPr>
        <w:spacing w:after="0" w:line="170" w:lineRule="exact"/>
        <w:rPr>
          <w:sz w:val="20"/>
          <w:szCs w:val="20"/>
          <w:color w:val="auto"/>
        </w:rPr>
      </w:pPr>
    </w:p>
    <w:p>
      <w:pPr>
        <w:jc w:val="both"/>
        <w:ind w:right="100" w:firstLine="315"/>
        <w:spacing w:after="0" w:line="274" w:lineRule="auto"/>
        <w:rPr>
          <w:sz w:val="20"/>
          <w:szCs w:val="20"/>
          <w:color w:val="auto"/>
        </w:rPr>
      </w:pPr>
      <w:r>
        <w:rPr>
          <w:rFonts w:ascii="Arial" w:cs="Arial" w:eastAsia="Arial" w:hAnsi="Arial"/>
          <w:sz w:val="17"/>
          <w:szCs w:val="17"/>
          <w:color w:val="auto"/>
        </w:rPr>
        <w:t>We have interests in two telecommunications joint ventures (“JV”). We record our pro-rata share of each JV’s earnings or losses within other, net, while fees related to the use of communication services provided by the JVs are recorded within communications and data processing. In addition, we also recorded gains or losses on certain one-time transactions, including the sale of BondPoint, within other, net.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4" w:lineRule="exact"/>
        <w:rPr>
          <w:sz w:val="20"/>
          <w:szCs w:val="20"/>
          <w:color w:val="auto"/>
        </w:rPr>
      </w:pPr>
    </w:p>
    <w:p>
      <w:pPr>
        <w:ind w:right="100" w:firstLine="315"/>
        <w:spacing w:after="0" w:line="264"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are our most significant expenses, which include the direct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executing and clearing transactions that we consummate in the course of our market making activities. Brokerage, exchange and clearance fees primarily consist of fees charged by third parties for executing, processing and settling trades. These fees generally increase and decrease in direct correlation with the level of trading activity, or volumes, in the markets we serve. Execution fees are paid primarily to exchanges and venues where we trade. Clearance fees are paid to clearing houses and clearing agents. Rebates based on volume discounts, credits or payments received from exchanges or other marketplaces are netted against brokerage, exchange and clearance fees.</w:t>
      </w:r>
    </w:p>
    <w:p>
      <w:pPr>
        <w:spacing w:after="0" w:line="180" w:lineRule="exact"/>
        <w:rPr>
          <w:sz w:val="20"/>
          <w:szCs w:val="20"/>
          <w:color w:val="auto"/>
        </w:rPr>
      </w:pPr>
    </w:p>
    <w:p>
      <w:pPr>
        <w:ind w:right="160" w:firstLine="315"/>
        <w:spacing w:after="0" w:line="268"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are a result of the Acquisition of KCG, and they primarily represent payments to broker dealer clients,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normal course of business, for directing their order flow to us primarily in U.S. equities. Payments for order flow will fluctuate as we modify our rates and as the percentage of our clients with policies not to accept payments for order flow varies. Payments for order flow also fluctuate based on U.S. equity share and option volumes, our profitability and the mix of market orders, limit orders, and customers.</w:t>
      </w:r>
    </w:p>
    <w:p>
      <w:pPr>
        <w:spacing w:after="0" w:line="177" w:lineRule="exact"/>
        <w:rPr>
          <w:sz w:val="20"/>
          <w:szCs w:val="20"/>
          <w:color w:val="auto"/>
        </w:rPr>
      </w:pPr>
    </w:p>
    <w:p>
      <w:pPr>
        <w:ind w:firstLine="315"/>
        <w:spacing w:after="0" w:line="290"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leased equipment, equipment co-location,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lines and connectivity for our trading centers and co-location facilities. More specifically, communications expense consists primarily of the cost of voice and data telecommunication lines supporting our business, including connectivity to data centers and exchanges, markets and liquidity pools around the world, and data processing expense consists primarily of market data fees that we pay to third parties to receive price quotes and related information.</w:t>
      </w:r>
    </w:p>
    <w:p>
      <w:pPr>
        <w:spacing w:after="0" w:line="161" w:lineRule="exact"/>
        <w:rPr>
          <w:sz w:val="20"/>
          <w:szCs w:val="20"/>
          <w:color w:val="auto"/>
        </w:rPr>
      </w:pPr>
    </w:p>
    <w:p>
      <w:pPr>
        <w:ind w:right="60" w:firstLine="315"/>
        <w:spacing w:after="0" w:line="265"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include employee salaries, cash and non-cash incentive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benefits, payroll taxes, severance and other employee related costs. Subsequent to the completion of a series of reorganization transactions prior to the IPO pursuant to which the Company became the sole managing member of Virtu Financial (the "Reorganization Transactions"). Employee compensation and payroll taxes includes non-cash compensation expenses with respect to the stock options and restricted stock units granted in connection with and subsequent to the IPO pursuant to the 2015 Management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27"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620" w:firstLine="315"/>
        <w:spacing w:after="0" w:line="323"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collateralized lending transactions. Typically, dividend expense is incurred when a dividend is paid on securities sold short.</w:t>
      </w:r>
    </w:p>
    <w:p>
      <w:pPr>
        <w:spacing w:after="0" w:line="135" w:lineRule="exact"/>
        <w:rPr>
          <w:sz w:val="20"/>
          <w:szCs w:val="20"/>
          <w:color w:val="auto"/>
        </w:rPr>
      </w:pPr>
    </w:p>
    <w:p>
      <w:pPr>
        <w:ind w:right="340" w:firstLine="315"/>
        <w:spacing w:after="0" w:line="290"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 professional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expenses.</w:t>
      </w:r>
    </w:p>
    <w:p>
      <w:pPr>
        <w:spacing w:after="0" w:line="158" w:lineRule="exact"/>
        <w:rPr>
          <w:sz w:val="20"/>
          <w:szCs w:val="20"/>
          <w:color w:val="auto"/>
        </w:rPr>
      </w:pPr>
    </w:p>
    <w:p>
      <w:pPr>
        <w:ind w:right="40" w:firstLine="315"/>
        <w:spacing w:after="0" w:line="309" w:lineRule="auto"/>
        <w:rPr>
          <w:sz w:val="20"/>
          <w:szCs w:val="20"/>
          <w:color w:val="auto"/>
        </w:rPr>
      </w:pPr>
      <w:r>
        <w:rPr>
          <w:rFonts w:ascii="Arial" w:cs="Arial" w:eastAsia="Arial" w:hAnsi="Arial"/>
          <w:sz w:val="15"/>
          <w:szCs w:val="15"/>
          <w:b w:val="1"/>
          <w:bCs w:val="1"/>
          <w:i w:val="1"/>
          <w:iCs w:val="1"/>
          <w:color w:val="auto"/>
        </w:rPr>
        <w:t xml:space="preserve">Depreciation and amortization. </w:t>
      </w:r>
      <w:r>
        <w:rPr>
          <w:rFonts w:ascii="Arial" w:cs="Arial" w:eastAsia="Arial" w:hAnsi="Arial"/>
          <w:sz w:val="15"/>
          <w:szCs w:val="15"/>
          <w:color w:val="auto"/>
        </w:rPr>
        <w:t>Depreciation and amortization expense results from the depreciation of fixed assets, such as computing and communications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hardware, as well as amortization of leasehold improvements and capitalized in-house software development. We depreciate our computer hardware and related software, office hardware and furniture and fixtures on a straight line basis over a period of 3 to 7 years based on the estimated useful life of the underlying asset, and we amortize our capitalized software development costs on a straight line basis over a period of 1.5 to 2.5 years, which represents the estimated useful lives of the underlying software. We amortize leasehold improvements on a straight line basis over the lesser of the life of the improvement or the term of the lease.</w:t>
      </w:r>
    </w:p>
    <w:p>
      <w:pPr>
        <w:spacing w:after="0" w:line="150" w:lineRule="exact"/>
        <w:rPr>
          <w:sz w:val="20"/>
          <w:szCs w:val="20"/>
          <w:color w:val="auto"/>
        </w:rPr>
      </w:pPr>
    </w:p>
    <w:p>
      <w:pPr>
        <w:ind w:right="320" w:firstLine="315"/>
        <w:spacing w:after="0" w:line="268"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the amortization of finite lived intangible assets acquired in connection with the acquisitions of certain assets from Nyenburgh Holding B.V., Teza Technologies (the "Teza Acquisition") and KCG, respectively. These assets are amortized over their useful lives, ranging from 1 to 15 years, except for certain assets which were categorized as having indefinite useful lives.</w:t>
      </w:r>
    </w:p>
    <w:p>
      <w:pPr>
        <w:spacing w:after="0" w:line="177" w:lineRule="exact"/>
        <w:rPr>
          <w:sz w:val="20"/>
          <w:szCs w:val="20"/>
          <w:color w:val="auto"/>
        </w:rPr>
      </w:pPr>
    </w:p>
    <w:p>
      <w:pPr>
        <w:jc w:val="both"/>
        <w:ind w:right="80" w:firstLine="315"/>
        <w:spacing w:after="0" w:line="274"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one-time expense write-off on the present value of the future lease obligations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leases we abandoned in connection with the Acquisition of KCG. The aggregated write-off amount includes legal fees, broker fees and other miscellaneous expense associated with the abandonment.</w:t>
      </w:r>
    </w:p>
    <w:p>
      <w:pPr>
        <w:spacing w:after="0" w:line="170"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As a result of the refinancing or early termination of our debt, we accelerate the capitalized debt issue costs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discount on debt that would otherwise to be amortized or accreted over the life of the loan.</w:t>
      </w:r>
    </w:p>
    <w:p>
      <w:pPr>
        <w:spacing w:after="0" w:line="158" w:lineRule="exact"/>
        <w:rPr>
          <w:sz w:val="20"/>
          <w:szCs w:val="20"/>
          <w:color w:val="auto"/>
        </w:rPr>
      </w:pPr>
    </w:p>
    <w:p>
      <w:pPr>
        <w:jc w:val="both"/>
        <w:ind w:right="240" w:firstLine="315"/>
        <w:spacing w:after="0" w:line="274"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primarily reflect professional fees incurred by us in connection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October 2017 sale of specified assets and assignment of specified liabilities constituting the Company's BondPoint division and fixed income venue ("BondPoint").</w:t>
      </w:r>
    </w:p>
    <w:p>
      <w:pPr>
        <w:spacing w:after="0" w:line="170" w:lineRule="exact"/>
        <w:rPr>
          <w:sz w:val="20"/>
          <w:szCs w:val="20"/>
          <w:color w:val="auto"/>
        </w:rPr>
      </w:pPr>
    </w:p>
    <w:p>
      <w:pPr>
        <w:ind w:right="20" w:firstLine="315"/>
        <w:spacing w:after="0" w:line="290" w:lineRule="auto"/>
        <w:rPr>
          <w:sz w:val="20"/>
          <w:szCs w:val="20"/>
          <w:color w:val="auto"/>
        </w:rPr>
      </w:pPr>
      <w:r>
        <w:rPr>
          <w:rFonts w:ascii="Arial" w:cs="Arial" w:eastAsia="Arial" w:hAnsi="Arial"/>
          <w:sz w:val="16"/>
          <w:szCs w:val="16"/>
          <w:b w:val="1"/>
          <w:bCs w:val="1"/>
          <w:i w:val="1"/>
          <w:iCs w:val="1"/>
          <w:color w:val="auto"/>
        </w:rPr>
        <w:t xml:space="preserve">Charges related to share based compensation at IPO. </w:t>
      </w:r>
      <w:r>
        <w:rPr>
          <w:rFonts w:ascii="Arial" w:cs="Arial" w:eastAsia="Arial" w:hAnsi="Arial"/>
          <w:sz w:val="16"/>
          <w:szCs w:val="16"/>
          <w:color w:val="auto"/>
        </w:rPr>
        <w:t>At the consummation of the IPO and through the three and nine months ended September 30, 2018,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non-cash compensation expenses in respect of the outstanding time-vested Class B interests of the Company and Class B interests of Virtu East MIP LLC, net of capitalization and amortization of costs attributable to employees incurred in development of software for internal use, as defined and discussed in Note 16, “Share-based compensation” of Part II, Item 8, “Financial Statements and Supplementary Data” of Form 10-K.</w:t>
      </w:r>
    </w:p>
    <w:p>
      <w:pPr>
        <w:spacing w:after="0" w:line="161"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reflects interest accrued on outstanding indebtedness, under our long-term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borrowing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24" w:lineRule="exact"/>
        <w:rPr>
          <w:sz w:val="20"/>
          <w:szCs w:val="20"/>
          <w:color w:val="auto"/>
        </w:rPr>
      </w:pPr>
    </w:p>
    <w:p>
      <w:pPr>
        <w:ind w:right="140" w:firstLine="315"/>
        <w:spacing w:after="0" w:line="265" w:lineRule="auto"/>
        <w:rPr>
          <w:sz w:val="20"/>
          <w:szCs w:val="20"/>
          <w:color w:val="auto"/>
        </w:rPr>
      </w:pPr>
      <w:r>
        <w:rPr>
          <w:rFonts w:ascii="Arial" w:cs="Arial" w:eastAsia="Arial" w:hAnsi="Arial"/>
          <w:sz w:val="17"/>
          <w:szCs w:val="17"/>
          <w:color w:val="auto"/>
        </w:rPr>
        <w:t>Prior to the consummation of the Reorganization Transactions and the IPO, our business was historically operated through a limited liability company that is treated as a partnership for U.S. federal income tax purposes, and as such, most of our income was not subject to U.S. federal and certain state income taxes. Our income tax expense for historical periods reflects taxes payable by certain of our non-U.S. subsidiaries. Subsequent to the consummation of the Reorganization Transactions and the IPO, we are subject to U.S. federal, state and local income tax at the rate applicable to corporations less the rate attributable to the noncontrolling interest in Virtu Financial.</w:t>
      </w:r>
    </w:p>
    <w:p>
      <w:pPr>
        <w:spacing w:after="0" w:line="181"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Our effective tax rate is subject to significant variation due to several factors, including variability in our pre-tax and taxable income and loss and the mix of jurisdictions to which they relate, changes in how we do business, acquisitions (including the Acquisition of KCG)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80" w:firstLine="315"/>
        <w:spacing w:after="0" w:line="263" w:lineRule="auto"/>
        <w:rPr>
          <w:sz w:val="20"/>
          <w:szCs w:val="20"/>
          <w:color w:val="auto"/>
        </w:rPr>
      </w:pPr>
      <w:r>
        <w:rPr>
          <w:rFonts w:ascii="Arial" w:cs="Arial" w:eastAsia="Arial" w:hAnsi="Arial"/>
          <w:sz w:val="17"/>
          <w:szCs w:val="17"/>
          <w:color w:val="auto"/>
        </w:rPr>
        <w:t>Public Law No. 115-97, commonly referred to as the Tax Cuts and Jobs Act (the “2017 Tax Act”) was signed into law on December 22, 2017 and significantly revises the U.S. corporate income tax by, among other things, lowering the statutory corporate tax rate from 35% to 21%, and eliminating certain deductions. The Company has completed its determination of the accounting implications of the 2017 Tax Act on its tax accruals and recorded these amounts in our financial statements as of December 31, 2017. The Company recorded a deferred tax expense for the impact of the 2017 Tax Act of approximately $90.6 million, which is primarily composed of the remeasurement of federal net deferred tax assets as a result of the permanent reduction in the U.S. statutory corporate tax rate from 35% to 21%. During 2018, the Company did not make any adjustments due to the 2017 Tax Act. The Company has completed its determination of the accounting implications of the 2017 Tax act on its tax balances.</w:t>
      </w:r>
    </w:p>
    <w:p>
      <w:pPr>
        <w:spacing w:after="0" w:line="180" w:lineRule="exact"/>
        <w:rPr>
          <w:sz w:val="20"/>
          <w:szCs w:val="20"/>
          <w:color w:val="auto"/>
        </w:rPr>
      </w:pPr>
    </w:p>
    <w:p>
      <w:pPr>
        <w:ind w:right="280" w:firstLine="315"/>
        <w:spacing w:after="0" w:line="274" w:lineRule="auto"/>
        <w:rPr>
          <w:sz w:val="20"/>
          <w:szCs w:val="20"/>
          <w:color w:val="auto"/>
        </w:rPr>
      </w:pPr>
      <w:r>
        <w:rPr>
          <w:rFonts w:ascii="Arial" w:cs="Arial" w:eastAsia="Arial" w:hAnsi="Arial"/>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14 "Income Taxes" of Part I “Financial Information” of this quarterly report on Form 10-Q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 and Other Items</w:t>
      </w:r>
    </w:p>
    <w:p>
      <w:pPr>
        <w:spacing w:after="0" w:line="230" w:lineRule="exact"/>
        <w:rPr>
          <w:sz w:val="20"/>
          <w:szCs w:val="20"/>
          <w:color w:val="auto"/>
        </w:rPr>
      </w:pPr>
    </w:p>
    <w:p>
      <w:pPr>
        <w:ind w:right="260" w:firstLine="315"/>
        <w:spacing w:after="0" w:line="290" w:lineRule="auto"/>
        <w:rPr>
          <w:sz w:val="20"/>
          <w:szCs w:val="20"/>
          <w:color w:val="auto"/>
        </w:rPr>
      </w:pPr>
      <w:r>
        <w:rPr>
          <w:rFonts w:ascii="Arial" w:cs="Arial" w:eastAsia="Arial" w:hAnsi="Arial"/>
          <w:sz w:val="17"/>
          <w:szCs w:val="17"/>
          <w:color w:val="auto"/>
        </w:rPr>
        <w:t>To supplement our condensed consolidated financial statements presented in accordance with generally accepted accounting principles in the United States (“GAAP”), we use the following non-GAAP financial measures of financial performance:</w:t>
      </w:r>
    </w:p>
    <w:p>
      <w:pPr>
        <w:spacing w:after="0" w:line="158" w:lineRule="exact"/>
        <w:rPr>
          <w:sz w:val="20"/>
          <w:szCs w:val="20"/>
          <w:color w:val="auto"/>
        </w:rPr>
      </w:pPr>
    </w:p>
    <w:p>
      <w:pPr>
        <w:ind w:left="1020" w:hanging="228"/>
        <w:spacing w:after="0" w:line="28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Net Trading Income”, which is the amount of revenue we generate from our market making activities, or trading income, net, plus commissions, net and technology services, plus interest and dividends income and expense, net, less direct costs associated with those revenues, including brokerage, exchange and clearance fees, net, and payments for order flow.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61" w:lineRule="exact"/>
        <w:rPr>
          <w:rFonts w:ascii="Arial" w:cs="Arial" w:eastAsia="Arial" w:hAnsi="Arial"/>
          <w:sz w:val="16"/>
          <w:szCs w:val="16"/>
          <w:color w:val="auto"/>
        </w:rPr>
      </w:pPr>
    </w:p>
    <w:p>
      <w:pPr>
        <w:ind w:left="1020" w:right="80" w:hanging="228"/>
        <w:spacing w:after="0" w:line="264"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“EBITDA”, which measures our operating performance by adjusting net income to exclude financing interest expense on long-term borrowings, debt issue cost related to debt refinancing, depreciation and amortization, amortization of purchased intangibles and acquired capitalized software, and income tax expense, and “Adjusted EBITDA”, which measures our operating performance by further adjusting EBITDA to exclude severance, reserve for legal matters, transaction advisory fees and expenses, termination of office leases, acquisition related retention bonus, trading related settlement income, other, net, share based compensation, charges related to share based compensation at IPO, 2015 Management Incentive Plan, and charges related to share based compensation at IPO.</w:t>
      </w:r>
    </w:p>
    <w:p>
      <w:pPr>
        <w:spacing w:after="0" w:line="74" w:lineRule="exact"/>
        <w:rPr>
          <w:rFonts w:ascii="Arial" w:cs="Arial" w:eastAsia="Arial" w:hAnsi="Arial"/>
          <w:sz w:val="17"/>
          <w:szCs w:val="17"/>
          <w:color w:val="auto"/>
        </w:rPr>
      </w:pPr>
    </w:p>
    <w:p>
      <w:pPr>
        <w:ind w:left="1020" w:right="340" w:hanging="228"/>
        <w:spacing w:after="0" w:line="26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Virtu Financial Units have been exchanged for Class A Common Stock, and applying a corporate tax rate of 23% for 2018 and 35.5% for 2017.</w:t>
      </w:r>
    </w:p>
    <w:p>
      <w:pPr>
        <w:spacing w:after="0" w:line="177" w:lineRule="exact"/>
        <w:rPr>
          <w:sz w:val="20"/>
          <w:szCs w:val="20"/>
          <w:color w:val="auto"/>
        </w:rPr>
      </w:pPr>
    </w:p>
    <w:p>
      <w:pPr>
        <w:ind w:firstLine="315"/>
        <w:spacing w:after="0" w:line="280" w:lineRule="auto"/>
        <w:rPr>
          <w:sz w:val="20"/>
          <w:szCs w:val="20"/>
          <w:color w:val="auto"/>
        </w:rPr>
      </w:pPr>
      <w:r>
        <w:rPr>
          <w:rFonts w:ascii="Arial" w:cs="Arial" w:eastAsia="Arial" w:hAnsi="Arial"/>
          <w:sz w:val="16"/>
          <w:szCs w:val="16"/>
          <w:color w:val="auto"/>
        </w:rPr>
        <w:t>Adjusted Net Trading Income, EBITDA, Adjusted EBITDA, Normalized Adjusted Net Income, Normalized Adjusted Net Income before income taxes, Normalized provision for income taxes and Normalized Adjusted EPS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financial measures are used by research analysts, investment bankers and lenders to assess our operating performance. Management believes that the presentation of Adjusted Net Trading Income, EBITDA, Adjusted EBITDA, Normalized Adjusted Net Income, Normalized Adjusted Net Income before income taxes, Normalized provision for income taxes and Normalized Adjusted EPS provide useful information to investors regarding our results of operations and cash flows because they assist both investors and management in analyzing and benchmarking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performance and value of our business. Adjusted Net Trading Income, EBITDA, Adjusted EBITDA, Normalized Adjusted Net Income, Normalized Adjusted Net Income before income taxes, Normalized provision for income taxes and Normalized Adjusted EPS provide indicators of general economic performance that are not affected by fluctuations in certain costs or other items. Accordingly, management believes that these measurements are useful for comparing general operating performance from period to period. Furthermore, our Fourth Amended and Restated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and Normalized Adjusted EPS differently, and as a result our measures of Adjusted Net Trading Income, Adjusted EBITDA, Normalized Adjusted Net Income, Normalized Adjusted Net Income before income taxes, Normalized provision for income taxes and Normalized Adjusted EPS may not be directly comparable to those of other companies. Although we use these non-GAAP measures as financial measures to assess the performance of our business, such use is limited because they do not include certain material costs necessary to operate our business.</w:t>
      </w:r>
    </w:p>
    <w:p>
      <w:pPr>
        <w:spacing w:after="0" w:line="133" w:lineRule="exact"/>
        <w:rPr>
          <w:sz w:val="20"/>
          <w:szCs w:val="20"/>
          <w:color w:val="auto"/>
        </w:rPr>
      </w:pPr>
    </w:p>
    <w:p>
      <w:pPr>
        <w:ind w:right="40" w:firstLine="315"/>
        <w:spacing w:after="0" w:line="262" w:lineRule="auto"/>
        <w:rPr>
          <w:sz w:val="20"/>
          <w:szCs w:val="20"/>
          <w:color w:val="auto"/>
        </w:rPr>
      </w:pPr>
      <w:r>
        <w:rPr>
          <w:rFonts w:ascii="Arial" w:cs="Arial" w:eastAsia="Arial" w:hAnsi="Arial"/>
          <w:sz w:val="17"/>
          <w:szCs w:val="17"/>
          <w:color w:val="auto"/>
        </w:rPr>
        <w:t>Adjusted Net Trading Income, EBITDA, Adjusted EBITDA, Normalized Adjusted Net Income, Normalized Adjusted Net Income before income taxes, Normalized provision for income taxes and Normalized Adjusted EPS should be considered in addition to, and not as a substitute for, Net Income in accordance with U.S. GAAP as a measure of performance. Our presentation of Adjusted Net Trading Income, EBITDA, Adjusted EBITDA, Normalized Adjusted Net Income, Normalized Adjusted Net Income before income taxes, Normalized provision for income taxes and Normalized Adjusted EPS should not be construed as an indication that our future results will be unaffected by unusual or nonrecurring items. Adjusted Net Trading Income, Normalized Adjusted Net Income, Normalized Adjusted Net Income before income taxes, Normalized provision for income taxes and Normalized Adjusted EPS and our EBITDA-based measures have limitations as analytical tools, and you should not consider them in isolation or as substitutes for analysis of our results as reported under U.S. GAAP. Some of these limitations are:</w:t>
      </w:r>
    </w:p>
    <w:p>
      <w:pPr>
        <w:spacing w:after="0" w:line="156" w:lineRule="exact"/>
        <w:rPr>
          <w:sz w:val="20"/>
          <w:szCs w:val="20"/>
          <w:color w:val="auto"/>
        </w:rPr>
      </w:pPr>
    </w:p>
    <w:p>
      <w:pPr>
        <w:ind w:left="1020" w:hanging="22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they do not reflect every cash expenditure, future requirements for capital expenditures or contractual commitments;</w:t>
      </w:r>
    </w:p>
    <w:p>
      <w:pPr>
        <w:spacing w:after="0" w:line="119" w:lineRule="exact"/>
        <w:rPr>
          <w:rFonts w:ascii="Arial" w:cs="Arial" w:eastAsia="Arial" w:hAnsi="Arial"/>
          <w:sz w:val="17"/>
          <w:szCs w:val="17"/>
          <w:color w:val="auto"/>
        </w:rPr>
      </w:pPr>
    </w:p>
    <w:p>
      <w:pPr>
        <w:ind w:left="1020" w:right="480" w:hanging="228"/>
        <w:spacing w:after="0" w:line="290"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EBITDA-based measures do not reflect the significant interest expense or the cash requirements necessary to service interest or principal payment on our debt;</w:t>
      </w:r>
    </w:p>
    <w:p>
      <w:pPr>
        <w:spacing w:after="0" w:line="52" w:lineRule="exact"/>
        <w:rPr>
          <w:rFonts w:ascii="Arial" w:cs="Arial" w:eastAsia="Arial" w:hAnsi="Arial"/>
          <w:sz w:val="17"/>
          <w:szCs w:val="17"/>
          <w:color w:val="auto"/>
        </w:rPr>
      </w:pPr>
    </w:p>
    <w:p>
      <w:pPr>
        <w:ind w:left="1020" w:right="180" w:hanging="228"/>
        <w:spacing w:after="0" w:line="360"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 w:lineRule="exact"/>
        <w:rPr>
          <w:rFonts w:ascii="Arial" w:cs="Arial" w:eastAsia="Arial" w:hAnsi="Arial"/>
          <w:sz w:val="15"/>
          <w:szCs w:val="15"/>
          <w:color w:val="auto"/>
        </w:rPr>
      </w:pPr>
    </w:p>
    <w:p>
      <w:pPr>
        <w:ind w:left="1020" w:hanging="22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our statements of cash flows;</w:t>
      </w:r>
    </w:p>
    <w:p>
      <w:pPr>
        <w:spacing w:after="0" w:line="119" w:lineRule="exact"/>
        <w:rPr>
          <w:rFonts w:ascii="Arial" w:cs="Arial" w:eastAsia="Arial" w:hAnsi="Arial"/>
          <w:sz w:val="17"/>
          <w:szCs w:val="17"/>
          <w:color w:val="auto"/>
        </w:rPr>
      </w:pPr>
    </w:p>
    <w:p>
      <w:pPr>
        <w:ind w:left="1020" w:hanging="228"/>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30" w:lineRule="exact"/>
        <w:rPr>
          <w:rFonts w:ascii="Arial" w:cs="Arial" w:eastAsia="Arial" w:hAnsi="Arial"/>
          <w:sz w:val="16"/>
          <w:szCs w:val="16"/>
          <w:color w:val="auto"/>
        </w:rPr>
      </w:pPr>
    </w:p>
    <w:p>
      <w:pPr>
        <w:ind w:left="1020" w:hanging="22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they do not reflect limitations on our costs related to transferring earnings from our subsidiaries to us.</w:t>
      </w:r>
    </w:p>
    <w:p>
      <w:pPr>
        <w:spacing w:after="0" w:line="224" w:lineRule="exact"/>
        <w:rPr>
          <w:sz w:val="20"/>
          <w:szCs w:val="20"/>
          <w:color w:val="auto"/>
        </w:rPr>
      </w:pPr>
    </w:p>
    <w:p>
      <w:pPr>
        <w:ind w:firstLine="315"/>
        <w:spacing w:after="0" w:line="276" w:lineRule="auto"/>
        <w:rPr>
          <w:sz w:val="20"/>
          <w:szCs w:val="20"/>
          <w:color w:val="auto"/>
        </w:rPr>
      </w:pPr>
      <w:r>
        <w:rPr>
          <w:rFonts w:ascii="Arial" w:cs="Arial" w:eastAsia="Arial" w:hAnsi="Arial"/>
          <w:sz w:val="16"/>
          <w:szCs w:val="16"/>
          <w:color w:val="auto"/>
        </w:rPr>
        <w:t>Because of these limitations, Adjusted Net Trading Income, EBITDA, Adjusted EBITDA, Normalized Adjusted Net Income, Normalized Adjusted Net Income before income taxes, Normalized provision for income taxes and Normalized Adjusted EPS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Normalized Adjusted Net Income, Normalized Adjusted Net Income before income taxes, Normalized provision for income taxes and Normalized Adjusted EPS along with other comparative tools, together with U.S. GAAP measurements, to assist in the evaluation of operating performance. These</w:t>
      </w:r>
    </w:p>
    <w:p>
      <w:pPr>
        <w:spacing w:after="0" w:line="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U.S. GAAP measurements include operating Net Income, cash flows from operations and cash flow data. See below a reconciliation of each non-GAAP financial measure to the most directly comparable GAAP measure.</w:t>
      </w:r>
    </w:p>
    <w:p>
      <w:pPr>
        <w:spacing w:after="0" w:line="170" w:lineRule="exact"/>
        <w:rPr>
          <w:sz w:val="20"/>
          <w:szCs w:val="20"/>
          <w:color w:val="auto"/>
        </w:rPr>
      </w:pPr>
    </w:p>
    <w:p>
      <w:pPr>
        <w:ind w:right="80" w:firstLine="315"/>
        <w:spacing w:after="0" w:line="290" w:lineRule="auto"/>
        <w:rPr>
          <w:sz w:val="20"/>
          <w:szCs w:val="20"/>
          <w:color w:val="auto"/>
        </w:rPr>
      </w:pPr>
      <w:r>
        <w:rPr>
          <w:rFonts w:ascii="Arial" w:cs="Arial" w:eastAsia="Arial" w:hAnsi="Arial"/>
          <w:sz w:val="17"/>
          <w:szCs w:val="17"/>
          <w:color w:val="auto"/>
        </w:rPr>
        <w:t>The following tables reconcile condensed consolidated statements of comprehensive income to arrive at EBITDA, Adjusted EBITDA, Adjusted Net Trading Income, and selected Operating Margins for the three and nine months ended September 30, 2018, and 2017.</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380"/>
          </w:cols>
          <w:pgMar w:left="240" w:top="127" w:right="27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7"/>
          </w:tcPr>
          <w:p>
            <w:pPr>
              <w:ind w:left="80"/>
              <w:spacing w:after="0"/>
              <w:rPr>
                <w:sz w:val="20"/>
                <w:szCs w:val="20"/>
                <w:color w:val="auto"/>
              </w:rPr>
            </w:pPr>
            <w:r>
              <w:rPr>
                <w:rFonts w:ascii="Arial" w:cs="Arial" w:eastAsia="Arial" w:hAnsi="Arial"/>
                <w:sz w:val="14"/>
                <w:szCs w:val="14"/>
                <w:b w:val="1"/>
                <w:bCs w:val="1"/>
                <w:color w:val="auto"/>
                <w:w w:val="96"/>
              </w:rPr>
              <w:t>For the Three Months Ended September</w:t>
            </w:r>
          </w:p>
        </w:tc>
        <w:tc>
          <w:tcPr>
            <w:tcW w:w="24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For the Nine Months Ended September</w:t>
            </w:r>
          </w:p>
        </w:tc>
      </w:tr>
      <w:tr>
        <w:trPr>
          <w:trHeight w:val="188"/>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tcBorders>
          </w:tcPr>
          <w:p>
            <w:pPr>
              <w:spacing w:after="0"/>
              <w:rPr>
                <w:sz w:val="16"/>
                <w:szCs w:val="16"/>
                <w:color w:val="auto"/>
              </w:rPr>
            </w:pPr>
          </w:p>
        </w:tc>
      </w:tr>
      <w:tr>
        <w:trPr>
          <w:trHeight w:val="25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4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235,699</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203,907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900,454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479,644</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Interest and dividends income</w:t>
            </w:r>
          </w:p>
        </w:tc>
        <w:tc>
          <w:tcPr>
            <w:tcW w:w="28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21,451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20,430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61,337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30,933</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40,252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43,351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140,661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49,237</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2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(68,638)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(64,584)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(229,779)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(170,253)</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(18,283)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(12,071)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(50,381)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(12,071)</w:t>
            </w:r>
          </w:p>
        </w:tc>
      </w:tr>
      <w:tr>
        <w:trPr>
          <w:trHeight w:val="257"/>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and dividends expense</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(32,566)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(31,242)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(101,199)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(58,456)</w:t>
            </w:r>
          </w:p>
        </w:tc>
      </w:tr>
      <w:tr>
        <w:trPr>
          <w:trHeight w:val="24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177,915</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159,791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721,093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319,034</w:t>
            </w:r>
          </w:p>
        </w:tc>
      </w:tr>
      <w:tr>
        <w:trPr>
          <w:trHeight w:val="276"/>
        </w:trPr>
        <w:tc>
          <w:tcPr>
            <w:tcW w:w="5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2"/>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15,610</w:t>
            </w: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(39,990)</w:t>
            </w:r>
          </w:p>
        </w:tc>
        <w:tc>
          <w:tcPr>
            <w:tcW w:w="120" w:type="dxa"/>
            <w:vAlign w:val="bottom"/>
          </w:tcPr>
          <w:p>
            <w:pPr>
              <w:spacing w:after="0"/>
              <w:rPr>
                <w:sz w:val="22"/>
                <w:szCs w:val="22"/>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472,255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(14,503)</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interest expense on long-term borrowings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17,709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24,593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55,536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40,141</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Debt issue cost related to debt refinancing</w:t>
            </w:r>
          </w:p>
        </w:tc>
        <w:tc>
          <w:tcPr>
            <w:tcW w:w="28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3,347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4,869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11,727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9,351</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16,012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15,602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47,558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29,157</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8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6,367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6,440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20,042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6,546</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13,815</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(6,505)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75,330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(2,918)</w:t>
            </w: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72,860</w:t>
            </w: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5,009</w:t>
            </w:r>
          </w:p>
        </w:tc>
        <w:tc>
          <w:tcPr>
            <w:tcW w:w="120" w:type="dxa"/>
            <w:vAlign w:val="bottom"/>
          </w:tcPr>
          <w:p>
            <w:pPr>
              <w:spacing w:after="0"/>
              <w:rPr>
                <w:sz w:val="20"/>
                <w:szCs w:val="20"/>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682,448</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67,774</w:t>
            </w:r>
          </w:p>
        </w:tc>
      </w:tr>
      <w:tr>
        <w:trPr>
          <w:trHeight w:val="281"/>
        </w:trPr>
        <w:tc>
          <w:tcPr>
            <w:tcW w:w="5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Severance</w:t>
            </w:r>
          </w:p>
        </w:tc>
        <w:tc>
          <w:tcPr>
            <w:tcW w:w="28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1,291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9,295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10,172</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Reserve for legal matters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1,620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(2,176)</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Transaction advisory fees and expenses</w:t>
            </w:r>
          </w:p>
        </w:tc>
        <w:tc>
          <w:tcPr>
            <w:tcW w:w="2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(261)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15,677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8,985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24,188</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Termination of office leases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1,440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1,811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23,300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1,811</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Connectivity early termination</w:t>
            </w:r>
          </w:p>
        </w:tc>
        <w:tc>
          <w:tcPr>
            <w:tcW w:w="28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7,062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on sale of business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2,339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(335,210)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(289)</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Write-down of assets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542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3,239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544</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Acquisition related retention bonus</w:t>
            </w:r>
          </w:p>
        </w:tc>
        <w:tc>
          <w:tcPr>
            <w:tcW w:w="28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23,050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23,050</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7,091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2,270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20,213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17,102</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Charges related to share based compensation at IPO, 2015 Management Incentive Plan</w:t>
            </w:r>
          </w:p>
        </w:tc>
        <w:tc>
          <w:tcPr>
            <w:tcW w:w="28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1,425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1,336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4,356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4,134</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Charges related to share based compensation awards at IPO</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545</w:t>
            </w: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88,287</w:t>
            </w: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58,873</w:t>
            </w:r>
          </w:p>
        </w:tc>
        <w:tc>
          <w:tcPr>
            <w:tcW w:w="120" w:type="dxa"/>
            <w:vAlign w:val="bottom"/>
          </w:tcPr>
          <w:p>
            <w:pPr>
              <w:spacing w:after="0"/>
              <w:rPr>
                <w:sz w:val="20"/>
                <w:szCs w:val="20"/>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423,421</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146,855</w:t>
            </w:r>
          </w:p>
        </w:tc>
      </w:tr>
      <w:tr>
        <w:trPr>
          <w:trHeight w:val="281"/>
        </w:trPr>
        <w:tc>
          <w:tcPr>
            <w:tcW w:w="5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Margin (1)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EBITDA Margin (2)</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21.2 %</w:t>
            </w:r>
          </w:p>
        </w:tc>
      </w:tr>
      <w:tr>
        <w:trPr>
          <w:trHeight w:val="26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EBITDA Margin (3)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36.8 %</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75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00" w:hanging="395"/>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3" w:lineRule="exact"/>
        <w:rPr>
          <w:rFonts w:ascii="Arial" w:cs="Arial" w:eastAsia="Arial" w:hAnsi="Arial"/>
          <w:sz w:val="16"/>
          <w:szCs w:val="16"/>
          <w:color w:val="auto"/>
        </w:rPr>
      </w:pPr>
    </w:p>
    <w:p>
      <w:pPr>
        <w:ind w:left="400" w:hanging="395"/>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ind w:left="400" w:hanging="395"/>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060"/>
          </w:cols>
          <w:pgMar w:left="240" w:top="127" w:right="59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560" w:firstLine="315"/>
        <w:spacing w:after="0" w:line="290" w:lineRule="auto"/>
        <w:rPr>
          <w:sz w:val="20"/>
          <w:szCs w:val="20"/>
          <w:color w:val="auto"/>
        </w:rPr>
      </w:pPr>
      <w:r>
        <w:rPr>
          <w:rFonts w:ascii="Arial" w:cs="Arial" w:eastAsia="Arial" w:hAnsi="Arial"/>
          <w:sz w:val="17"/>
          <w:szCs w:val="17"/>
          <w:color w:val="auto"/>
        </w:rPr>
        <w:t>The following tables reconcile Net Income to arrive at Normalized Adjusted Net Income before income taxes, Normalized provision for income taxes, Normalized Adjusted Net Income and Normalized Adjusted EPS.</w:t>
      </w:r>
    </w:p>
    <w:p>
      <w:pPr>
        <w:spacing w:after="0" w:line="24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204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6"/>
                <w:szCs w:val="16"/>
                <w:color w:val="auto"/>
              </w:rPr>
            </w:pPr>
          </w:p>
        </w:tc>
        <w:tc>
          <w:tcPr>
            <w:tcW w:w="204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September 30,</w:t>
            </w:r>
          </w:p>
        </w:tc>
      </w:tr>
      <w:tr>
        <w:trPr>
          <w:trHeight w:val="25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2017</w:t>
            </w:r>
          </w:p>
        </w:tc>
      </w:tr>
      <w:tr>
        <w:trPr>
          <w:trHeight w:val="261"/>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7"/>
        </w:trPr>
        <w:tc>
          <w:tcPr>
            <w:tcW w:w="616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15,610</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(39,990)</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472,255</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(14,503)</w:t>
            </w:r>
          </w:p>
        </w:tc>
      </w:tr>
      <w:tr>
        <w:trPr>
          <w:trHeight w:val="262"/>
        </w:trPr>
        <w:tc>
          <w:tcPr>
            <w:tcW w:w="6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13,815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75,330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(2,918)</w:t>
            </w:r>
          </w:p>
        </w:tc>
      </w:tr>
      <w:tr>
        <w:trPr>
          <w:trHeight w:val="242"/>
        </w:trPr>
        <w:tc>
          <w:tcPr>
            <w:tcW w:w="6160" w:type="dxa"/>
            <w:vAlign w:val="bottom"/>
          </w:tcPr>
          <w:p>
            <w:pPr>
              <w:ind w:left="160"/>
              <w:spacing w:after="0"/>
              <w:rPr>
                <w:sz w:val="20"/>
                <w:szCs w:val="20"/>
                <w:color w:val="auto"/>
              </w:rPr>
            </w:pPr>
            <w:r>
              <w:rPr>
                <w:rFonts w:ascii="Arial" w:cs="Arial" w:eastAsia="Arial" w:hAnsi="Arial"/>
                <w:sz w:val="14"/>
                <w:szCs w:val="14"/>
                <w:color w:val="auto"/>
              </w:rPr>
              <w:t>Income before income taxes</w:t>
            </w: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29,425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547,585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(17,421)</w:t>
            </w:r>
          </w:p>
        </w:tc>
      </w:tr>
      <w:tr>
        <w:trPr>
          <w:trHeight w:val="320"/>
        </w:trPr>
        <w:tc>
          <w:tcPr>
            <w:tcW w:w="6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57"/>
        </w:trPr>
        <w:tc>
          <w:tcPr>
            <w:tcW w:w="6160" w:type="dxa"/>
            <w:vAlign w:val="bottom"/>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0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6,367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6,440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20,042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6,546</w:t>
            </w:r>
          </w:p>
        </w:tc>
      </w:tr>
      <w:tr>
        <w:trPr>
          <w:trHeight w:val="268"/>
        </w:trPr>
        <w:tc>
          <w:tcPr>
            <w:tcW w:w="6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Financing interest expense related to KCG transaction</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4,626</w:t>
            </w:r>
          </w:p>
        </w:tc>
      </w:tr>
      <w:tr>
        <w:trPr>
          <w:trHeight w:val="257"/>
        </w:trPr>
        <w:tc>
          <w:tcPr>
            <w:tcW w:w="6160" w:type="dxa"/>
            <w:vAlign w:val="bottom"/>
          </w:tcPr>
          <w:p>
            <w:pPr>
              <w:ind w:left="160"/>
              <w:spacing w:after="0"/>
              <w:rPr>
                <w:sz w:val="20"/>
                <w:szCs w:val="20"/>
                <w:color w:val="auto"/>
              </w:rPr>
            </w:pPr>
            <w:r>
              <w:rPr>
                <w:rFonts w:ascii="Arial" w:cs="Arial" w:eastAsia="Arial" w:hAnsi="Arial"/>
                <w:sz w:val="14"/>
                <w:szCs w:val="14"/>
                <w:color w:val="auto"/>
              </w:rPr>
              <w:t>Debt issue cost related to debt refinancing</w:t>
            </w:r>
          </w:p>
        </w:tc>
        <w:tc>
          <w:tcPr>
            <w:tcW w:w="20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3,347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4,869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11,727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9,351</w:t>
            </w:r>
          </w:p>
        </w:tc>
      </w:tr>
      <w:tr>
        <w:trPr>
          <w:trHeight w:val="268"/>
        </w:trPr>
        <w:tc>
          <w:tcPr>
            <w:tcW w:w="6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9,295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10,172</w:t>
            </w:r>
          </w:p>
        </w:tc>
      </w:tr>
      <w:tr>
        <w:trPr>
          <w:trHeight w:val="257"/>
        </w:trPr>
        <w:tc>
          <w:tcPr>
            <w:tcW w:w="6160" w:type="dxa"/>
            <w:vAlign w:val="bottom"/>
          </w:tcPr>
          <w:p>
            <w:pPr>
              <w:ind w:left="160"/>
              <w:spacing w:after="0"/>
              <w:rPr>
                <w:sz w:val="20"/>
                <w:szCs w:val="20"/>
                <w:color w:val="auto"/>
              </w:rPr>
            </w:pPr>
            <w:r>
              <w:rPr>
                <w:rFonts w:ascii="Arial" w:cs="Arial" w:eastAsia="Arial" w:hAnsi="Arial"/>
                <w:sz w:val="14"/>
                <w:szCs w:val="14"/>
                <w:color w:val="auto"/>
              </w:rPr>
              <w:t>Reserve for legal matters</w:t>
            </w:r>
          </w:p>
        </w:tc>
        <w:tc>
          <w:tcPr>
            <w:tcW w:w="20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1,620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(2,176)</w:t>
            </w:r>
          </w:p>
        </w:tc>
      </w:tr>
      <w:tr>
        <w:trPr>
          <w:trHeight w:val="268"/>
        </w:trPr>
        <w:tc>
          <w:tcPr>
            <w:tcW w:w="6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 advisory fees and expenses</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15,677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8,985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24,188</w:t>
            </w:r>
          </w:p>
        </w:tc>
      </w:tr>
      <w:tr>
        <w:trPr>
          <w:trHeight w:val="257"/>
        </w:trPr>
        <w:tc>
          <w:tcPr>
            <w:tcW w:w="6160" w:type="dxa"/>
            <w:vAlign w:val="bottom"/>
          </w:tcPr>
          <w:p>
            <w:pPr>
              <w:ind w:left="160"/>
              <w:spacing w:after="0"/>
              <w:rPr>
                <w:sz w:val="20"/>
                <w:szCs w:val="20"/>
                <w:color w:val="auto"/>
              </w:rPr>
            </w:pPr>
            <w:r>
              <w:rPr>
                <w:rFonts w:ascii="Arial" w:cs="Arial" w:eastAsia="Arial" w:hAnsi="Arial"/>
                <w:sz w:val="14"/>
                <w:szCs w:val="14"/>
                <w:color w:val="auto"/>
              </w:rPr>
              <w:t>Termination of office leases</w:t>
            </w:r>
          </w:p>
        </w:tc>
        <w:tc>
          <w:tcPr>
            <w:tcW w:w="20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1,811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23,300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1,811</w:t>
            </w:r>
          </w:p>
        </w:tc>
      </w:tr>
      <w:tr>
        <w:trPr>
          <w:trHeight w:val="268"/>
        </w:trPr>
        <w:tc>
          <w:tcPr>
            <w:tcW w:w="6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Connectivity early termination</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6160" w:type="dxa"/>
            <w:vAlign w:val="bottom"/>
          </w:tcPr>
          <w:p>
            <w:pPr>
              <w:ind w:left="160"/>
              <w:spacing w:after="0"/>
              <w:rPr>
                <w:sz w:val="20"/>
                <w:szCs w:val="20"/>
                <w:color w:val="auto"/>
              </w:rPr>
            </w:pPr>
            <w:r>
              <w:rPr>
                <w:rFonts w:ascii="Arial" w:cs="Arial" w:eastAsia="Arial" w:hAnsi="Arial"/>
                <w:sz w:val="14"/>
                <w:szCs w:val="14"/>
                <w:color w:val="auto"/>
              </w:rPr>
              <w:t>Gain on sale of business</w:t>
            </w:r>
          </w:p>
        </w:tc>
        <w:tc>
          <w:tcPr>
            <w:tcW w:w="20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2,339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(335,210)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6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Write-down of assets</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2,177</w:t>
            </w:r>
          </w:p>
        </w:tc>
      </w:tr>
      <w:tr>
        <w:trPr>
          <w:trHeight w:val="257"/>
        </w:trPr>
        <w:tc>
          <w:tcPr>
            <w:tcW w:w="6160" w:type="dxa"/>
            <w:vAlign w:val="bottom"/>
          </w:tcPr>
          <w:p>
            <w:pPr>
              <w:ind w:left="20"/>
              <w:spacing w:after="0"/>
              <w:rPr>
                <w:sz w:val="20"/>
                <w:szCs w:val="20"/>
                <w:color w:val="auto"/>
              </w:rPr>
            </w:pPr>
            <w:r>
              <w:rPr>
                <w:rFonts w:ascii="Arial" w:cs="Arial" w:eastAsia="Arial" w:hAnsi="Arial"/>
                <w:sz w:val="14"/>
                <w:szCs w:val="14"/>
                <w:color w:val="auto"/>
              </w:rPr>
              <w:t>Acquisition related retention bonus</w:t>
            </w: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23,050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23,050</w:t>
            </w:r>
          </w:p>
        </w:tc>
      </w:tr>
      <w:tr>
        <w:trPr>
          <w:trHeight w:val="268"/>
        </w:trPr>
        <w:tc>
          <w:tcPr>
            <w:tcW w:w="6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257"/>
        </w:trPr>
        <w:tc>
          <w:tcPr>
            <w:tcW w:w="6160" w:type="dxa"/>
            <w:vAlign w:val="bottom"/>
          </w:tcPr>
          <w:p>
            <w:pPr>
              <w:ind w:left="160"/>
              <w:spacing w:after="0"/>
              <w:rPr>
                <w:sz w:val="20"/>
                <w:szCs w:val="20"/>
                <w:color w:val="auto"/>
              </w:rPr>
            </w:pPr>
            <w:r>
              <w:rPr>
                <w:rFonts w:ascii="Arial" w:cs="Arial" w:eastAsia="Arial" w:hAnsi="Arial"/>
                <w:sz w:val="14"/>
                <w:szCs w:val="14"/>
                <w:color w:val="auto"/>
              </w:rPr>
              <w:t>Share based compensation</w:t>
            </w:r>
          </w:p>
        </w:tc>
        <w:tc>
          <w:tcPr>
            <w:tcW w:w="20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7,091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2,270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20,213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17,102</w:t>
            </w:r>
          </w:p>
        </w:tc>
      </w:tr>
      <w:tr>
        <w:trPr>
          <w:trHeight w:val="268"/>
        </w:trPr>
        <w:tc>
          <w:tcPr>
            <w:tcW w:w="6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 related to share based compensation at IPO, 2015 Management Incentive Plan</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4,134</w:t>
            </w:r>
          </w:p>
        </w:tc>
      </w:tr>
      <w:tr>
        <w:trPr>
          <w:trHeight w:val="257"/>
        </w:trPr>
        <w:tc>
          <w:tcPr>
            <w:tcW w:w="6160" w:type="dxa"/>
            <w:vAlign w:val="bottom"/>
          </w:tcPr>
          <w:p>
            <w:pPr>
              <w:ind w:left="160"/>
              <w:spacing w:after="0"/>
              <w:rPr>
                <w:sz w:val="20"/>
                <w:szCs w:val="20"/>
                <w:color w:val="auto"/>
              </w:rPr>
            </w:pPr>
            <w:r>
              <w:rPr>
                <w:rFonts w:ascii="Arial" w:cs="Arial" w:eastAsia="Arial" w:hAnsi="Arial"/>
                <w:sz w:val="14"/>
                <w:szCs w:val="14"/>
                <w:color w:val="auto"/>
              </w:rPr>
              <w:t>Charges related to share based compensation awards at IPO</w:t>
            </w: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545</w:t>
            </w:r>
          </w:p>
        </w:tc>
      </w:tr>
      <w:tr>
        <w:trPr>
          <w:trHeight w:val="248"/>
        </w:trPr>
        <w:tc>
          <w:tcPr>
            <w:tcW w:w="61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Normalized Adjusted Net Income before income taxes</w:t>
            </w: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54,566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22,219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320,327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83,816</w:t>
            </w:r>
          </w:p>
        </w:tc>
      </w:tr>
      <w:tr>
        <w:trPr>
          <w:trHeight w:val="257"/>
        </w:trPr>
        <w:tc>
          <w:tcPr>
            <w:tcW w:w="61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Normalized provision for income taxes (1)</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12,550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8,221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73,671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31,012</w:t>
            </w:r>
          </w:p>
        </w:tc>
      </w:tr>
      <w:tr>
        <w:trPr>
          <w:trHeight w:val="248"/>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Normalized Adjusted Net Income</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42,016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246,656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52,804</w:t>
            </w:r>
          </w:p>
        </w:tc>
      </w:tr>
      <w:tr>
        <w:trPr>
          <w:trHeight w:val="315"/>
        </w:trPr>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2"/>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Adjusted shares outstanding (2)</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191,989,323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7"/>
              </w:rPr>
              <w:t>178,490,856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7"/>
              </w:rPr>
              <w:t>190,886,342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7"/>
              </w:rPr>
              <w:t>152,812,060</w:t>
            </w:r>
          </w:p>
        </w:tc>
      </w:tr>
      <w:tr>
        <w:trPr>
          <w:trHeight w:val="315"/>
        </w:trPr>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2"/>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Normalized Adjusted EPS</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433070</wp:posOffset>
            </wp:positionV>
            <wp:extent cx="1875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0" w:hanging="395"/>
        <w:spacing w:after="0"/>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23% for 2018 and 35.5% for 2017.</w:t>
      </w:r>
    </w:p>
    <w:p>
      <w:pPr>
        <w:spacing w:after="0" w:line="13" w:lineRule="exact"/>
        <w:rPr>
          <w:rFonts w:ascii="Arial" w:cs="Arial" w:eastAsia="Arial" w:hAnsi="Arial"/>
          <w:sz w:val="16"/>
          <w:szCs w:val="16"/>
          <w:color w:val="auto"/>
        </w:rPr>
      </w:pPr>
    </w:p>
    <w:p>
      <w:pPr>
        <w:ind w:left="400" w:right="100" w:hanging="395"/>
        <w:spacing w:after="0" w:line="304" w:lineRule="auto"/>
        <w:tabs>
          <w:tab w:leader="none" w:pos="4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Assumes that (1) holders of all vested and unvested non-vesting common interest units in Virtu Financial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par value $0.00001 per share (the "Class A Common Stock") on a one-for-one basis. Includes additional shares from dilutive impact of options and restricted stock units outstanding under the 2015 Management Incentive Plan during the three and nine months ended September 30, 2018 and 2017.</w:t>
      </w:r>
    </w:p>
    <w:p>
      <w:pPr>
        <w:spacing w:after="0" w:line="154"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 xml:space="preserve">The following tables reconcile trading income, net to Adjusted Net Trading Income by operating segment (in thousands) for the three and nine months ended </w:t>
      </w:r>
      <w:r>
        <w:rPr>
          <w:rFonts w:ascii="Arial" w:cs="Arial" w:eastAsia="Arial" w:hAnsi="Arial"/>
          <w:sz w:val="15"/>
          <w:szCs w:val="15"/>
          <w:color w:val="auto"/>
        </w:rPr>
        <w:t>September 30, 2018</w:t>
      </w:r>
      <w:r>
        <w:rPr>
          <w:rFonts w:ascii="Arial" w:cs="Arial" w:eastAsia="Arial" w:hAnsi="Arial"/>
          <w:sz w:val="17"/>
          <w:szCs w:val="17"/>
          <w:color w:val="auto"/>
        </w:rPr>
        <w:t xml:space="preserve"> and </w:t>
      </w:r>
      <w:r>
        <w:rPr>
          <w:rFonts w:ascii="Arial" w:cs="Arial" w:eastAsia="Arial" w:hAnsi="Arial"/>
          <w:sz w:val="15"/>
          <w:szCs w:val="15"/>
          <w:color w:val="auto"/>
        </w:rPr>
        <w:t>2017</w:t>
      </w:r>
      <w:r>
        <w:rPr>
          <w:rFonts w:ascii="Arial" w:cs="Arial" w:eastAsia="Arial" w:hAnsi="Arial"/>
          <w:sz w:val="17"/>
          <w:szCs w:val="17"/>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127"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5"/>
              </w:rPr>
              <w:t>Three Months Ended September 30,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56"/>
        </w:trPr>
        <w:tc>
          <w:tcPr>
            <w:tcW w:w="36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97"/>
              </w:rPr>
              <w:t>Market Making</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w w:val="95"/>
              </w:rPr>
              <w:t>Execution Services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Corporate</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Total</w:t>
            </w:r>
          </w:p>
        </w:tc>
      </w:tr>
      <w:tr>
        <w:trPr>
          <w:trHeight w:val="24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235,564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235,699</w:t>
            </w: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6,587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33,665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40,252</w:t>
            </w: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21,320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21,451</w:t>
            </w: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(54,305)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(68,638)</w:t>
            </w: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(18,283)</w:t>
            </w: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Interest and dividends expense</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(32,048)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(32,566)</w:t>
            </w:r>
          </w:p>
        </w:tc>
      </w:tr>
      <w:tr>
        <w:trPr>
          <w:trHeight w:val="235"/>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158,857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19,037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177,915</w:t>
            </w: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5"/>
              </w:rPr>
              <w:t>Three Months Ended September 30, 2017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56"/>
        </w:trPr>
        <w:tc>
          <w:tcPr>
            <w:tcW w:w="3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Execution Services</w:t>
            </w:r>
          </w:p>
        </w:tc>
        <w:tc>
          <w:tcPr>
            <w:tcW w:w="200" w:type="dxa"/>
            <w:vAlign w:val="bottom"/>
          </w:tcPr>
          <w:p>
            <w:pPr>
              <w:spacing w:after="0"/>
              <w:rPr>
                <w:sz w:val="22"/>
                <w:szCs w:val="22"/>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Corporate</w:t>
            </w:r>
          </w:p>
        </w:tc>
        <w:tc>
          <w:tcPr>
            <w:tcW w:w="280" w:type="dxa"/>
            <w:vAlign w:val="bottom"/>
          </w:tcPr>
          <w:p>
            <w:pPr>
              <w:spacing w:after="0"/>
              <w:rPr>
                <w:sz w:val="22"/>
                <w:szCs w:val="22"/>
                <w:color w:val="auto"/>
              </w:rPr>
            </w:pPr>
          </w:p>
        </w:tc>
        <w:tc>
          <w:tcPr>
            <w:tcW w:w="960" w:type="dxa"/>
            <w:vAlign w:val="bottom"/>
          </w:tcPr>
          <w:p>
            <w:pPr>
              <w:jc w:val="right"/>
              <w:ind w:right="410"/>
              <w:spacing w:after="0"/>
              <w:rPr>
                <w:sz w:val="20"/>
                <w:szCs w:val="20"/>
                <w:color w:val="auto"/>
              </w:rPr>
            </w:pPr>
            <w:r>
              <w:rPr>
                <w:rFonts w:ascii="Arial" w:cs="Arial" w:eastAsia="Arial" w:hAnsi="Arial"/>
                <w:sz w:val="14"/>
                <w:szCs w:val="14"/>
                <w:color w:val="auto"/>
              </w:rPr>
              <w:t>Total</w:t>
            </w:r>
          </w:p>
        </w:tc>
      </w:tr>
      <w:tr>
        <w:trPr>
          <w:trHeight w:val="248"/>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206,543</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705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203,907</w:t>
            </w: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1,563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41,788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43,351</w:t>
            </w: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20,056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20,430</w:t>
            </w: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(52,321)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(64,584)</w:t>
            </w: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(12,071)</w:t>
            </w:r>
          </w:p>
        </w:tc>
      </w:tr>
      <w:tr>
        <w:trPr>
          <w:trHeight w:val="257"/>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(31,360)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1,561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(31,242)</w:t>
            </w:r>
          </w:p>
        </w:tc>
      </w:tr>
      <w:tr>
        <w:trPr>
          <w:trHeight w:val="23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132,029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28,229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159,791</w:t>
            </w: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89"/>
              </w:rPr>
              <w:t>Nine Months Ended September 30,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56"/>
        </w:trPr>
        <w:tc>
          <w:tcPr>
            <w:tcW w:w="36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97"/>
              </w:rPr>
              <w:t>Market Making</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w w:val="95"/>
              </w:rPr>
              <w:t>Execution Services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Corporate</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Total</w:t>
            </w:r>
          </w:p>
        </w:tc>
      </w:tr>
      <w:tr>
        <w:trPr>
          <w:trHeight w:val="24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899,902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900,454</w:t>
            </w: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21,886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118,775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140,661</w:t>
            </w: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60,681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61,337</w:t>
            </w: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(183,171)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(46,608)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(229,779)</w:t>
            </w: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(50,284)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(50,381)</w:t>
            </w: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Interest and dividends expense</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(101,199)</w:t>
            </w:r>
          </w:p>
        </w:tc>
      </w:tr>
      <w:tr>
        <w:trPr>
          <w:trHeight w:val="235"/>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649,012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72,025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721,093</w:t>
            </w: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7"/>
              </w:rPr>
              <w:t>Nine Months Ended September 30, 2017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56"/>
        </w:trPr>
        <w:tc>
          <w:tcPr>
            <w:tcW w:w="3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Execution Services</w:t>
            </w:r>
          </w:p>
        </w:tc>
        <w:tc>
          <w:tcPr>
            <w:tcW w:w="200" w:type="dxa"/>
            <w:vAlign w:val="bottom"/>
          </w:tcPr>
          <w:p>
            <w:pPr>
              <w:spacing w:after="0"/>
              <w:rPr>
                <w:sz w:val="22"/>
                <w:szCs w:val="22"/>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Corporate</w:t>
            </w:r>
          </w:p>
        </w:tc>
        <w:tc>
          <w:tcPr>
            <w:tcW w:w="280" w:type="dxa"/>
            <w:vAlign w:val="bottom"/>
          </w:tcPr>
          <w:p>
            <w:pPr>
              <w:spacing w:after="0"/>
              <w:rPr>
                <w:sz w:val="22"/>
                <w:szCs w:val="22"/>
                <w:color w:val="auto"/>
              </w:rPr>
            </w:pPr>
          </w:p>
        </w:tc>
        <w:tc>
          <w:tcPr>
            <w:tcW w:w="960" w:type="dxa"/>
            <w:vAlign w:val="bottom"/>
          </w:tcPr>
          <w:p>
            <w:pPr>
              <w:jc w:val="right"/>
              <w:ind w:right="410"/>
              <w:spacing w:after="0"/>
              <w:rPr>
                <w:sz w:val="20"/>
                <w:szCs w:val="20"/>
                <w:color w:val="auto"/>
              </w:rPr>
            </w:pPr>
            <w:r>
              <w:rPr>
                <w:rFonts w:ascii="Arial" w:cs="Arial" w:eastAsia="Arial" w:hAnsi="Arial"/>
                <w:sz w:val="14"/>
                <w:szCs w:val="14"/>
                <w:color w:val="auto"/>
              </w:rPr>
              <w:t>Total</w:t>
            </w:r>
          </w:p>
        </w:tc>
      </w:tr>
      <w:tr>
        <w:trPr>
          <w:trHeight w:val="248"/>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482,281</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705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479,644</w:t>
            </w: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1,563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47,674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49,237</w:t>
            </w: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30,558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30,933</w:t>
            </w: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(157,991)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(170,253)</w:t>
            </w: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(12,071)</w:t>
            </w:r>
          </w:p>
        </w:tc>
      </w:tr>
      <w:tr>
        <w:trPr>
          <w:trHeight w:val="257"/>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(58,575)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1,562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(58,456)</w:t>
            </w:r>
          </w:p>
        </w:tc>
      </w:tr>
      <w:tr>
        <w:trPr>
          <w:trHeight w:val="23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285,384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34,117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319,034</w:t>
            </w: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219"/>
          </w:cols>
          <w:pgMar w:left="240" w:top="127" w:right="1440"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The following tables reconcile our Market Making segment trading income, net to Adjusted Net Trading Income by category for the three and nine months ended September 30, 2018 and 2017 (in thousands):</w:t>
      </w:r>
    </w:p>
    <w:p>
      <w:pPr>
        <w:spacing w:after="0" w:line="371" w:lineRule="exact"/>
        <w:rPr>
          <w:sz w:val="20"/>
          <w:szCs w:val="20"/>
          <w:color w:val="auto"/>
        </w:rPr>
      </w:pPr>
    </w:p>
    <w:tbl>
      <w:tblPr>
        <w:tblLayout w:type="fixed"/>
        <w:tblInd w:w="60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0"/>
              </w:rPr>
              <w:t>Three Months Ended September 30, 2018</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Americas Equities</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ROW Equities</w:t>
            </w: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Global FICC,</w:t>
            </w:r>
          </w:p>
        </w:tc>
        <w:tc>
          <w:tcPr>
            <w:tcW w:w="16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2"/>
                <w:szCs w:val="12"/>
                <w:color w:val="auto"/>
              </w:rPr>
            </w:pPr>
          </w:p>
        </w:tc>
        <w:tc>
          <w:tcPr>
            <w:tcW w:w="1060" w:type="dxa"/>
            <w:vAlign w:val="bottom"/>
          </w:tcPr>
          <w:p>
            <w:pPr>
              <w:jc w:val="right"/>
              <w:ind w:right="150"/>
              <w:spacing w:after="0" w:line="147" w:lineRule="exact"/>
              <w:rPr>
                <w:sz w:val="20"/>
                <w:szCs w:val="20"/>
                <w:color w:val="auto"/>
              </w:rPr>
            </w:pPr>
            <w:r>
              <w:rPr>
                <w:rFonts w:ascii="Arial" w:cs="Arial" w:eastAsia="Arial" w:hAnsi="Arial"/>
                <w:sz w:val="14"/>
                <w:szCs w:val="14"/>
                <w:b w:val="1"/>
                <w:bCs w:val="1"/>
                <w:color w:val="auto"/>
                <w:w w:val="99"/>
              </w:rPr>
              <w:t>Total Market</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Options and Other</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10"/>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4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146,428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34,372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58,134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235,564</w:t>
            </w:r>
          </w:p>
        </w:tc>
        <w:tc>
          <w:tcPr>
            <w:tcW w:w="0" w:type="dxa"/>
            <w:vAlign w:val="bottom"/>
          </w:tcPr>
          <w:p>
            <w:pPr>
              <w:spacing w:after="0"/>
              <w:rPr>
                <w:sz w:val="1"/>
                <w:szCs w:val="1"/>
                <w:color w:val="auto"/>
              </w:rPr>
            </w:pPr>
          </w:p>
        </w:tc>
      </w:tr>
      <w:tr>
        <w:trPr>
          <w:trHeight w:val="257"/>
        </w:trPr>
        <w:tc>
          <w:tcPr>
            <w:tcW w:w="370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6,469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6,587</w:t>
            </w:r>
          </w:p>
        </w:tc>
        <w:tc>
          <w:tcPr>
            <w:tcW w:w="0" w:type="dxa"/>
            <w:vAlign w:val="bottom"/>
          </w:tcPr>
          <w:p>
            <w:pPr>
              <w:spacing w:after="0"/>
              <w:rPr>
                <w:sz w:val="1"/>
                <w:szCs w:val="1"/>
                <w:color w:val="auto"/>
              </w:rPr>
            </w:pPr>
          </w:p>
        </w:tc>
      </w:tr>
      <w:tr>
        <w:trPr>
          <w:trHeight w:val="268"/>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(54,305)</w:t>
            </w:r>
          </w:p>
        </w:tc>
        <w:tc>
          <w:tcPr>
            <w:tcW w:w="0" w:type="dxa"/>
            <w:vAlign w:val="bottom"/>
          </w:tcPr>
          <w:p>
            <w:pPr>
              <w:spacing w:after="0"/>
              <w:rPr>
                <w:sz w:val="1"/>
                <w:szCs w:val="1"/>
                <w:color w:val="auto"/>
              </w:rPr>
            </w:pPr>
          </w:p>
        </w:tc>
      </w:tr>
      <w:tr>
        <w:trPr>
          <w:trHeight w:val="257"/>
        </w:trPr>
        <w:tc>
          <w:tcPr>
            <w:tcW w:w="370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(18,261)</w:t>
            </w:r>
          </w:p>
        </w:tc>
        <w:tc>
          <w:tcPr>
            <w:tcW w:w="0" w:type="dxa"/>
            <w:vAlign w:val="bottom"/>
          </w:tcPr>
          <w:p>
            <w:pPr>
              <w:spacing w:after="0"/>
              <w:rPr>
                <w:sz w:val="1"/>
                <w:szCs w:val="1"/>
                <w:color w:val="auto"/>
              </w:rPr>
            </w:pPr>
          </w:p>
        </w:tc>
      </w:tr>
      <w:tr>
        <w:trPr>
          <w:trHeight w:val="26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(10,728)</w:t>
            </w:r>
          </w:p>
        </w:tc>
        <w:tc>
          <w:tcPr>
            <w:tcW w:w="0" w:type="dxa"/>
            <w:vAlign w:val="bottom"/>
          </w:tcPr>
          <w:p>
            <w:pPr>
              <w:spacing w:after="0"/>
              <w:rPr>
                <w:sz w:val="1"/>
                <w:szCs w:val="1"/>
                <w:color w:val="auto"/>
              </w:rPr>
            </w:pPr>
          </w:p>
        </w:tc>
      </w:tr>
      <w:tr>
        <w:trPr>
          <w:trHeight w:val="235"/>
        </w:trPr>
        <w:tc>
          <w:tcPr>
            <w:tcW w:w="370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105,477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16,558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40,830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158,857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60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0"/>
              </w:rPr>
              <w:t>Three Months Ended September 30, 2017</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Americas Equities</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ROW Equities</w:t>
            </w: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Global FICC,</w:t>
            </w:r>
          </w:p>
        </w:tc>
        <w:tc>
          <w:tcPr>
            <w:tcW w:w="16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2"/>
                <w:szCs w:val="12"/>
                <w:color w:val="auto"/>
              </w:rPr>
            </w:pPr>
          </w:p>
        </w:tc>
        <w:tc>
          <w:tcPr>
            <w:tcW w:w="1060" w:type="dxa"/>
            <w:vAlign w:val="bottom"/>
          </w:tcPr>
          <w:p>
            <w:pPr>
              <w:jc w:val="right"/>
              <w:ind w:right="150"/>
              <w:spacing w:after="0" w:line="147" w:lineRule="exact"/>
              <w:rPr>
                <w:sz w:val="20"/>
                <w:szCs w:val="20"/>
                <w:color w:val="auto"/>
              </w:rPr>
            </w:pPr>
            <w:r>
              <w:rPr>
                <w:rFonts w:ascii="Arial" w:cs="Arial" w:eastAsia="Arial" w:hAnsi="Arial"/>
                <w:sz w:val="14"/>
                <w:szCs w:val="14"/>
                <w:b w:val="1"/>
                <w:bCs w:val="1"/>
                <w:color w:val="auto"/>
                <w:w w:val="99"/>
              </w:rPr>
              <w:t>Total Market</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Options and Other</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10"/>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4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122,161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35,271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48,055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1,056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206,543</w:t>
            </w:r>
          </w:p>
        </w:tc>
        <w:tc>
          <w:tcPr>
            <w:tcW w:w="0" w:type="dxa"/>
            <w:vAlign w:val="bottom"/>
          </w:tcPr>
          <w:p>
            <w:pPr>
              <w:spacing w:after="0"/>
              <w:rPr>
                <w:sz w:val="1"/>
                <w:szCs w:val="1"/>
                <w:color w:val="auto"/>
              </w:rPr>
            </w:pPr>
          </w:p>
        </w:tc>
      </w:tr>
      <w:tr>
        <w:trPr>
          <w:trHeight w:val="257"/>
        </w:trPr>
        <w:tc>
          <w:tcPr>
            <w:tcW w:w="370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268"/>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(52,321)</w:t>
            </w:r>
          </w:p>
        </w:tc>
        <w:tc>
          <w:tcPr>
            <w:tcW w:w="0" w:type="dxa"/>
            <w:vAlign w:val="bottom"/>
          </w:tcPr>
          <w:p>
            <w:pPr>
              <w:spacing w:after="0"/>
              <w:rPr>
                <w:sz w:val="1"/>
                <w:szCs w:val="1"/>
                <w:color w:val="auto"/>
              </w:rPr>
            </w:pPr>
          </w:p>
        </w:tc>
      </w:tr>
      <w:tr>
        <w:trPr>
          <w:trHeight w:val="257"/>
        </w:trPr>
        <w:tc>
          <w:tcPr>
            <w:tcW w:w="370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(12,452)</w:t>
            </w:r>
          </w:p>
        </w:tc>
        <w:tc>
          <w:tcPr>
            <w:tcW w:w="0" w:type="dxa"/>
            <w:vAlign w:val="bottom"/>
          </w:tcPr>
          <w:p>
            <w:pPr>
              <w:spacing w:after="0"/>
              <w:rPr>
                <w:sz w:val="1"/>
                <w:szCs w:val="1"/>
                <w:color w:val="auto"/>
              </w:rPr>
            </w:pPr>
          </w:p>
        </w:tc>
      </w:tr>
      <w:tr>
        <w:trPr>
          <w:trHeight w:val="26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(11,304)</w:t>
            </w:r>
          </w:p>
        </w:tc>
        <w:tc>
          <w:tcPr>
            <w:tcW w:w="0" w:type="dxa"/>
            <w:vAlign w:val="bottom"/>
          </w:tcPr>
          <w:p>
            <w:pPr>
              <w:spacing w:after="0"/>
              <w:rPr>
                <w:sz w:val="1"/>
                <w:szCs w:val="1"/>
                <w:color w:val="auto"/>
              </w:rPr>
            </w:pPr>
          </w:p>
        </w:tc>
      </w:tr>
      <w:tr>
        <w:trPr>
          <w:trHeight w:val="235"/>
        </w:trPr>
        <w:tc>
          <w:tcPr>
            <w:tcW w:w="370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82,587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16,995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32,206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132,029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60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0"/>
              </w:rPr>
              <w:t>Nine Months Ended September 30, 2018</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Americas Equities</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ROW Equities</w:t>
            </w: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Global FICC,</w:t>
            </w:r>
          </w:p>
        </w:tc>
        <w:tc>
          <w:tcPr>
            <w:tcW w:w="16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2"/>
                <w:szCs w:val="12"/>
                <w:color w:val="auto"/>
              </w:rPr>
            </w:pPr>
          </w:p>
        </w:tc>
        <w:tc>
          <w:tcPr>
            <w:tcW w:w="1060" w:type="dxa"/>
            <w:vAlign w:val="bottom"/>
          </w:tcPr>
          <w:p>
            <w:pPr>
              <w:jc w:val="right"/>
              <w:ind w:right="150"/>
              <w:spacing w:after="0" w:line="147" w:lineRule="exact"/>
              <w:rPr>
                <w:sz w:val="20"/>
                <w:szCs w:val="20"/>
                <w:color w:val="auto"/>
              </w:rPr>
            </w:pPr>
            <w:r>
              <w:rPr>
                <w:rFonts w:ascii="Arial" w:cs="Arial" w:eastAsia="Arial" w:hAnsi="Arial"/>
                <w:sz w:val="14"/>
                <w:szCs w:val="14"/>
                <w:b w:val="1"/>
                <w:bCs w:val="1"/>
                <w:color w:val="auto"/>
                <w:w w:val="99"/>
              </w:rPr>
              <w:t>Total Market</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Options and Other</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10"/>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4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586,224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117,862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195,959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899,902</w:t>
            </w:r>
          </w:p>
        </w:tc>
        <w:tc>
          <w:tcPr>
            <w:tcW w:w="0" w:type="dxa"/>
            <w:vAlign w:val="bottom"/>
          </w:tcPr>
          <w:p>
            <w:pPr>
              <w:spacing w:after="0"/>
              <w:rPr>
                <w:sz w:val="1"/>
                <w:szCs w:val="1"/>
                <w:color w:val="auto"/>
              </w:rPr>
            </w:pPr>
          </w:p>
        </w:tc>
      </w:tr>
      <w:tr>
        <w:trPr>
          <w:trHeight w:val="257"/>
        </w:trPr>
        <w:tc>
          <w:tcPr>
            <w:tcW w:w="370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21,700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21,886</w:t>
            </w:r>
          </w:p>
        </w:tc>
        <w:tc>
          <w:tcPr>
            <w:tcW w:w="0" w:type="dxa"/>
            <w:vAlign w:val="bottom"/>
          </w:tcPr>
          <w:p>
            <w:pPr>
              <w:spacing w:after="0"/>
              <w:rPr>
                <w:sz w:val="1"/>
                <w:szCs w:val="1"/>
                <w:color w:val="auto"/>
              </w:rPr>
            </w:pPr>
          </w:p>
        </w:tc>
      </w:tr>
      <w:tr>
        <w:trPr>
          <w:trHeight w:val="268"/>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(183,171)</w:t>
            </w:r>
          </w:p>
        </w:tc>
        <w:tc>
          <w:tcPr>
            <w:tcW w:w="0" w:type="dxa"/>
            <w:vAlign w:val="bottom"/>
          </w:tcPr>
          <w:p>
            <w:pPr>
              <w:spacing w:after="0"/>
              <w:rPr>
                <w:sz w:val="1"/>
                <w:szCs w:val="1"/>
                <w:color w:val="auto"/>
              </w:rPr>
            </w:pPr>
          </w:p>
        </w:tc>
      </w:tr>
      <w:tr>
        <w:trPr>
          <w:trHeight w:val="257"/>
        </w:trPr>
        <w:tc>
          <w:tcPr>
            <w:tcW w:w="370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(50,284)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(50,284)</w:t>
            </w:r>
          </w:p>
        </w:tc>
        <w:tc>
          <w:tcPr>
            <w:tcW w:w="0" w:type="dxa"/>
            <w:vAlign w:val="bottom"/>
          </w:tcPr>
          <w:p>
            <w:pPr>
              <w:spacing w:after="0"/>
              <w:rPr>
                <w:sz w:val="1"/>
                <w:szCs w:val="1"/>
                <w:color w:val="auto"/>
              </w:rPr>
            </w:pPr>
          </w:p>
        </w:tc>
      </w:tr>
      <w:tr>
        <w:trPr>
          <w:trHeight w:val="26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(39,321)</w:t>
            </w:r>
          </w:p>
        </w:tc>
        <w:tc>
          <w:tcPr>
            <w:tcW w:w="0" w:type="dxa"/>
            <w:vAlign w:val="bottom"/>
          </w:tcPr>
          <w:p>
            <w:pPr>
              <w:spacing w:after="0"/>
              <w:rPr>
                <w:sz w:val="1"/>
                <w:szCs w:val="1"/>
                <w:color w:val="auto"/>
              </w:rPr>
            </w:pPr>
          </w:p>
        </w:tc>
      </w:tr>
      <w:tr>
        <w:trPr>
          <w:trHeight w:val="235"/>
        </w:trPr>
        <w:tc>
          <w:tcPr>
            <w:tcW w:w="370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443,537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66,954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143,376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649,012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60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0"/>
              </w:rPr>
              <w:t>Nine Months Ended September 30, 2017</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Americas Equities</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ROW Equities</w:t>
            </w: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Global FICC,</w:t>
            </w:r>
          </w:p>
        </w:tc>
        <w:tc>
          <w:tcPr>
            <w:tcW w:w="16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2"/>
                <w:szCs w:val="12"/>
                <w:color w:val="auto"/>
              </w:rPr>
            </w:pPr>
          </w:p>
        </w:tc>
        <w:tc>
          <w:tcPr>
            <w:tcW w:w="1060" w:type="dxa"/>
            <w:vAlign w:val="bottom"/>
          </w:tcPr>
          <w:p>
            <w:pPr>
              <w:jc w:val="right"/>
              <w:ind w:right="150"/>
              <w:spacing w:after="0" w:line="147" w:lineRule="exact"/>
              <w:rPr>
                <w:sz w:val="20"/>
                <w:szCs w:val="20"/>
                <w:color w:val="auto"/>
              </w:rPr>
            </w:pPr>
            <w:r>
              <w:rPr>
                <w:rFonts w:ascii="Arial" w:cs="Arial" w:eastAsia="Arial" w:hAnsi="Arial"/>
                <w:sz w:val="14"/>
                <w:szCs w:val="14"/>
                <w:b w:val="1"/>
                <w:bCs w:val="1"/>
                <w:color w:val="auto"/>
                <w:w w:val="99"/>
              </w:rPr>
              <w:t>Total Market</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Options and Other</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10"/>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4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217,403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118,251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147,541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482,281</w:t>
            </w:r>
          </w:p>
        </w:tc>
        <w:tc>
          <w:tcPr>
            <w:tcW w:w="0" w:type="dxa"/>
            <w:vAlign w:val="bottom"/>
          </w:tcPr>
          <w:p>
            <w:pPr>
              <w:spacing w:after="0"/>
              <w:rPr>
                <w:sz w:val="1"/>
                <w:szCs w:val="1"/>
                <w:color w:val="auto"/>
              </w:rPr>
            </w:pPr>
          </w:p>
        </w:tc>
      </w:tr>
      <w:tr>
        <w:trPr>
          <w:trHeight w:val="257"/>
        </w:trPr>
        <w:tc>
          <w:tcPr>
            <w:tcW w:w="370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268"/>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(157,991)</w:t>
            </w:r>
          </w:p>
        </w:tc>
        <w:tc>
          <w:tcPr>
            <w:tcW w:w="0" w:type="dxa"/>
            <w:vAlign w:val="bottom"/>
          </w:tcPr>
          <w:p>
            <w:pPr>
              <w:spacing w:after="0"/>
              <w:rPr>
                <w:sz w:val="1"/>
                <w:szCs w:val="1"/>
                <w:color w:val="auto"/>
              </w:rPr>
            </w:pPr>
          </w:p>
        </w:tc>
      </w:tr>
      <w:tr>
        <w:trPr>
          <w:trHeight w:val="257"/>
        </w:trPr>
        <w:tc>
          <w:tcPr>
            <w:tcW w:w="370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(12,452)</w:t>
            </w:r>
          </w:p>
        </w:tc>
        <w:tc>
          <w:tcPr>
            <w:tcW w:w="0" w:type="dxa"/>
            <w:vAlign w:val="bottom"/>
          </w:tcPr>
          <w:p>
            <w:pPr>
              <w:spacing w:after="0"/>
              <w:rPr>
                <w:sz w:val="1"/>
                <w:szCs w:val="1"/>
                <w:color w:val="auto"/>
              </w:rPr>
            </w:pPr>
          </w:p>
        </w:tc>
      </w:tr>
      <w:tr>
        <w:trPr>
          <w:trHeight w:val="26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(28,017)</w:t>
            </w:r>
          </w:p>
        </w:tc>
        <w:tc>
          <w:tcPr>
            <w:tcW w:w="0" w:type="dxa"/>
            <w:vAlign w:val="bottom"/>
          </w:tcPr>
          <w:p>
            <w:pPr>
              <w:spacing w:after="0"/>
              <w:rPr>
                <w:sz w:val="1"/>
                <w:szCs w:val="1"/>
                <w:color w:val="auto"/>
              </w:rPr>
            </w:pPr>
          </w:p>
        </w:tc>
      </w:tr>
      <w:tr>
        <w:trPr>
          <w:trHeight w:val="235"/>
        </w:trPr>
        <w:tc>
          <w:tcPr>
            <w:tcW w:w="370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134,588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57,443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97,147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285,384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920"/>
          </w:cols>
          <w:pgMar w:left="240" w:top="127" w:right="7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show our Adjusted Net Trading Income and average daily Adjusted Net Trading Income by category for the three and nine months ended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2018 and 2017 (in thousands, except percentages):</w:t>
      </w:r>
    </w:p>
    <w:p>
      <w:pPr>
        <w:spacing w:after="0" w:line="200" w:lineRule="exact"/>
        <w:rPr>
          <w:sz w:val="20"/>
          <w:szCs w:val="20"/>
          <w:color w:val="auto"/>
        </w:rPr>
      </w:pPr>
    </w:p>
    <w:p>
      <w:pPr>
        <w:spacing w:after="0" w:line="226" w:lineRule="exact"/>
        <w:rPr>
          <w:sz w:val="20"/>
          <w:szCs w:val="20"/>
          <w:color w:val="auto"/>
        </w:rPr>
      </w:pPr>
    </w:p>
    <w:tbl>
      <w:tblPr>
        <w:tblLayout w:type="fixed"/>
        <w:tblInd w:w="1300" w:type="dxa"/>
        <w:tblCellMar>
          <w:top w:w="0" w:type="dxa"/>
          <w:left w:w="0" w:type="dxa"/>
          <w:bottom w:w="0" w:type="dxa"/>
          <w:right w:w="0" w:type="dxa"/>
        </w:tblCellMar>
      </w:tblPr>
      <w:tr>
        <w:trPr>
          <w:trHeight w:val="188"/>
        </w:trPr>
        <w:tc>
          <w:tcPr>
            <w:tcW w:w="4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2"/>
              </w:rPr>
              <w:t>Three Months Ended September 30,</w:t>
            </w:r>
          </w:p>
        </w:tc>
        <w:tc>
          <w:tcPr>
            <w:tcW w:w="1080" w:type="dxa"/>
            <w:vAlign w:val="bottom"/>
            <w:tcBorders>
              <w:bottom w:val="single" w:sz="8" w:color="auto"/>
            </w:tcBorders>
          </w:tcPr>
          <w:p>
            <w:pPr>
              <w:spacing w:after="0"/>
              <w:rPr>
                <w:sz w:val="16"/>
                <w:szCs w:val="16"/>
                <w:color w:val="auto"/>
              </w:rPr>
            </w:pPr>
          </w:p>
        </w:tc>
      </w:tr>
      <w:tr>
        <w:trPr>
          <w:trHeight w:val="25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50"/>
              <w:spacing w:after="0"/>
              <w:rPr>
                <w:sz w:val="20"/>
                <w:szCs w:val="20"/>
                <w:color w:val="auto"/>
              </w:rPr>
            </w:pPr>
            <w:r>
              <w:rPr>
                <w:rFonts w:ascii="Arial" w:cs="Arial" w:eastAsia="Arial" w:hAnsi="Arial"/>
                <w:sz w:val="14"/>
                <w:szCs w:val="14"/>
                <w:b w:val="1"/>
                <w:bCs w:val="1"/>
                <w:color w:val="auto"/>
                <w:w w:val="94"/>
              </w:rPr>
              <w:t>% Change</w:t>
            </w:r>
          </w:p>
        </w:tc>
      </w:tr>
      <w:tr>
        <w:trPr>
          <w:trHeight w:val="26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Making:</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4380" w:type="dxa"/>
            <w:vAlign w:val="bottom"/>
          </w:tcPr>
          <w:p>
            <w:pPr>
              <w:ind w:left="20"/>
              <w:spacing w:after="0"/>
              <w:rPr>
                <w:sz w:val="20"/>
                <w:szCs w:val="20"/>
                <w:color w:val="auto"/>
              </w:rPr>
            </w:pPr>
            <w:r>
              <w:rPr>
                <w:rFonts w:ascii="Arial" w:cs="Arial" w:eastAsia="Arial" w:hAnsi="Arial"/>
                <w:sz w:val="14"/>
                <w:szCs w:val="14"/>
                <w:color w:val="auto"/>
              </w:rPr>
              <w:t>Americas Equities</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105,477</w:t>
            </w:r>
          </w:p>
        </w:tc>
        <w:tc>
          <w:tcPr>
            <w:tcW w:w="120" w:type="dxa"/>
            <w:vAlign w:val="bottom"/>
          </w:tcPr>
          <w:p>
            <w:pPr>
              <w:spacing w:after="0"/>
              <w:rPr>
                <w:sz w:val="22"/>
                <w:szCs w:val="22"/>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82,587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center"/>
              <w:ind w:right="250"/>
              <w:spacing w:after="0"/>
              <w:rPr>
                <w:sz w:val="20"/>
                <w:szCs w:val="20"/>
                <w:color w:val="auto"/>
              </w:rPr>
            </w:pPr>
            <w:r>
              <w:rPr>
                <w:rFonts w:ascii="Arial" w:cs="Arial" w:eastAsia="Arial" w:hAnsi="Arial"/>
                <w:sz w:val="14"/>
                <w:szCs w:val="14"/>
                <w:color w:val="auto"/>
                <w:w w:val="90"/>
              </w:rPr>
              <w:t>27.7%</w:t>
            </w:r>
          </w:p>
        </w:tc>
      </w:tr>
      <w:tr>
        <w:trPr>
          <w:trHeight w:val="268"/>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ROW Equities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16,558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16,995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w w:val="92"/>
              </w:rPr>
              <w:t>(2.6)%</w:t>
            </w:r>
          </w:p>
        </w:tc>
      </w:tr>
      <w:tr>
        <w:trPr>
          <w:trHeight w:val="257"/>
        </w:trPr>
        <w:tc>
          <w:tcPr>
            <w:tcW w:w="4380" w:type="dxa"/>
            <w:vAlign w:val="bottom"/>
          </w:tcPr>
          <w:p>
            <w:pPr>
              <w:ind w:left="20"/>
              <w:spacing w:after="0"/>
              <w:rPr>
                <w:sz w:val="20"/>
                <w:szCs w:val="20"/>
                <w:color w:val="auto"/>
              </w:rPr>
            </w:pPr>
            <w:r>
              <w:rPr>
                <w:rFonts w:ascii="Arial" w:cs="Arial" w:eastAsia="Arial" w:hAnsi="Arial"/>
                <w:sz w:val="14"/>
                <w:szCs w:val="14"/>
                <w:color w:val="auto"/>
              </w:rPr>
              <w:t>Global FICC, Options and Other</w:t>
            </w: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40,830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32,206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center"/>
              <w:ind w:right="250"/>
              <w:spacing w:after="0"/>
              <w:rPr>
                <w:sz w:val="20"/>
                <w:szCs w:val="20"/>
                <w:color w:val="auto"/>
              </w:rPr>
            </w:pPr>
            <w:r>
              <w:rPr>
                <w:rFonts w:ascii="Arial" w:cs="Arial" w:eastAsia="Arial" w:hAnsi="Arial"/>
                <w:sz w:val="14"/>
                <w:szCs w:val="14"/>
                <w:color w:val="auto"/>
                <w:w w:val="90"/>
              </w:rPr>
              <w:t>26.8%</w:t>
            </w:r>
          </w:p>
        </w:tc>
      </w:tr>
      <w:tr>
        <w:trPr>
          <w:trHeight w:val="26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Unallocated(1)</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rPr>
              <w:t>NM</w:t>
            </w:r>
          </w:p>
        </w:tc>
      </w:tr>
      <w:tr>
        <w:trPr>
          <w:trHeight w:val="242"/>
        </w:trPr>
        <w:tc>
          <w:tcPr>
            <w:tcW w:w="4380" w:type="dxa"/>
            <w:vAlign w:val="bottom"/>
          </w:tcPr>
          <w:p>
            <w:pPr>
              <w:ind w:left="20"/>
              <w:spacing w:after="0"/>
              <w:rPr>
                <w:sz w:val="20"/>
                <w:szCs w:val="20"/>
                <w:color w:val="auto"/>
              </w:rPr>
            </w:pPr>
            <w:r>
              <w:rPr>
                <w:rFonts w:ascii="Arial" w:cs="Arial" w:eastAsia="Arial" w:hAnsi="Arial"/>
                <w:sz w:val="14"/>
                <w:szCs w:val="14"/>
                <w:color w:val="auto"/>
              </w:rPr>
              <w:t>Total Market Making</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158,857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132,029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center"/>
              <w:ind w:right="250"/>
              <w:spacing w:after="0"/>
              <w:rPr>
                <w:sz w:val="20"/>
                <w:szCs w:val="20"/>
                <w:color w:val="auto"/>
              </w:rPr>
            </w:pPr>
            <w:r>
              <w:rPr>
                <w:rFonts w:ascii="Arial" w:cs="Arial" w:eastAsia="Arial" w:hAnsi="Arial"/>
                <w:sz w:val="14"/>
                <w:szCs w:val="14"/>
                <w:color w:val="auto"/>
                <w:w w:val="90"/>
              </w:rPr>
              <w:t>20.3%</w:t>
            </w:r>
          </w:p>
        </w:tc>
      </w:tr>
      <w:tr>
        <w:trPr>
          <w:trHeight w:val="281"/>
        </w:trPr>
        <w:tc>
          <w:tcPr>
            <w:tcW w:w="4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7"/>
        </w:trPr>
        <w:tc>
          <w:tcPr>
            <w:tcW w:w="4380" w:type="dxa"/>
            <w:vAlign w:val="bottom"/>
          </w:tcPr>
          <w:p>
            <w:pPr>
              <w:ind w:left="20"/>
              <w:spacing w:after="0"/>
              <w:rPr>
                <w:sz w:val="20"/>
                <w:szCs w:val="20"/>
                <w:color w:val="auto"/>
              </w:rPr>
            </w:pPr>
            <w:r>
              <w:rPr>
                <w:rFonts w:ascii="Arial" w:cs="Arial" w:eastAsia="Arial" w:hAnsi="Arial"/>
                <w:sz w:val="14"/>
                <w:szCs w:val="14"/>
                <w:color w:val="auto"/>
              </w:rPr>
              <w:t>Execution Services</w:t>
            </w: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19,037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28,229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center"/>
              <w:ind w:right="270"/>
              <w:spacing w:after="0"/>
              <w:rPr>
                <w:sz w:val="20"/>
                <w:szCs w:val="20"/>
                <w:color w:val="auto"/>
              </w:rPr>
            </w:pPr>
            <w:r>
              <w:rPr>
                <w:rFonts w:ascii="Arial" w:cs="Arial" w:eastAsia="Arial" w:hAnsi="Arial"/>
                <w:sz w:val="14"/>
                <w:szCs w:val="14"/>
                <w:color w:val="auto"/>
                <w:w w:val="93"/>
              </w:rPr>
              <w:t>(32.6)%</w:t>
            </w:r>
          </w:p>
        </w:tc>
      </w:tr>
      <w:tr>
        <w:trPr>
          <w:trHeight w:val="281"/>
        </w:trPr>
        <w:tc>
          <w:tcPr>
            <w:tcW w:w="4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7"/>
        </w:trPr>
        <w:tc>
          <w:tcPr>
            <w:tcW w:w="4380" w:type="dxa"/>
            <w:vAlign w:val="bottom"/>
          </w:tcPr>
          <w:p>
            <w:pPr>
              <w:ind w:left="20"/>
              <w:spacing w:after="0"/>
              <w:rPr>
                <w:sz w:val="20"/>
                <w:szCs w:val="20"/>
                <w:color w:val="auto"/>
              </w:rPr>
            </w:pPr>
            <w:r>
              <w:rPr>
                <w:rFonts w:ascii="Arial" w:cs="Arial" w:eastAsia="Arial" w:hAnsi="Arial"/>
                <w:sz w:val="14"/>
                <w:szCs w:val="14"/>
                <w:color w:val="auto"/>
              </w:rPr>
              <w:t>Corporate</w:t>
            </w: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center"/>
              <w:ind w:right="270"/>
              <w:spacing w:after="0"/>
              <w:rPr>
                <w:sz w:val="20"/>
                <w:szCs w:val="20"/>
                <w:color w:val="auto"/>
              </w:rPr>
            </w:pPr>
            <w:r>
              <w:rPr>
                <w:rFonts w:ascii="Arial" w:cs="Arial" w:eastAsia="Arial" w:hAnsi="Arial"/>
                <w:sz w:val="14"/>
                <w:szCs w:val="14"/>
                <w:color w:val="auto"/>
              </w:rPr>
              <w:t>NM</w:t>
            </w:r>
          </w:p>
        </w:tc>
      </w:tr>
      <w:tr>
        <w:trPr>
          <w:trHeight w:val="281"/>
        </w:trPr>
        <w:tc>
          <w:tcPr>
            <w:tcW w:w="43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177,915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159,791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jc w:val="center"/>
              <w:ind w:right="250"/>
              <w:spacing w:after="0"/>
              <w:rPr>
                <w:sz w:val="20"/>
                <w:szCs w:val="20"/>
                <w:color w:val="auto"/>
              </w:rPr>
            </w:pPr>
            <w:r>
              <w:rPr>
                <w:rFonts w:ascii="Arial" w:cs="Arial" w:eastAsia="Arial" w:hAnsi="Arial"/>
                <w:sz w:val="14"/>
                <w:szCs w:val="14"/>
                <w:color w:val="auto"/>
                <w:w w:val="90"/>
              </w:rPr>
              <w:t>11.3%</w:t>
            </w:r>
          </w:p>
        </w:tc>
      </w:tr>
      <w:tr>
        <w:trPr>
          <w:trHeight w:val="255"/>
        </w:trPr>
        <w:tc>
          <w:tcPr>
            <w:tcW w:w="43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bl>
    <w:p>
      <w:pPr>
        <w:spacing w:after="0" w:line="69" w:lineRule="exact"/>
        <w:rPr>
          <w:sz w:val="20"/>
          <w:szCs w:val="20"/>
          <w:color w:val="auto"/>
        </w:rPr>
      </w:pPr>
    </w:p>
    <w:tbl>
      <w:tblPr>
        <w:tblLayout w:type="fixed"/>
        <w:tblInd w:w="1300" w:type="dxa"/>
        <w:tblCellMar>
          <w:top w:w="0" w:type="dxa"/>
          <w:left w:w="0" w:type="dxa"/>
          <w:bottom w:w="0" w:type="dxa"/>
          <w:right w:w="0" w:type="dxa"/>
        </w:tblCellMar>
      </w:tblPr>
      <w:tr>
        <w:trPr>
          <w:trHeight w:val="188"/>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Average Daily</w:t>
            </w: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2"/>
              </w:rPr>
              <w:t>Three Months Ended September 30,</w:t>
            </w:r>
          </w:p>
        </w:tc>
        <w:tc>
          <w:tcPr>
            <w:tcW w:w="1080" w:type="dxa"/>
            <w:vAlign w:val="bottom"/>
            <w:tcBorders>
              <w:bottom w:val="single" w:sz="8" w:color="auto"/>
            </w:tcBorders>
          </w:tcPr>
          <w:p>
            <w:pPr>
              <w:spacing w:after="0"/>
              <w:rPr>
                <w:sz w:val="16"/>
                <w:szCs w:val="16"/>
                <w:color w:val="auto"/>
              </w:rPr>
            </w:pPr>
          </w:p>
        </w:tc>
      </w:tr>
      <w:tr>
        <w:trPr>
          <w:trHeight w:val="26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center"/>
              <w:ind w:right="250"/>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4380" w:type="dxa"/>
            <w:vAlign w:val="bottom"/>
          </w:tcPr>
          <w:p>
            <w:pPr>
              <w:ind w:left="20"/>
              <w:spacing w:after="0"/>
              <w:rPr>
                <w:sz w:val="20"/>
                <w:szCs w:val="20"/>
                <w:color w:val="auto"/>
              </w:rPr>
            </w:pPr>
            <w:r>
              <w:rPr>
                <w:rFonts w:ascii="Arial" w:cs="Arial" w:eastAsia="Arial" w:hAnsi="Arial"/>
                <w:sz w:val="14"/>
                <w:szCs w:val="14"/>
                <w:color w:val="auto"/>
              </w:rPr>
              <w:t>Market Making:</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8"/>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Americas Equities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1,674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0"/>
              </w:rPr>
              <w:t>27.7%</w:t>
            </w:r>
          </w:p>
        </w:tc>
      </w:tr>
      <w:tr>
        <w:trPr>
          <w:trHeight w:val="257"/>
        </w:trPr>
        <w:tc>
          <w:tcPr>
            <w:tcW w:w="4380" w:type="dxa"/>
            <w:vAlign w:val="bottom"/>
          </w:tcPr>
          <w:p>
            <w:pPr>
              <w:ind w:left="20"/>
              <w:spacing w:after="0"/>
              <w:rPr>
                <w:sz w:val="20"/>
                <w:szCs w:val="20"/>
                <w:color w:val="auto"/>
              </w:rPr>
            </w:pPr>
            <w:r>
              <w:rPr>
                <w:rFonts w:ascii="Arial" w:cs="Arial" w:eastAsia="Arial" w:hAnsi="Arial"/>
                <w:sz w:val="14"/>
                <w:szCs w:val="14"/>
                <w:color w:val="auto"/>
              </w:rPr>
              <w:t>ROW Equities</w:t>
            </w: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center"/>
              <w:ind w:right="270"/>
              <w:spacing w:after="0"/>
              <w:rPr>
                <w:sz w:val="20"/>
                <w:szCs w:val="20"/>
                <w:color w:val="auto"/>
              </w:rPr>
            </w:pPr>
            <w:r>
              <w:rPr>
                <w:rFonts w:ascii="Arial" w:cs="Arial" w:eastAsia="Arial" w:hAnsi="Arial"/>
                <w:sz w:val="14"/>
                <w:szCs w:val="14"/>
                <w:color w:val="auto"/>
                <w:w w:val="92"/>
              </w:rPr>
              <w:t>(2.6)%</w:t>
            </w:r>
          </w:p>
        </w:tc>
      </w:tr>
      <w:tr>
        <w:trPr>
          <w:trHeight w:val="268"/>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 FICC, Options and Other</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0"/>
              </w:rPr>
              <w:t>26.8%</w:t>
            </w:r>
          </w:p>
        </w:tc>
      </w:tr>
      <w:tr>
        <w:trPr>
          <w:trHeight w:val="257"/>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Unallocated(1)</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center"/>
              <w:ind w:right="270"/>
              <w:spacing w:after="0"/>
              <w:rPr>
                <w:sz w:val="20"/>
                <w:szCs w:val="20"/>
                <w:color w:val="auto"/>
              </w:rPr>
            </w:pPr>
            <w:r>
              <w:rPr>
                <w:rFonts w:ascii="Arial" w:cs="Arial" w:eastAsia="Arial" w:hAnsi="Arial"/>
                <w:sz w:val="14"/>
                <w:szCs w:val="14"/>
                <w:color w:val="auto"/>
              </w:rPr>
              <w:t>NM</w:t>
            </w:r>
          </w:p>
        </w:tc>
      </w:tr>
      <w:tr>
        <w:trPr>
          <w:trHeight w:val="248"/>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Market Making</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2,521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2,096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0"/>
              </w:rPr>
              <w:t>20.3%</w:t>
            </w:r>
          </w:p>
        </w:tc>
      </w:tr>
      <w:tr>
        <w:trPr>
          <w:trHeight w:val="276"/>
        </w:trPr>
        <w:tc>
          <w:tcPr>
            <w:tcW w:w="4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6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Execution Services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w w:val="93"/>
              </w:rPr>
              <w:t>(32.5)%</w:t>
            </w:r>
          </w:p>
        </w:tc>
      </w:tr>
      <w:tr>
        <w:trPr>
          <w:trHeight w:val="276"/>
        </w:trPr>
        <w:tc>
          <w:tcPr>
            <w:tcW w:w="4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6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rPr>
              <w:t>NM</w:t>
            </w:r>
          </w:p>
        </w:tc>
      </w:tr>
      <w:tr>
        <w:trPr>
          <w:trHeight w:val="276"/>
        </w:trPr>
        <w:tc>
          <w:tcPr>
            <w:tcW w:w="43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r>
      <w:tr>
        <w:trPr>
          <w:trHeight w:val="22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2,824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2,536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4"/>
                <w:szCs w:val="14"/>
                <w:color w:val="auto"/>
                <w:w w:val="90"/>
              </w:rPr>
              <w:t>11.3%</w:t>
            </w:r>
          </w:p>
        </w:tc>
      </w:tr>
      <w:tr>
        <w:trPr>
          <w:trHeight w:val="20"/>
        </w:trPr>
        <w:tc>
          <w:tcPr>
            <w:tcW w:w="4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100"/>
          </w:cols>
          <w:pgMar w:left="240" w:top="127" w:right="5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300" w:type="dxa"/>
        <w:tblCellMar>
          <w:top w:w="0" w:type="dxa"/>
          <w:left w:w="0" w:type="dxa"/>
          <w:bottom w:w="0" w:type="dxa"/>
          <w:right w:w="0" w:type="dxa"/>
        </w:tblCellMar>
      </w:tblPr>
      <w:tr>
        <w:trPr>
          <w:trHeight w:val="188"/>
        </w:trPr>
        <w:tc>
          <w:tcPr>
            <w:tcW w:w="4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2"/>
              </w:rPr>
              <w:t>Nine Months Ended September 30,</w:t>
            </w:r>
          </w:p>
        </w:tc>
        <w:tc>
          <w:tcPr>
            <w:tcW w:w="1100" w:type="dxa"/>
            <w:vAlign w:val="bottom"/>
            <w:tcBorders>
              <w:bottom w:val="single" w:sz="8" w:color="auto"/>
            </w:tcBorders>
          </w:tcPr>
          <w:p>
            <w:pPr>
              <w:spacing w:after="0"/>
              <w:rPr>
                <w:sz w:val="16"/>
                <w:szCs w:val="16"/>
                <w:color w:val="auto"/>
              </w:rPr>
            </w:pPr>
          </w:p>
        </w:tc>
      </w:tr>
      <w:tr>
        <w:trPr>
          <w:trHeight w:val="25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w w:val="94"/>
              </w:rPr>
              <w:t>% Change</w:t>
            </w:r>
          </w:p>
        </w:tc>
      </w:tr>
      <w:tr>
        <w:trPr>
          <w:trHeight w:val="26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Making:</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4380" w:type="dxa"/>
            <w:vAlign w:val="bottom"/>
          </w:tcPr>
          <w:p>
            <w:pPr>
              <w:ind w:left="20"/>
              <w:spacing w:after="0"/>
              <w:rPr>
                <w:sz w:val="20"/>
                <w:szCs w:val="20"/>
                <w:color w:val="auto"/>
              </w:rPr>
            </w:pPr>
            <w:r>
              <w:rPr>
                <w:rFonts w:ascii="Arial" w:cs="Arial" w:eastAsia="Arial" w:hAnsi="Arial"/>
                <w:sz w:val="14"/>
                <w:szCs w:val="14"/>
                <w:color w:val="auto"/>
              </w:rPr>
              <w:t>Americas Equities</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443,537</w:t>
            </w:r>
          </w:p>
        </w:tc>
        <w:tc>
          <w:tcPr>
            <w:tcW w:w="120" w:type="dxa"/>
            <w:vAlign w:val="bottom"/>
          </w:tcPr>
          <w:p>
            <w:pPr>
              <w:spacing w:after="0"/>
              <w:rPr>
                <w:sz w:val="22"/>
                <w:szCs w:val="22"/>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134,588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center"/>
              <w:ind w:right="230"/>
              <w:spacing w:after="0"/>
              <w:rPr>
                <w:sz w:val="20"/>
                <w:szCs w:val="20"/>
                <w:color w:val="auto"/>
              </w:rPr>
            </w:pPr>
            <w:r>
              <w:rPr>
                <w:rFonts w:ascii="Arial" w:cs="Arial" w:eastAsia="Arial" w:hAnsi="Arial"/>
                <w:sz w:val="14"/>
                <w:szCs w:val="14"/>
                <w:color w:val="auto"/>
                <w:w w:val="92"/>
              </w:rPr>
              <w:t>229.6%</w:t>
            </w:r>
          </w:p>
        </w:tc>
      </w:tr>
      <w:tr>
        <w:trPr>
          <w:trHeight w:val="268"/>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ROW Equities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66,954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57,443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230"/>
              <w:spacing w:after="0"/>
              <w:rPr>
                <w:sz w:val="20"/>
                <w:szCs w:val="20"/>
                <w:color w:val="auto"/>
              </w:rPr>
            </w:pPr>
            <w:r>
              <w:rPr>
                <w:rFonts w:ascii="Arial" w:cs="Arial" w:eastAsia="Arial" w:hAnsi="Arial"/>
                <w:sz w:val="14"/>
                <w:szCs w:val="14"/>
                <w:color w:val="auto"/>
                <w:w w:val="90"/>
              </w:rPr>
              <w:t>16.6%</w:t>
            </w:r>
          </w:p>
        </w:tc>
      </w:tr>
      <w:tr>
        <w:trPr>
          <w:trHeight w:val="257"/>
        </w:trPr>
        <w:tc>
          <w:tcPr>
            <w:tcW w:w="4380" w:type="dxa"/>
            <w:vAlign w:val="bottom"/>
          </w:tcPr>
          <w:p>
            <w:pPr>
              <w:ind w:left="20"/>
              <w:spacing w:after="0"/>
              <w:rPr>
                <w:sz w:val="20"/>
                <w:szCs w:val="20"/>
                <w:color w:val="auto"/>
              </w:rPr>
            </w:pPr>
            <w:r>
              <w:rPr>
                <w:rFonts w:ascii="Arial" w:cs="Arial" w:eastAsia="Arial" w:hAnsi="Arial"/>
                <w:sz w:val="14"/>
                <w:szCs w:val="14"/>
                <w:color w:val="auto"/>
              </w:rPr>
              <w:t>Global FICC, Options and Other</w:t>
            </w: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143,376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97,147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center"/>
              <w:ind w:right="230"/>
              <w:spacing w:after="0"/>
              <w:rPr>
                <w:sz w:val="20"/>
                <w:szCs w:val="20"/>
                <w:color w:val="auto"/>
              </w:rPr>
            </w:pPr>
            <w:r>
              <w:rPr>
                <w:rFonts w:ascii="Arial" w:cs="Arial" w:eastAsia="Arial" w:hAnsi="Arial"/>
                <w:sz w:val="14"/>
                <w:szCs w:val="14"/>
                <w:color w:val="auto"/>
                <w:w w:val="90"/>
              </w:rPr>
              <w:t>47.6%</w:t>
            </w:r>
          </w:p>
        </w:tc>
      </w:tr>
      <w:tr>
        <w:trPr>
          <w:trHeight w:val="26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Unallocated(1)</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(4,855)</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rPr>
              <w:t>NM</w:t>
            </w:r>
          </w:p>
        </w:tc>
      </w:tr>
      <w:tr>
        <w:trPr>
          <w:trHeight w:val="242"/>
        </w:trPr>
        <w:tc>
          <w:tcPr>
            <w:tcW w:w="4380" w:type="dxa"/>
            <w:vAlign w:val="bottom"/>
          </w:tcPr>
          <w:p>
            <w:pPr>
              <w:ind w:left="20"/>
              <w:spacing w:after="0"/>
              <w:rPr>
                <w:sz w:val="20"/>
                <w:szCs w:val="20"/>
                <w:color w:val="auto"/>
              </w:rPr>
            </w:pPr>
            <w:r>
              <w:rPr>
                <w:rFonts w:ascii="Arial" w:cs="Arial" w:eastAsia="Arial" w:hAnsi="Arial"/>
                <w:sz w:val="14"/>
                <w:szCs w:val="14"/>
                <w:color w:val="auto"/>
              </w:rPr>
              <w:t>Total Market Making</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649,012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285,384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center"/>
              <w:ind w:right="230"/>
              <w:spacing w:after="0"/>
              <w:rPr>
                <w:sz w:val="20"/>
                <w:szCs w:val="20"/>
                <w:color w:val="auto"/>
              </w:rPr>
            </w:pPr>
            <w:r>
              <w:rPr>
                <w:rFonts w:ascii="Arial" w:cs="Arial" w:eastAsia="Arial" w:hAnsi="Arial"/>
                <w:sz w:val="14"/>
                <w:szCs w:val="14"/>
                <w:color w:val="auto"/>
                <w:w w:val="92"/>
              </w:rPr>
              <w:t>127.4%</w:t>
            </w:r>
          </w:p>
        </w:tc>
      </w:tr>
      <w:tr>
        <w:trPr>
          <w:trHeight w:val="281"/>
        </w:trPr>
        <w:tc>
          <w:tcPr>
            <w:tcW w:w="4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7"/>
        </w:trPr>
        <w:tc>
          <w:tcPr>
            <w:tcW w:w="4380" w:type="dxa"/>
            <w:vAlign w:val="bottom"/>
          </w:tcPr>
          <w:p>
            <w:pPr>
              <w:ind w:left="20"/>
              <w:spacing w:after="0"/>
              <w:rPr>
                <w:sz w:val="20"/>
                <w:szCs w:val="20"/>
                <w:color w:val="auto"/>
              </w:rPr>
            </w:pPr>
            <w:r>
              <w:rPr>
                <w:rFonts w:ascii="Arial" w:cs="Arial" w:eastAsia="Arial" w:hAnsi="Arial"/>
                <w:sz w:val="14"/>
                <w:szCs w:val="14"/>
                <w:color w:val="auto"/>
              </w:rPr>
              <w:t>Execution Services</w:t>
            </w: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72,025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34,117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center"/>
              <w:ind w:right="250"/>
              <w:spacing w:after="0"/>
              <w:rPr>
                <w:sz w:val="20"/>
                <w:szCs w:val="20"/>
                <w:color w:val="auto"/>
              </w:rPr>
            </w:pPr>
            <w:r>
              <w:rPr>
                <w:rFonts w:ascii="Arial" w:cs="Arial" w:eastAsia="Arial" w:hAnsi="Arial"/>
                <w:sz w:val="14"/>
                <w:szCs w:val="14"/>
                <w:color w:val="auto"/>
                <w:w w:val="88"/>
              </w:rPr>
              <w:t>111.1%</w:t>
            </w:r>
          </w:p>
        </w:tc>
      </w:tr>
      <w:tr>
        <w:trPr>
          <w:trHeight w:val="281"/>
        </w:trPr>
        <w:tc>
          <w:tcPr>
            <w:tcW w:w="4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7"/>
        </w:trPr>
        <w:tc>
          <w:tcPr>
            <w:tcW w:w="4380" w:type="dxa"/>
            <w:vAlign w:val="bottom"/>
          </w:tcPr>
          <w:p>
            <w:pPr>
              <w:ind w:left="20"/>
              <w:spacing w:after="0"/>
              <w:rPr>
                <w:sz w:val="20"/>
                <w:szCs w:val="20"/>
                <w:color w:val="auto"/>
              </w:rPr>
            </w:pPr>
            <w:r>
              <w:rPr>
                <w:rFonts w:ascii="Arial" w:cs="Arial" w:eastAsia="Arial" w:hAnsi="Arial"/>
                <w:sz w:val="14"/>
                <w:szCs w:val="14"/>
                <w:color w:val="auto"/>
              </w:rPr>
              <w:t>Corporate</w:t>
            </w: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center"/>
              <w:ind w:right="250"/>
              <w:spacing w:after="0"/>
              <w:rPr>
                <w:sz w:val="20"/>
                <w:szCs w:val="20"/>
                <w:color w:val="auto"/>
              </w:rPr>
            </w:pPr>
            <w:r>
              <w:rPr>
                <w:rFonts w:ascii="Arial" w:cs="Arial" w:eastAsia="Arial" w:hAnsi="Arial"/>
                <w:sz w:val="14"/>
                <w:szCs w:val="14"/>
                <w:color w:val="auto"/>
              </w:rPr>
              <w:t>NM</w:t>
            </w:r>
          </w:p>
        </w:tc>
      </w:tr>
      <w:tr>
        <w:trPr>
          <w:trHeight w:val="281"/>
        </w:trPr>
        <w:tc>
          <w:tcPr>
            <w:tcW w:w="43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721,093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319,034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jc w:val="center"/>
              <w:ind w:right="230"/>
              <w:spacing w:after="0"/>
              <w:rPr>
                <w:sz w:val="20"/>
                <w:szCs w:val="20"/>
                <w:color w:val="auto"/>
              </w:rPr>
            </w:pPr>
            <w:r>
              <w:rPr>
                <w:rFonts w:ascii="Arial" w:cs="Arial" w:eastAsia="Arial" w:hAnsi="Arial"/>
                <w:sz w:val="14"/>
                <w:szCs w:val="14"/>
                <w:color w:val="auto"/>
                <w:w w:val="92"/>
              </w:rPr>
              <w:t>126.0%</w:t>
            </w:r>
          </w:p>
        </w:tc>
      </w:tr>
      <w:tr>
        <w:trPr>
          <w:trHeight w:val="255"/>
        </w:trPr>
        <w:tc>
          <w:tcPr>
            <w:tcW w:w="43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bl>
    <w:p>
      <w:pPr>
        <w:spacing w:after="0" w:line="69" w:lineRule="exact"/>
        <w:rPr>
          <w:sz w:val="20"/>
          <w:szCs w:val="20"/>
          <w:color w:val="auto"/>
        </w:rPr>
      </w:pPr>
    </w:p>
    <w:tbl>
      <w:tblPr>
        <w:tblLayout w:type="fixed"/>
        <w:tblInd w:w="1300" w:type="dxa"/>
        <w:tblCellMar>
          <w:top w:w="0" w:type="dxa"/>
          <w:left w:w="0" w:type="dxa"/>
          <w:bottom w:w="0" w:type="dxa"/>
          <w:right w:w="0" w:type="dxa"/>
        </w:tblCellMar>
      </w:tblPr>
      <w:tr>
        <w:trPr>
          <w:trHeight w:val="188"/>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Average Daily</w:t>
            </w: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2"/>
              </w:rPr>
              <w:t>Nine Months Ended September 30,</w:t>
            </w:r>
          </w:p>
        </w:tc>
        <w:tc>
          <w:tcPr>
            <w:tcW w:w="1100" w:type="dxa"/>
            <w:vAlign w:val="bottom"/>
            <w:tcBorders>
              <w:bottom w:val="single" w:sz="8" w:color="auto"/>
            </w:tcBorders>
          </w:tcPr>
          <w:p>
            <w:pPr>
              <w:spacing w:after="0"/>
              <w:rPr>
                <w:sz w:val="16"/>
                <w:szCs w:val="16"/>
                <w:color w:val="auto"/>
              </w:rPr>
            </w:pPr>
          </w:p>
        </w:tc>
      </w:tr>
      <w:tr>
        <w:trPr>
          <w:trHeight w:val="26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center"/>
              <w:ind w:right="230"/>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4380" w:type="dxa"/>
            <w:vAlign w:val="bottom"/>
          </w:tcPr>
          <w:p>
            <w:pPr>
              <w:ind w:left="20"/>
              <w:spacing w:after="0"/>
              <w:rPr>
                <w:sz w:val="20"/>
                <w:szCs w:val="20"/>
                <w:color w:val="auto"/>
              </w:rPr>
            </w:pPr>
            <w:r>
              <w:rPr>
                <w:rFonts w:ascii="Arial" w:cs="Arial" w:eastAsia="Arial" w:hAnsi="Arial"/>
                <w:sz w:val="14"/>
                <w:szCs w:val="14"/>
                <w:color w:val="auto"/>
              </w:rPr>
              <w:t>Market Making:</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8"/>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Americas Equities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2,359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230"/>
              <w:spacing w:after="0"/>
              <w:rPr>
                <w:sz w:val="20"/>
                <w:szCs w:val="20"/>
                <w:color w:val="auto"/>
              </w:rPr>
            </w:pPr>
            <w:r>
              <w:rPr>
                <w:rFonts w:ascii="Arial" w:cs="Arial" w:eastAsia="Arial" w:hAnsi="Arial"/>
                <w:sz w:val="14"/>
                <w:szCs w:val="14"/>
                <w:color w:val="auto"/>
                <w:w w:val="92"/>
              </w:rPr>
              <w:t>229.6%</w:t>
            </w:r>
          </w:p>
        </w:tc>
      </w:tr>
      <w:tr>
        <w:trPr>
          <w:trHeight w:val="257"/>
        </w:trPr>
        <w:tc>
          <w:tcPr>
            <w:tcW w:w="4380" w:type="dxa"/>
            <w:vAlign w:val="bottom"/>
          </w:tcPr>
          <w:p>
            <w:pPr>
              <w:ind w:left="20"/>
              <w:spacing w:after="0"/>
              <w:rPr>
                <w:sz w:val="20"/>
                <w:szCs w:val="20"/>
                <w:color w:val="auto"/>
              </w:rPr>
            </w:pPr>
            <w:r>
              <w:rPr>
                <w:rFonts w:ascii="Arial" w:cs="Arial" w:eastAsia="Arial" w:hAnsi="Arial"/>
                <w:sz w:val="14"/>
                <w:szCs w:val="14"/>
                <w:color w:val="auto"/>
              </w:rPr>
              <w:t>ROW Equities</w:t>
            </w: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center"/>
              <w:ind w:right="230"/>
              <w:spacing w:after="0"/>
              <w:rPr>
                <w:sz w:val="20"/>
                <w:szCs w:val="20"/>
                <w:color w:val="auto"/>
              </w:rPr>
            </w:pPr>
            <w:r>
              <w:rPr>
                <w:rFonts w:ascii="Arial" w:cs="Arial" w:eastAsia="Arial" w:hAnsi="Arial"/>
                <w:sz w:val="14"/>
                <w:szCs w:val="14"/>
                <w:color w:val="auto"/>
                <w:w w:val="90"/>
              </w:rPr>
              <w:t>16.6%</w:t>
            </w:r>
          </w:p>
        </w:tc>
      </w:tr>
      <w:tr>
        <w:trPr>
          <w:trHeight w:val="268"/>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 FICC, Options and Other</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230"/>
              <w:spacing w:after="0"/>
              <w:rPr>
                <w:sz w:val="20"/>
                <w:szCs w:val="20"/>
                <w:color w:val="auto"/>
              </w:rPr>
            </w:pPr>
            <w:r>
              <w:rPr>
                <w:rFonts w:ascii="Arial" w:cs="Arial" w:eastAsia="Arial" w:hAnsi="Arial"/>
                <w:sz w:val="14"/>
                <w:szCs w:val="14"/>
                <w:color w:val="auto"/>
                <w:w w:val="90"/>
              </w:rPr>
              <w:t>47.6%</w:t>
            </w:r>
          </w:p>
        </w:tc>
      </w:tr>
      <w:tr>
        <w:trPr>
          <w:trHeight w:val="257"/>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Unallocated(1)</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center"/>
              <w:ind w:right="250"/>
              <w:spacing w:after="0"/>
              <w:rPr>
                <w:sz w:val="20"/>
                <w:szCs w:val="20"/>
                <w:color w:val="auto"/>
              </w:rPr>
            </w:pPr>
            <w:r>
              <w:rPr>
                <w:rFonts w:ascii="Arial" w:cs="Arial" w:eastAsia="Arial" w:hAnsi="Arial"/>
                <w:sz w:val="14"/>
                <w:szCs w:val="14"/>
                <w:color w:val="auto"/>
              </w:rPr>
              <w:t>NM</w:t>
            </w:r>
          </w:p>
        </w:tc>
      </w:tr>
      <w:tr>
        <w:trPr>
          <w:trHeight w:val="248"/>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Market Making</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3,452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right="230"/>
              <w:spacing w:after="0"/>
              <w:rPr>
                <w:sz w:val="20"/>
                <w:szCs w:val="20"/>
                <w:color w:val="auto"/>
              </w:rPr>
            </w:pPr>
            <w:r>
              <w:rPr>
                <w:rFonts w:ascii="Arial" w:cs="Arial" w:eastAsia="Arial" w:hAnsi="Arial"/>
                <w:sz w:val="14"/>
                <w:szCs w:val="14"/>
                <w:color w:val="auto"/>
                <w:w w:val="92"/>
              </w:rPr>
              <w:t>127.5%</w:t>
            </w:r>
          </w:p>
        </w:tc>
      </w:tr>
      <w:tr>
        <w:trPr>
          <w:trHeight w:val="276"/>
        </w:trPr>
        <w:tc>
          <w:tcPr>
            <w:tcW w:w="4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6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Execution Services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88"/>
              </w:rPr>
              <w:t>111.1%</w:t>
            </w:r>
          </w:p>
        </w:tc>
      </w:tr>
      <w:tr>
        <w:trPr>
          <w:trHeight w:val="276"/>
        </w:trPr>
        <w:tc>
          <w:tcPr>
            <w:tcW w:w="4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6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rPr>
              <w:t>NM</w:t>
            </w:r>
          </w:p>
        </w:tc>
      </w:tr>
      <w:tr>
        <w:trPr>
          <w:trHeight w:val="276"/>
        </w:trPr>
        <w:tc>
          <w:tcPr>
            <w:tcW w:w="43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r>
      <w:tr>
        <w:trPr>
          <w:trHeight w:val="22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3,835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1,697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4"/>
                <w:szCs w:val="14"/>
                <w:color w:val="auto"/>
                <w:w w:val="92"/>
              </w:rPr>
              <w:t>126.0%</w:t>
            </w:r>
          </w:p>
        </w:tc>
      </w:tr>
      <w:tr>
        <w:trPr>
          <w:trHeight w:val="20"/>
        </w:trPr>
        <w:tc>
          <w:tcPr>
            <w:tcW w:w="4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75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firstLine="5"/>
        <w:spacing w:after="0" w:line="328" w:lineRule="auto"/>
        <w:tabs>
          <w:tab w:leader="none" w:pos="813"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our methodology for recording “trading income, net” in our condensed consolidated statements of comprehensive income from Part I “Financial Information” of this quarterly report on Form 10-Q,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GAAP. We do not allocate any resulting differences based on the timing of revenue recognition.</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2018 Compared to Three Months Ended September 30, 2017</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24" w:lineRule="exact"/>
        <w:rPr>
          <w:sz w:val="20"/>
          <w:szCs w:val="20"/>
          <w:color w:val="auto"/>
        </w:rPr>
      </w:pPr>
    </w:p>
    <w:p>
      <w:pPr>
        <w:ind w:right="180" w:firstLine="630"/>
        <w:spacing w:after="0" w:line="268" w:lineRule="auto"/>
        <w:rPr>
          <w:sz w:val="20"/>
          <w:szCs w:val="20"/>
          <w:color w:val="auto"/>
        </w:rPr>
      </w:pPr>
      <w:r>
        <w:rPr>
          <w:rFonts w:ascii="Arial" w:cs="Arial" w:eastAsia="Arial" w:hAnsi="Arial"/>
          <w:sz w:val="17"/>
          <w:szCs w:val="17"/>
          <w:color w:val="auto"/>
        </w:rPr>
        <w:t>Our total revenues increased $23.8 million, or 8.8%, to $295.1 million for the three months ended September 30, 2018, compared to $271.3 million for the three months ended September 30, 2017. This increase was primarily attributable to the Acquisition of KCG, which resulted in increases in trading income, net, of $31.8 million and interest and dividends income of $1.0 million. These increases were partially offset by decreases in commissions, net and technology services of $3.1 million and other, net, of $5.9 million.</w:t>
      </w:r>
    </w:p>
    <w:p>
      <w:pPr>
        <w:sectPr>
          <w:pgSz w:w="11900" w:h="16838" w:orient="portrait"/>
          <w:cols w:equalWidth="0" w:num="1">
            <w:col w:w="11380"/>
          </w:cols>
          <w:pgMar w:left="240" w:top="127" w:right="27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80"/>
          </w:cols>
          <w:pgMar w:left="240" w:top="127" w:right="279" w:bottom="1440" w:gutter="0" w:footer="0" w:header="0"/>
          <w:type w:val="continuous"/>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total revenues by operating segment for the three months ended September 30, 2018 and 2017.</w:t>
      </w:r>
    </w:p>
    <w:p>
      <w:pPr>
        <w:spacing w:after="0" w:line="200" w:lineRule="exact"/>
        <w:rPr>
          <w:sz w:val="20"/>
          <w:szCs w:val="20"/>
          <w:color w:val="auto"/>
        </w:rPr>
      </w:pPr>
    </w:p>
    <w:p>
      <w:pPr>
        <w:spacing w:after="0" w:line="237" w:lineRule="exact"/>
        <w:rPr>
          <w:sz w:val="20"/>
          <w:szCs w:val="20"/>
          <w:color w:val="auto"/>
        </w:rPr>
      </w:pPr>
    </w:p>
    <w:tbl>
      <w:tblPr>
        <w:tblLayout w:type="fixed"/>
        <w:tblInd w:w="96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ind w:left="1200"/>
              <w:spacing w:after="0"/>
              <w:rPr>
                <w:sz w:val="20"/>
                <w:szCs w:val="20"/>
                <w:color w:val="auto"/>
              </w:rPr>
            </w:pPr>
            <w:r>
              <w:rPr>
                <w:rFonts w:ascii="Arial" w:cs="Arial" w:eastAsia="Arial" w:hAnsi="Arial"/>
                <w:sz w:val="14"/>
                <w:szCs w:val="14"/>
                <w:b w:val="1"/>
                <w:bCs w:val="1"/>
                <w:color w:val="auto"/>
                <w:w w:val="99"/>
              </w:rPr>
              <w:t>Three Months Ended September 30,</w:t>
            </w:r>
          </w:p>
        </w:tc>
        <w:tc>
          <w:tcPr>
            <w:tcW w:w="1380" w:type="dxa"/>
            <w:vAlign w:val="bottom"/>
            <w:tcBorders>
              <w:bottom w:val="single" w:sz="8" w:color="auto"/>
            </w:tcBorders>
          </w:tcPr>
          <w:p>
            <w:pPr>
              <w:spacing w:after="0"/>
              <w:rPr>
                <w:sz w:val="16"/>
                <w:szCs w:val="16"/>
                <w:color w:val="auto"/>
              </w:rPr>
            </w:pPr>
          </w:p>
        </w:tc>
      </w:tr>
      <w:tr>
        <w:trPr>
          <w:trHeight w:val="25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270"/>
              <w:spacing w:after="0"/>
              <w:rPr>
                <w:sz w:val="20"/>
                <w:szCs w:val="20"/>
                <w:color w:val="auto"/>
              </w:rPr>
            </w:pPr>
            <w:r>
              <w:rPr>
                <w:rFonts w:ascii="Arial" w:cs="Arial" w:eastAsia="Arial" w:hAnsi="Arial"/>
                <w:sz w:val="14"/>
                <w:szCs w:val="14"/>
                <w:b w:val="1"/>
                <w:bCs w:val="1"/>
                <w:color w:val="auto"/>
                <w:w w:val="94"/>
              </w:rPr>
              <w:t>% Change</w:t>
            </w:r>
          </w:p>
        </w:tc>
      </w:tr>
      <w:tr>
        <w:trPr>
          <w:trHeight w:val="26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235,564</w:t>
            </w:r>
          </w:p>
        </w:tc>
        <w:tc>
          <w:tcPr>
            <w:tcW w:w="100" w:type="dxa"/>
            <w:vAlign w:val="bottom"/>
          </w:tcPr>
          <w:p>
            <w:pPr>
              <w:spacing w:after="0"/>
              <w:rPr>
                <w:sz w:val="22"/>
                <w:szCs w:val="22"/>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206,542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center"/>
              <w:ind w:right="270"/>
              <w:spacing w:after="0"/>
              <w:rPr>
                <w:sz w:val="20"/>
                <w:szCs w:val="20"/>
                <w:color w:val="auto"/>
              </w:rPr>
            </w:pPr>
            <w:r>
              <w:rPr>
                <w:rFonts w:ascii="Arial" w:cs="Arial" w:eastAsia="Arial" w:hAnsi="Arial"/>
                <w:sz w:val="14"/>
                <w:szCs w:val="14"/>
                <w:color w:val="auto"/>
                <w:w w:val="90"/>
              </w:rPr>
              <w:t>14.1%</w:t>
            </w: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21,320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20,056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w w:val="87"/>
              </w:rPr>
              <w:t>6.3%</w:t>
            </w: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6,587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1,563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center"/>
              <w:ind w:right="270"/>
              <w:spacing w:after="0"/>
              <w:rPr>
                <w:sz w:val="20"/>
                <w:szCs w:val="20"/>
                <w:color w:val="auto"/>
              </w:rPr>
            </w:pPr>
            <w:r>
              <w:rPr>
                <w:rFonts w:ascii="Arial" w:cs="Arial" w:eastAsia="Arial" w:hAnsi="Arial"/>
                <w:sz w:val="14"/>
                <w:szCs w:val="14"/>
                <w:color w:val="auto"/>
                <w:w w:val="92"/>
              </w:rPr>
              <w:t>321.4%</w:t>
            </w:r>
          </w:p>
        </w:tc>
      </w:tr>
      <w:tr>
        <w:trPr>
          <w:trHeight w:val="262"/>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w w:val="92"/>
              </w:rPr>
              <w:t>113.5%</w:t>
            </w:r>
          </w:p>
        </w:tc>
      </w:tr>
      <w:tr>
        <w:trPr>
          <w:trHeight w:val="275"/>
        </w:trPr>
        <w:tc>
          <w:tcPr>
            <w:tcW w:w="41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revenues from Market Making</w:t>
            </w: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264,370</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228,582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center"/>
              <w:ind w:right="270"/>
              <w:spacing w:after="0"/>
              <w:rPr>
                <w:sz w:val="20"/>
                <w:szCs w:val="20"/>
                <w:color w:val="auto"/>
              </w:rPr>
            </w:pPr>
            <w:r>
              <w:rPr>
                <w:rFonts w:ascii="Arial" w:cs="Arial" w:eastAsia="Arial" w:hAnsi="Arial"/>
                <w:sz w:val="14"/>
                <w:szCs w:val="14"/>
                <w:color w:val="auto"/>
                <w:w w:val="90"/>
              </w:rPr>
              <w:t>15.7%</w:t>
            </w:r>
          </w:p>
        </w:tc>
      </w:tr>
      <w:tr>
        <w:trPr>
          <w:trHeight w:val="255"/>
        </w:trPr>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Execution Services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rPr>
              <w:t>NM</w:t>
            </w: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center"/>
              <w:ind w:right="270"/>
              <w:spacing w:after="0"/>
              <w:rPr>
                <w:sz w:val="20"/>
                <w:szCs w:val="20"/>
                <w:color w:val="auto"/>
              </w:rPr>
            </w:pPr>
            <w:r>
              <w:rPr>
                <w:rFonts w:ascii="Arial" w:cs="Arial" w:eastAsia="Arial" w:hAnsi="Arial"/>
                <w:sz w:val="14"/>
                <w:szCs w:val="14"/>
                <w:color w:val="auto"/>
                <w:w w:val="87"/>
              </w:rPr>
              <w:t>5.8%</w:t>
            </w: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33,665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41,788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w w:val="89"/>
              </w:rPr>
              <w:t>(19.4)%</w:t>
            </w:r>
          </w:p>
        </w:tc>
      </w:tr>
      <w:tr>
        <w:trPr>
          <w:trHeight w:val="257"/>
        </w:trPr>
        <w:tc>
          <w:tcPr>
            <w:tcW w:w="41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527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ind w:right="270"/>
              <w:spacing w:after="0"/>
              <w:rPr>
                <w:sz w:val="20"/>
                <w:szCs w:val="20"/>
                <w:color w:val="auto"/>
              </w:rPr>
            </w:pPr>
            <w:r>
              <w:rPr>
                <w:rFonts w:ascii="Arial" w:cs="Arial" w:eastAsia="Arial" w:hAnsi="Arial"/>
                <w:sz w:val="14"/>
                <w:szCs w:val="14"/>
                <w:color w:val="auto"/>
                <w:w w:val="89"/>
              </w:rPr>
              <w:t>(43.8)%</w:t>
            </w:r>
          </w:p>
        </w:tc>
      </w:tr>
      <w:tr>
        <w:trPr>
          <w:trHeight w:val="235"/>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revenues from Execution Services</w:t>
            </w: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34,206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39,077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4"/>
                <w:szCs w:val="14"/>
                <w:color w:val="auto"/>
                <w:w w:val="89"/>
              </w:rPr>
              <w:t>(12.5)%</w:t>
            </w:r>
          </w:p>
        </w:tc>
      </w:tr>
      <w:tr>
        <w:trPr>
          <w:trHeight w:val="20"/>
        </w:trPr>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5"/>
        </w:trPr>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center"/>
              <w:ind w:right="270"/>
              <w:spacing w:after="0"/>
              <w:rPr>
                <w:sz w:val="20"/>
                <w:szCs w:val="20"/>
                <w:color w:val="auto"/>
              </w:rPr>
            </w:pPr>
            <w:r>
              <w:rPr>
                <w:rFonts w:ascii="Arial" w:cs="Arial" w:eastAsia="Arial" w:hAnsi="Arial"/>
                <w:sz w:val="14"/>
                <w:szCs w:val="14"/>
                <w:color w:val="auto"/>
                <w:w w:val="91"/>
              </w:rPr>
              <w:t>(100.0)%</w:t>
            </w: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w w:val="89"/>
              </w:rPr>
              <w:t>(92.2)%</w:t>
            </w: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76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380" w:type="dxa"/>
            <w:vAlign w:val="bottom"/>
          </w:tcPr>
          <w:p>
            <w:pPr>
              <w:jc w:val="center"/>
              <w:ind w:right="270"/>
              <w:spacing w:after="0"/>
              <w:rPr>
                <w:sz w:val="20"/>
                <w:szCs w:val="20"/>
                <w:color w:val="auto"/>
              </w:rPr>
            </w:pPr>
            <w:r>
              <w:rPr>
                <w:rFonts w:ascii="Arial" w:cs="Arial" w:eastAsia="Arial" w:hAnsi="Arial"/>
                <w:sz w:val="14"/>
                <w:szCs w:val="14"/>
                <w:color w:val="auto"/>
              </w:rPr>
              <w:t>NM</w:t>
            </w:r>
          </w:p>
        </w:tc>
      </w:tr>
      <w:tr>
        <w:trPr>
          <w:trHeight w:val="262"/>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2,650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rPr>
              <w:t>NM</w:t>
            </w:r>
          </w:p>
        </w:tc>
      </w:tr>
      <w:tr>
        <w:trPr>
          <w:trHeight w:val="275"/>
        </w:trPr>
        <w:tc>
          <w:tcPr>
            <w:tcW w:w="41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revenues from Corporate</w:t>
            </w: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3,627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center"/>
              <w:ind w:right="270"/>
              <w:spacing w:after="0"/>
              <w:rPr>
                <w:sz w:val="20"/>
                <w:szCs w:val="20"/>
                <w:color w:val="auto"/>
              </w:rPr>
            </w:pPr>
            <w:r>
              <w:rPr>
                <w:rFonts w:ascii="Arial" w:cs="Arial" w:eastAsia="Arial" w:hAnsi="Arial"/>
                <w:sz w:val="14"/>
                <w:szCs w:val="14"/>
                <w:color w:val="auto"/>
              </w:rPr>
              <w:t>NM</w:t>
            </w:r>
          </w:p>
        </w:tc>
      </w:tr>
      <w:tr>
        <w:trPr>
          <w:trHeight w:val="255"/>
        </w:trPr>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Consolidated</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235,699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203,907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w w:val="90"/>
              </w:rPr>
              <w:t>15.6%</w:t>
            </w: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21,451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20,430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center"/>
              <w:ind w:right="270"/>
              <w:spacing w:after="0"/>
              <w:rPr>
                <w:sz w:val="20"/>
                <w:szCs w:val="20"/>
                <w:color w:val="auto"/>
              </w:rPr>
            </w:pPr>
            <w:r>
              <w:rPr>
                <w:rFonts w:ascii="Arial" w:cs="Arial" w:eastAsia="Arial" w:hAnsi="Arial"/>
                <w:sz w:val="14"/>
                <w:szCs w:val="14"/>
                <w:color w:val="auto"/>
                <w:w w:val="87"/>
              </w:rPr>
              <w:t>5.0%</w:t>
            </w: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40,252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43,351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70"/>
              <w:spacing w:after="0"/>
              <w:rPr>
                <w:sz w:val="20"/>
                <w:szCs w:val="20"/>
                <w:color w:val="auto"/>
              </w:rPr>
            </w:pPr>
            <w:r>
              <w:rPr>
                <w:rFonts w:ascii="Arial" w:cs="Arial" w:eastAsia="Arial" w:hAnsi="Arial"/>
                <w:sz w:val="14"/>
                <w:szCs w:val="14"/>
                <w:color w:val="auto"/>
                <w:w w:val="96"/>
              </w:rPr>
              <w:t>(7.1)%</w:t>
            </w:r>
          </w:p>
        </w:tc>
      </w:tr>
      <w:tr>
        <w:trPr>
          <w:trHeight w:val="257"/>
        </w:trPr>
        <w:tc>
          <w:tcPr>
            <w:tcW w:w="41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3,598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ind w:right="270"/>
              <w:spacing w:after="0"/>
              <w:rPr>
                <w:sz w:val="20"/>
                <w:szCs w:val="20"/>
                <w:color w:val="auto"/>
              </w:rPr>
            </w:pPr>
            <w:r>
              <w:rPr>
                <w:rFonts w:ascii="Arial" w:cs="Arial" w:eastAsia="Arial" w:hAnsi="Arial"/>
                <w:sz w:val="14"/>
                <w:szCs w:val="14"/>
                <w:color w:val="auto"/>
              </w:rPr>
              <w:t>NM</w:t>
            </w:r>
          </w:p>
        </w:tc>
      </w:tr>
      <w:tr>
        <w:trPr>
          <w:trHeight w:val="235"/>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revenues</w:t>
            </w: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295,123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271,286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4"/>
                <w:szCs w:val="14"/>
                <w:color w:val="auto"/>
                <w:w w:val="87"/>
              </w:rPr>
              <w:t>8.8%</w:t>
            </w:r>
          </w:p>
        </w:tc>
      </w:tr>
      <w:tr>
        <w:trPr>
          <w:trHeight w:val="20"/>
        </w:trPr>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was primarily earned by our Market Making segment. Trading income, net increased $31.8 million, or 15.6%,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$235.7 million for the three months ended September 30, 2018, compared to $203.9 million for the three months ended September 30, 2017. The increase was primarily attributable to the Acquisition of KCG.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181"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was primarily earned by our Market Making segment. Interest and dividends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$1.0 million, or 5.0%, to $21.5 million for the three months ended September 30, 2018, compared to $20.4 million for the three months ended September 30, 2017. This increase was primarily attributable to the Acquisition of KCG. As indicated above, rather than analyzing interest and dividends income in isolation, we generally evaluate it in the broader context of our Adjusted Net Trading Income.</w:t>
      </w:r>
    </w:p>
    <w:p>
      <w:pPr>
        <w:spacing w:after="0" w:line="177" w:lineRule="exact"/>
        <w:rPr>
          <w:sz w:val="20"/>
          <w:szCs w:val="20"/>
          <w:color w:val="auto"/>
        </w:rPr>
      </w:pPr>
    </w:p>
    <w:p>
      <w:pPr>
        <w:ind w:right="20" w:firstLine="630"/>
        <w:spacing w:after="0" w:line="326" w:lineRule="auto"/>
        <w:rPr>
          <w:sz w:val="20"/>
          <w:szCs w:val="20"/>
          <w:color w:val="auto"/>
        </w:rPr>
      </w:pPr>
      <w:r>
        <w:rPr>
          <w:rFonts w:ascii="Arial" w:cs="Arial" w:eastAsia="Arial" w:hAnsi="Arial"/>
          <w:sz w:val="15"/>
          <w:szCs w:val="15"/>
          <w:b w:val="1"/>
          <w:bCs w:val="1"/>
          <w:i w:val="1"/>
          <w:iCs w:val="1"/>
          <w:color w:val="auto"/>
        </w:rPr>
        <w:t xml:space="preserve">Commissions, net and technology services. </w:t>
      </w:r>
      <w:r>
        <w:rPr>
          <w:rFonts w:ascii="Arial" w:cs="Arial" w:eastAsia="Arial" w:hAnsi="Arial"/>
          <w:sz w:val="15"/>
          <w:szCs w:val="15"/>
          <w:color w:val="auto"/>
        </w:rPr>
        <w:t>Commissions, net and technology services revenues were primarily earned by our Execution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segment. Commissions, net and technology services revenues decreased $3.1 million, or 7.1%, to $40.3 million for the three months ended September 30, 2018, compared to $43.4 million for the three months ended September 30, 2017. The decrease was primarily due non-renewal of certain technology services contracts.</w:t>
      </w:r>
    </w:p>
    <w:p>
      <w:pPr>
        <w:spacing w:after="0" w:line="137"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revenues were primarily earned by our Corporate segment. Other, net was $(2.3)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compared to $3.6 million for the three months ended September 30, 2017. The decrease was primarily due to loss on sale of certain telecommunication assets to one of our joint ventures.</w:t>
      </w:r>
    </w:p>
    <w:p>
      <w:pPr>
        <w:sectPr>
          <w:pgSz w:w="11900" w:h="16838" w:orient="portrait"/>
          <w:cols w:equalWidth="0" w:num="1">
            <w:col w:w="11340"/>
          </w:cols>
          <w:pgMar w:left="240" w:top="127" w:right="319" w:bottom="1440" w:gutter="0" w:footer="0" w:header="0"/>
        </w:sect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40"/>
          </w:cols>
          <w:pgMar w:left="240" w:top="127" w:right="319" w:bottom="1440" w:gutter="0" w:footer="0" w:header="0"/>
          <w:type w:val="continuous"/>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24" w:lineRule="exact"/>
        <w:rPr>
          <w:sz w:val="20"/>
          <w:szCs w:val="20"/>
          <w:color w:val="auto"/>
        </w:rPr>
      </w:pPr>
    </w:p>
    <w:p>
      <w:pPr>
        <w:ind w:right="20" w:firstLine="630"/>
        <w:spacing w:after="0" w:line="282" w:lineRule="auto"/>
        <w:rPr>
          <w:sz w:val="20"/>
          <w:szCs w:val="20"/>
          <w:color w:val="auto"/>
        </w:rPr>
      </w:pPr>
      <w:r>
        <w:rPr>
          <w:rFonts w:ascii="Arial" w:cs="Arial" w:eastAsia="Arial" w:hAnsi="Arial"/>
          <w:sz w:val="16"/>
          <w:szCs w:val="16"/>
          <w:color w:val="auto"/>
        </w:rPr>
        <w:t>Adjusted Net Trading Income increased $18.1 million, or 11.3%, to $177.9 million for the three months ended September 30, 2018, compared to $159.8 million for the three months ended September 30, 2017. This increase was primarily attributable to the Acquisition of KCG, which resulted in a significant increase in Americas Equities of $22.9 million, or 27.7%, from the Market Making segment for the three months ended September 30, 2018. The increase was partially offset by the decrease of $9.2 million, or 32.6%, from the Execution Services, primarily reflecting the sale of BondPoint and absence of its related revenues in the three months ended September 30, 2018 compared to the three months ended September 30, 2017. Adjusted Net Trading Income per day increased $0.3 million, or 11.3%, to $2.8 million for the three months ended September 30, 2018, compared to $2.5 million for the three months ended September 30, 2017. The number of trading days was 63 days for both the three months ended September 30, 2018 and 2017.</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4" w:lineRule="exact"/>
        <w:rPr>
          <w:sz w:val="20"/>
          <w:szCs w:val="20"/>
          <w:color w:val="auto"/>
        </w:rPr>
      </w:pPr>
    </w:p>
    <w:p>
      <w:pPr>
        <w:ind w:right="480" w:firstLine="630"/>
        <w:spacing w:after="0" w:line="360" w:lineRule="auto"/>
        <w:rPr>
          <w:sz w:val="20"/>
          <w:szCs w:val="20"/>
          <w:color w:val="auto"/>
        </w:rPr>
      </w:pPr>
      <w:r>
        <w:rPr>
          <w:rFonts w:ascii="Arial" w:cs="Arial" w:eastAsia="Arial" w:hAnsi="Arial"/>
          <w:sz w:val="15"/>
          <w:szCs w:val="15"/>
          <w:color w:val="auto"/>
        </w:rPr>
        <w:t>Our operating expenses decreased $52.1 million, or 16.4%, to $265.7 million for the three months ended September 30, 2018, compared to $317.8 million for the three months ended September 30, 2017. The decrease in operating expenses is primarily due to the Company's expense reduction initiatives.</w:t>
      </w:r>
    </w:p>
    <w:p>
      <w:pPr>
        <w:spacing w:after="0" w:line="113" w:lineRule="exact"/>
        <w:rPr>
          <w:sz w:val="20"/>
          <w:szCs w:val="20"/>
          <w:color w:val="auto"/>
        </w:rPr>
      </w:pPr>
    </w:p>
    <w:p>
      <w:pPr>
        <w:ind w:right="20" w:firstLine="630"/>
        <w:spacing w:after="0" w:line="290" w:lineRule="auto"/>
        <w:rPr>
          <w:sz w:val="20"/>
          <w:szCs w:val="20"/>
          <w:color w:val="auto"/>
        </w:rPr>
      </w:pPr>
      <w:r>
        <w:rPr>
          <w:rFonts w:ascii="Arial" w:cs="Arial" w:eastAsia="Arial" w:hAnsi="Arial"/>
          <w:sz w:val="16"/>
          <w:szCs w:val="16"/>
          <w:b w:val="1"/>
          <w:bCs w:val="1"/>
          <w:i w:val="1"/>
          <w:iCs w:val="1"/>
          <w:color w:val="auto"/>
        </w:rPr>
        <w:t xml:space="preserve">Brokerage, exchange and clearance fees, net. </w:t>
      </w:r>
      <w:r>
        <w:rPr>
          <w:rFonts w:ascii="Arial" w:cs="Arial" w:eastAsia="Arial" w:hAnsi="Arial"/>
          <w:sz w:val="16"/>
          <w:szCs w:val="16"/>
          <w:color w:val="auto"/>
        </w:rPr>
        <w:t>Brokerage exchange and clearance fees, net, increased $4.1 million, or 6.3%, to $68.6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2018, compared to $64.6 million for the three months ended September 30, 2017. This increase was primarily attributable to the larger volume we traded in Americas Equities instruments as a result of the Acquisition of KCG. As indicated above, rather than analyzing brokerage, exchange and clearance fees, net, in isolation, we generally evaluate it in the broader context of our Adjusted Net Trading Income.</w:t>
      </w:r>
    </w:p>
    <w:p>
      <w:pPr>
        <w:spacing w:after="0" w:line="161" w:lineRule="exact"/>
        <w:rPr>
          <w:sz w:val="20"/>
          <w:szCs w:val="20"/>
          <w:color w:val="auto"/>
        </w:rPr>
      </w:pPr>
    </w:p>
    <w:p>
      <w:pPr>
        <w:ind w:right="120" w:firstLine="630"/>
        <w:spacing w:after="0" w:line="298"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expense decreased $6.5 million, or 14.1%, to $39.5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2018, compared to $46.0 million for the three months ended September 30, 2017. This decrease was primarily due to the reductions in connectivity connections as a result of an on-going effort to consolidate various communication and data processing subscriptions.</w:t>
      </w:r>
    </w:p>
    <w:p>
      <w:pPr>
        <w:spacing w:after="0" w:line="155" w:lineRule="exact"/>
        <w:rPr>
          <w:sz w:val="20"/>
          <w:szCs w:val="20"/>
          <w:color w:val="auto"/>
        </w:rPr>
      </w:pPr>
    </w:p>
    <w:p>
      <w:pPr>
        <w:ind w:right="20" w:firstLine="630"/>
        <w:spacing w:after="0" w:line="286"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decreased $27.5 million, or 38.0%, to $44.8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2018, compared to $72.3 million for the three months ended September 30, 2017. The decrease in compensation levels was primarily attributable to the decreases in headcount subsequent to the Acquisition of KCG. Incentive compensation is recorded at management’s discretion and is generally accrued in connection with the overall level of profitability. We have capitalized and therefore excluded employee compensation and benefits related to software development of $6.2 million, and $1.6 million for the three months ended September 30, 2018, and 2017, respectively.</w:t>
      </w:r>
    </w:p>
    <w:p>
      <w:pPr>
        <w:spacing w:after="0" w:line="164" w:lineRule="exact"/>
        <w:rPr>
          <w:sz w:val="20"/>
          <w:szCs w:val="20"/>
          <w:color w:val="auto"/>
        </w:rPr>
      </w:pPr>
    </w:p>
    <w:p>
      <w:pPr>
        <w:ind w:right="40" w:firstLine="630"/>
        <w:spacing w:after="0" w:line="290" w:lineRule="auto"/>
        <w:rPr>
          <w:sz w:val="20"/>
          <w:szCs w:val="20"/>
          <w:color w:val="auto"/>
        </w:rPr>
      </w:pPr>
      <w:r>
        <w:rPr>
          <w:rFonts w:ascii="Arial" w:cs="Arial" w:eastAsia="Arial" w:hAnsi="Arial"/>
          <w:sz w:val="16"/>
          <w:szCs w:val="16"/>
          <w:b w:val="1"/>
          <w:bCs w:val="1"/>
          <w:i w:val="1"/>
          <w:iCs w:val="1"/>
          <w:color w:val="auto"/>
        </w:rPr>
        <w:t xml:space="preserve">Payments for order flow. </w:t>
      </w:r>
      <w:r>
        <w:rPr>
          <w:rFonts w:ascii="Arial" w:cs="Arial" w:eastAsia="Arial" w:hAnsi="Arial"/>
          <w:sz w:val="16"/>
          <w:szCs w:val="16"/>
          <w:color w:val="auto"/>
        </w:rPr>
        <w:t>Payments for order flow increased $6.2 million, or 51.5%, to $18.3 million for the three months ended September 30,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$12.1 million for the three months ended September 30, 2017. This increase was attributable to the Acquisition of KCG. Payments for order flow primarily represent payments to broker-dealer clients, in the normal course of business, for directing to us their order flow primarily in U.S. equities. Payments for order flow also fluctuate based on U.S. equity share and option volumes, our profitability and the mix of market orders, limit orders, and customer mix.</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increased $1.3 million, or 4.2%, to $32.6 million for the three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2018, compared to $31.2 million for the three months ended September 30, 2017. This increase was primarily attributable to higher interest expense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incurred on cash collateral received as part of securities lending transactions resulting from the Acquisition of KCG. As indicated above, rather than analyzing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interest and dividends expense in isolation, we generally evaluate it in the broader context of our Adjusted Net Trading Income.</w:t>
      </w:r>
    </w:p>
    <w:p>
      <w:pPr>
        <w:spacing w:after="0" w:line="213" w:lineRule="exact"/>
        <w:rPr>
          <w:sz w:val="20"/>
          <w:szCs w:val="20"/>
          <w:color w:val="auto"/>
        </w:rPr>
      </w:pPr>
    </w:p>
    <w:p>
      <w:pPr>
        <w:jc w:val="both"/>
        <w:ind w:right="300" w:firstLine="630"/>
        <w:spacing w:after="0" w:line="274"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decreased $6.9 million, or 28.7%, to $17.3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2018, compared to $24.2 million for the three months ended September 30, 2017. This decrease was primarily attributable to the cancellation of various legal and professional expenses as a result of an on-going effort to consolidate professional services.</w:t>
      </w:r>
    </w:p>
    <w:p>
      <w:pPr>
        <w:spacing w:after="0" w:line="170" w:lineRule="exact"/>
        <w:rPr>
          <w:sz w:val="20"/>
          <w:szCs w:val="20"/>
          <w:color w:val="auto"/>
        </w:rPr>
      </w:pPr>
    </w:p>
    <w:p>
      <w:pPr>
        <w:ind w:right="460" w:firstLine="630"/>
        <w:spacing w:after="0" w:line="268"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increased $0.4 million, or 2.6%, to $16.0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2018, compared to $15.6 million for the three months ended September 30, 2017. This increase was primarily attributable to depreciation and amortization of additional assets resulting from the Acquisition of KCG and an increase in capital expenditures on telecommunication, networking and other assets.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27"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40" w:firstLine="630"/>
        <w:spacing w:after="0" w:line="290"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$6.4 million for the three months ended September 30, 2018, consistent with the three months ended September 30, 2017.</w:t>
      </w:r>
    </w:p>
    <w:p>
      <w:pPr>
        <w:spacing w:after="0" w:line="158" w:lineRule="exact"/>
        <w:rPr>
          <w:sz w:val="20"/>
          <w:szCs w:val="20"/>
          <w:color w:val="auto"/>
        </w:rPr>
      </w:pPr>
    </w:p>
    <w:p>
      <w:pPr>
        <w:ind w:right="240" w:firstLine="630"/>
        <w:spacing w:after="0" w:line="274"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expense was $1.4 million for the three months ended September 30, 2018. These charges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reflect updated assumptions related to certain offices abandoned in prior periods as part of the effort of integration and consolidating office space in connection with the Acquisition of KCG. We did not incur such expenses during the three months ended September 30, 2017.</w:t>
      </w:r>
    </w:p>
    <w:p>
      <w:pPr>
        <w:spacing w:after="0" w:line="170" w:lineRule="exact"/>
        <w:rPr>
          <w:sz w:val="20"/>
          <w:szCs w:val="20"/>
          <w:color w:val="auto"/>
        </w:rPr>
      </w:pPr>
    </w:p>
    <w:p>
      <w:pPr>
        <w:ind w:right="240" w:firstLine="630"/>
        <w:spacing w:after="0" w:line="268" w:lineRule="auto"/>
        <w:rPr>
          <w:sz w:val="20"/>
          <w:szCs w:val="20"/>
          <w:color w:val="auto"/>
        </w:rPr>
      </w:pPr>
      <w:r>
        <w:rPr>
          <w:rFonts w:ascii="Arial" w:cs="Arial" w:eastAsia="Arial" w:hAnsi="Arial"/>
          <w:sz w:val="17"/>
          <w:szCs w:val="17"/>
          <w:b w:val="1"/>
          <w:bCs w:val="1"/>
          <w:i w:val="1"/>
          <w:iCs w:val="1"/>
          <w:color w:val="auto"/>
        </w:rPr>
        <w:t xml:space="preserve">Debt issue cost related to debt refinancing. </w:t>
      </w:r>
      <w:r>
        <w:rPr>
          <w:rFonts w:ascii="Arial" w:cs="Arial" w:eastAsia="Arial" w:hAnsi="Arial"/>
          <w:sz w:val="17"/>
          <w:szCs w:val="17"/>
          <w:color w:val="auto"/>
        </w:rPr>
        <w:t>Debt issue costs related to debt refinancing decreased $1.5 million, or 31.3%, to $3.3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2018, compared to $4.9 million for the three months ended September 30, 2017. The decrease was primarily attributable to less acceleration of amortization of related debt issuance costs in the three months ended September 30, 2018 compared to the three months ended September 30, 2017.</w:t>
      </w:r>
    </w:p>
    <w:p>
      <w:pPr>
        <w:spacing w:after="0" w:line="177" w:lineRule="exact"/>
        <w:rPr>
          <w:sz w:val="20"/>
          <w:szCs w:val="20"/>
          <w:color w:val="auto"/>
        </w:rPr>
      </w:pPr>
    </w:p>
    <w:p>
      <w:pPr>
        <w:jc w:val="both"/>
        <w:ind w:right="380" w:firstLine="630"/>
        <w:spacing w:after="0" w:line="274"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decreased $15.9 million, or 101.7%, to $(0.3)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2018, compared to $15.7 million for the three months ended September 30, 2017. The expense primarily represents lower non-recurring professional fees which had been incurred in the third quarter of 2017 related to the Acquisition of KCG.</w:t>
      </w:r>
    </w:p>
    <w:p>
      <w:pPr>
        <w:spacing w:after="0" w:line="170"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7"/>
          <w:szCs w:val="17"/>
          <w:b w:val="1"/>
          <w:bCs w:val="1"/>
          <w:i w:val="1"/>
          <w:iCs w:val="1"/>
          <w:color w:val="auto"/>
        </w:rPr>
        <w:t xml:space="preserve">Charges related to share based compensation at IPO. </w:t>
      </w:r>
      <w:r>
        <w:rPr>
          <w:rFonts w:ascii="Arial" w:cs="Arial" w:eastAsia="Arial" w:hAnsi="Arial"/>
          <w:sz w:val="17"/>
          <w:szCs w:val="17"/>
          <w:color w:val="auto"/>
        </w:rPr>
        <w:t>Charges related to share based compensation at IPO decreased $0.2 million from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2017. There were no charges related to share-based compensation at IPO for the three months ended September 30, 2018, due to the fact that certain Class B and East MIP Class B interests became fully vested.</w:t>
      </w:r>
    </w:p>
    <w:p>
      <w:pPr>
        <w:spacing w:after="0" w:line="170" w:lineRule="exact"/>
        <w:rPr>
          <w:sz w:val="20"/>
          <w:szCs w:val="20"/>
          <w:color w:val="auto"/>
        </w:rPr>
      </w:pPr>
    </w:p>
    <w:p>
      <w:pPr>
        <w:ind w:right="180" w:firstLine="630"/>
        <w:spacing w:after="0" w:line="268"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on long-term borrowings decreased $6.9 million, or 28.0%, to $17.7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compared to $24.6 million for the three months ended September 30, 2018. This decrease was primarily attributable to the decrease in outstanding principal as a result from the refinancing of the senior secured first lien term loan and the offering of the Notes, as discussed in Note 10 "Borrowings" of Part I “Financial Information”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24" w:lineRule="exact"/>
        <w:rPr>
          <w:sz w:val="20"/>
          <w:szCs w:val="20"/>
          <w:color w:val="auto"/>
        </w:rPr>
      </w:pPr>
    </w:p>
    <w:p>
      <w:pPr>
        <w:jc w:val="both"/>
        <w:ind w:right="260" w:firstLine="630"/>
        <w:spacing w:after="0" w:line="265" w:lineRule="auto"/>
        <w:rPr>
          <w:sz w:val="20"/>
          <w:szCs w:val="20"/>
          <w:color w:val="auto"/>
        </w:rPr>
      </w:pPr>
      <w:r>
        <w:rPr>
          <w:rFonts w:ascii="Arial" w:cs="Arial" w:eastAsia="Arial" w:hAnsi="Arial"/>
          <w:sz w:val="17"/>
          <w:szCs w:val="17"/>
          <w:color w:val="auto"/>
        </w:rPr>
        <w:t>Following the consummation of the Reorganization Transactions, we incur corporate tax at the U.S. federal income tax rate on our taxable income, as adjusted for noncontrolling interest in Virtu Financial. Our income tax expense reflects such U.S. federal income tax as well as taxes payable by certain of our non-U.S. subsidiaries. Our provision for (benefit from) income taxes increased $20.3 million, to $13.8 million for the three months ended September 30, 2018, compared to $(6.5) million for the three months ended September 30, 2017. The increase was primarily due to an increase in income before income taxes and noncontrolling interest.</w:t>
      </w:r>
    </w:p>
    <w:p>
      <w:pPr>
        <w:spacing w:after="0" w:line="385" w:lineRule="exact"/>
        <w:rPr>
          <w:sz w:val="20"/>
          <w:szCs w:val="20"/>
          <w:color w:val="auto"/>
        </w:rPr>
      </w:pPr>
    </w:p>
    <w:p>
      <w:pPr>
        <w:ind w:right="4300"/>
        <w:spacing w:after="0" w:line="495" w:lineRule="auto"/>
        <w:rPr>
          <w:sz w:val="20"/>
          <w:szCs w:val="20"/>
          <w:color w:val="auto"/>
        </w:rPr>
      </w:pPr>
      <w:r>
        <w:rPr>
          <w:rFonts w:ascii="Arial" w:cs="Arial" w:eastAsia="Arial" w:hAnsi="Arial"/>
          <w:sz w:val="17"/>
          <w:szCs w:val="17"/>
          <w:b w:val="1"/>
          <w:bCs w:val="1"/>
          <w:color w:val="auto"/>
        </w:rPr>
        <w:t xml:space="preserve">Nine Months Ended September 30, 2018 Compared to Nine Months Ended September 30, 2017 </w:t>
      </w:r>
      <w:r>
        <w:rPr>
          <w:rFonts w:ascii="Arial" w:cs="Arial" w:eastAsia="Arial" w:hAnsi="Arial"/>
          <w:sz w:val="17"/>
          <w:szCs w:val="17"/>
          <w:b w:val="1"/>
          <w:bCs w:val="1"/>
          <w:i w:val="1"/>
          <w:iCs w:val="1"/>
          <w:color w:val="auto"/>
        </w:rPr>
        <w:t>Total Revenues</w:t>
      </w:r>
    </w:p>
    <w:p>
      <w:pPr>
        <w:ind w:right="180" w:firstLine="630"/>
        <w:spacing w:after="0" w:line="274" w:lineRule="auto"/>
        <w:rPr>
          <w:sz w:val="20"/>
          <w:szCs w:val="20"/>
          <w:color w:val="auto"/>
        </w:rPr>
      </w:pPr>
      <w:r>
        <w:rPr>
          <w:rFonts w:ascii="Arial" w:cs="Arial" w:eastAsia="Arial" w:hAnsi="Arial"/>
          <w:sz w:val="17"/>
          <w:szCs w:val="17"/>
          <w:color w:val="auto"/>
        </w:rPr>
        <w:t>Our total revenues increased $874.8 million, or 155.3%, to $1.4 billion for the nine months ended September 30, 2018, compared to $563.5 million for the nine months ended September 30, 2017. This increase was primarily attributable to an increase in trading income, net, of $420.8 million and an increase in other, net, of $332.2 million due to the sale of BondPoint.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total revenues by operating segment for the nine months ended September 30, 2018 and 2017.</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380"/>
          </w:cols>
          <w:pgMar w:left="240" w:top="127" w:right="27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960"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ind w:left="1240"/>
              <w:spacing w:after="0"/>
              <w:rPr>
                <w:sz w:val="20"/>
                <w:szCs w:val="20"/>
                <w:color w:val="auto"/>
              </w:rPr>
            </w:pPr>
            <w:r>
              <w:rPr>
                <w:rFonts w:ascii="Arial" w:cs="Arial" w:eastAsia="Arial" w:hAnsi="Arial"/>
                <w:sz w:val="14"/>
                <w:szCs w:val="14"/>
                <w:b w:val="1"/>
                <w:bCs w:val="1"/>
                <w:color w:val="auto"/>
                <w:w w:val="99"/>
              </w:rPr>
              <w:t>Nine Months Ended September 30,</w:t>
            </w:r>
          </w:p>
        </w:tc>
        <w:tc>
          <w:tcPr>
            <w:tcW w:w="1400" w:type="dxa"/>
            <w:vAlign w:val="bottom"/>
            <w:tcBorders>
              <w:bottom w:val="single" w:sz="8" w:color="auto"/>
            </w:tcBorders>
          </w:tcPr>
          <w:p>
            <w:pPr>
              <w:spacing w:after="0"/>
              <w:rPr>
                <w:sz w:val="16"/>
                <w:szCs w:val="16"/>
                <w:color w:val="auto"/>
              </w:rPr>
            </w:pPr>
          </w:p>
        </w:tc>
      </w:tr>
      <w:tr>
        <w:trPr>
          <w:trHeight w:val="25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50"/>
              <w:spacing w:after="0"/>
              <w:rPr>
                <w:sz w:val="20"/>
                <w:szCs w:val="20"/>
                <w:color w:val="auto"/>
              </w:rPr>
            </w:pPr>
            <w:r>
              <w:rPr>
                <w:rFonts w:ascii="Arial" w:cs="Arial" w:eastAsia="Arial" w:hAnsi="Arial"/>
                <w:sz w:val="14"/>
                <w:szCs w:val="14"/>
                <w:b w:val="1"/>
                <w:bCs w:val="1"/>
                <w:color w:val="auto"/>
                <w:w w:val="94"/>
              </w:rPr>
              <w:t>% Change</w:t>
            </w:r>
          </w:p>
        </w:tc>
      </w:tr>
      <w:tr>
        <w:trPr>
          <w:trHeight w:val="261"/>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899,902</w:t>
            </w:r>
          </w:p>
        </w:tc>
        <w:tc>
          <w:tcPr>
            <w:tcW w:w="100" w:type="dxa"/>
            <w:vAlign w:val="bottom"/>
          </w:tcPr>
          <w:p>
            <w:pPr>
              <w:spacing w:after="0"/>
              <w:rPr>
                <w:sz w:val="22"/>
                <w:szCs w:val="22"/>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482,281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center"/>
              <w:ind w:right="250"/>
              <w:spacing w:after="0"/>
              <w:rPr>
                <w:sz w:val="20"/>
                <w:szCs w:val="20"/>
                <w:color w:val="auto"/>
              </w:rPr>
            </w:pPr>
            <w:r>
              <w:rPr>
                <w:rFonts w:ascii="Arial" w:cs="Arial" w:eastAsia="Arial" w:hAnsi="Arial"/>
                <w:sz w:val="14"/>
                <w:szCs w:val="14"/>
                <w:color w:val="auto"/>
                <w:w w:val="90"/>
              </w:rPr>
              <w:t>86.6%</w:t>
            </w: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60,681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30,558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0"/>
              </w:rPr>
              <w:t>98.6%</w:t>
            </w: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21,886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1,563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center"/>
              <w:ind w:right="250"/>
              <w:spacing w:after="0"/>
              <w:rPr>
                <w:sz w:val="20"/>
                <w:szCs w:val="20"/>
                <w:color w:val="auto"/>
              </w:rPr>
            </w:pPr>
            <w:r>
              <w:rPr>
                <w:rFonts w:ascii="Arial" w:cs="Arial" w:eastAsia="Arial" w:hAnsi="Arial"/>
                <w:sz w:val="14"/>
                <w:szCs w:val="14"/>
                <w:color w:val="auto"/>
              </w:rPr>
              <w:t>NM</w:t>
            </w:r>
          </w:p>
        </w:tc>
      </w:tr>
      <w:tr>
        <w:trPr>
          <w:trHeight w:val="262"/>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2,132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2"/>
              </w:rPr>
              <w:t>406.4%</w:t>
            </w:r>
          </w:p>
        </w:tc>
      </w:tr>
      <w:tr>
        <w:trPr>
          <w:trHeight w:val="275"/>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Total revenues from Market Making</w:t>
            </w: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984,601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514,823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center"/>
              <w:ind w:right="250"/>
              <w:spacing w:after="0"/>
              <w:rPr>
                <w:sz w:val="20"/>
                <w:szCs w:val="20"/>
                <w:color w:val="auto"/>
              </w:rPr>
            </w:pPr>
            <w:r>
              <w:rPr>
                <w:rFonts w:ascii="Arial" w:cs="Arial" w:eastAsia="Arial" w:hAnsi="Arial"/>
                <w:sz w:val="14"/>
                <w:szCs w:val="14"/>
                <w:color w:val="auto"/>
                <w:w w:val="90"/>
              </w:rPr>
              <w:t>91.3%</w:t>
            </w:r>
          </w:p>
        </w:tc>
      </w:tr>
      <w:tr>
        <w:trPr>
          <w:trHeight w:val="255"/>
        </w:trPr>
        <w:tc>
          <w:tcPr>
            <w:tcW w:w="4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7"/>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rPr>
              <w:t>NM</w:t>
            </w: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center"/>
              <w:ind w:right="250"/>
              <w:spacing w:after="0"/>
              <w:rPr>
                <w:sz w:val="20"/>
                <w:szCs w:val="20"/>
                <w:color w:val="auto"/>
              </w:rPr>
            </w:pPr>
            <w:r>
              <w:rPr>
                <w:rFonts w:ascii="Arial" w:cs="Arial" w:eastAsia="Arial" w:hAnsi="Arial"/>
                <w:sz w:val="14"/>
                <w:szCs w:val="14"/>
                <w:color w:val="auto"/>
                <w:w w:val="92"/>
              </w:rPr>
              <w:t>476.9%</w:t>
            </w: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118,775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47,674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2"/>
              </w:rPr>
              <w:t>149.1%</w:t>
            </w:r>
          </w:p>
        </w:tc>
      </w:tr>
      <w:tr>
        <w:trPr>
          <w:trHeight w:val="257"/>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338,832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527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center"/>
              <w:ind w:right="250"/>
              <w:spacing w:after="0"/>
              <w:rPr>
                <w:sz w:val="20"/>
                <w:szCs w:val="20"/>
                <w:color w:val="auto"/>
              </w:rPr>
            </w:pPr>
            <w:r>
              <w:rPr>
                <w:rFonts w:ascii="Arial" w:cs="Arial" w:eastAsia="Arial" w:hAnsi="Arial"/>
                <w:sz w:val="14"/>
                <w:szCs w:val="14"/>
                <w:color w:val="auto"/>
              </w:rPr>
              <w:t>NM</w:t>
            </w:r>
          </w:p>
        </w:tc>
      </w:tr>
      <w:tr>
        <w:trPr>
          <w:trHeight w:val="235"/>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revenues from Execution Services</w:t>
            </w: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458,759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44,964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4"/>
                <w:szCs w:val="14"/>
                <w:color w:val="auto"/>
                <w:w w:val="92"/>
              </w:rPr>
              <w:t>920.3%</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5"/>
        </w:trPr>
        <w:tc>
          <w:tcPr>
            <w:tcW w:w="4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6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center"/>
              <w:ind w:right="250"/>
              <w:spacing w:after="0"/>
              <w:rPr>
                <w:sz w:val="20"/>
                <w:szCs w:val="20"/>
                <w:color w:val="auto"/>
              </w:rPr>
            </w:pPr>
            <w:r>
              <w:rPr>
                <w:rFonts w:ascii="Arial" w:cs="Arial" w:eastAsia="Arial" w:hAnsi="Arial"/>
                <w:sz w:val="14"/>
                <w:szCs w:val="14"/>
                <w:color w:val="auto"/>
                <w:w w:val="91"/>
              </w:rPr>
              <w:t>(100.0)%</w:t>
            </w: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89"/>
              </w:rPr>
              <w:t>(79.3)%</w:t>
            </w: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74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1400" w:type="dxa"/>
            <w:vAlign w:val="bottom"/>
          </w:tcPr>
          <w:p>
            <w:pPr>
              <w:jc w:val="center"/>
              <w:ind w:right="250"/>
              <w:spacing w:after="0"/>
              <w:rPr>
                <w:sz w:val="20"/>
                <w:szCs w:val="20"/>
                <w:color w:val="auto"/>
              </w:rPr>
            </w:pPr>
            <w:r>
              <w:rPr>
                <w:rFonts w:ascii="Arial" w:cs="Arial" w:eastAsia="Arial" w:hAnsi="Arial"/>
                <w:sz w:val="14"/>
                <w:szCs w:val="14"/>
                <w:color w:val="auto"/>
              </w:rPr>
              <w:t>NM</w:t>
            </w:r>
          </w:p>
        </w:tc>
      </w:tr>
      <w:tr>
        <w:trPr>
          <w:trHeight w:val="262"/>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2,699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rPr>
              <w:t>NM</w:t>
            </w:r>
          </w:p>
        </w:tc>
      </w:tr>
      <w:tr>
        <w:trPr>
          <w:trHeight w:val="275"/>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Total revenues from Corporate</w:t>
            </w: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3,674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center"/>
              <w:ind w:right="250"/>
              <w:spacing w:after="0"/>
              <w:rPr>
                <w:sz w:val="20"/>
                <w:szCs w:val="20"/>
                <w:color w:val="auto"/>
              </w:rPr>
            </w:pPr>
            <w:r>
              <w:rPr>
                <w:rFonts w:ascii="Arial" w:cs="Arial" w:eastAsia="Arial" w:hAnsi="Arial"/>
                <w:sz w:val="14"/>
                <w:szCs w:val="14"/>
                <w:color w:val="auto"/>
              </w:rPr>
              <w:t>NM</w:t>
            </w:r>
          </w:p>
        </w:tc>
      </w:tr>
      <w:tr>
        <w:trPr>
          <w:trHeight w:val="255"/>
        </w:trPr>
        <w:tc>
          <w:tcPr>
            <w:tcW w:w="4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7"/>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900,454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479,644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0"/>
              </w:rPr>
              <w:t>87.7%</w:t>
            </w: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61,337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30,933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center"/>
              <w:ind w:right="250"/>
              <w:spacing w:after="0"/>
              <w:rPr>
                <w:sz w:val="20"/>
                <w:szCs w:val="20"/>
                <w:color w:val="auto"/>
              </w:rPr>
            </w:pPr>
            <w:r>
              <w:rPr>
                <w:rFonts w:ascii="Arial" w:cs="Arial" w:eastAsia="Arial" w:hAnsi="Arial"/>
                <w:sz w:val="14"/>
                <w:szCs w:val="14"/>
                <w:color w:val="auto"/>
                <w:w w:val="90"/>
              </w:rPr>
              <w:t>98.3%</w:t>
            </w: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140,661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49,237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2"/>
              </w:rPr>
              <w:t>185.7%</w:t>
            </w:r>
          </w:p>
        </w:tc>
      </w:tr>
      <w:tr>
        <w:trPr>
          <w:trHeight w:val="257"/>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335,851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3,647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center"/>
              <w:ind w:right="250"/>
              <w:spacing w:after="0"/>
              <w:rPr>
                <w:sz w:val="20"/>
                <w:szCs w:val="20"/>
                <w:color w:val="auto"/>
              </w:rPr>
            </w:pPr>
            <w:r>
              <w:rPr>
                <w:rFonts w:ascii="Arial" w:cs="Arial" w:eastAsia="Arial" w:hAnsi="Arial"/>
                <w:sz w:val="14"/>
                <w:szCs w:val="14"/>
                <w:color w:val="auto"/>
              </w:rPr>
              <w:t>NM</w:t>
            </w:r>
          </w:p>
        </w:tc>
      </w:tr>
      <w:tr>
        <w:trPr>
          <w:trHeight w:val="235"/>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revenues</w:t>
            </w: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1,438,303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563,461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4"/>
                <w:szCs w:val="14"/>
                <w:color w:val="auto"/>
                <w:w w:val="92"/>
              </w:rPr>
              <w:t>155.3%</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increased $420.8 million,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87.7%, to $900.5 million for the nine months ended September 30, 2018, compared to $479.6 million for the nine months ended September 30, 2017. The increase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was primarily attributable to the Acquisition of KCG. Rather than analyzing trading income, net, in isolation, we generally evaluate it in the broader context of our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Adjusted Net Trading Income, together with interest and dividends income, interest and dividends expense and brokerage, exchange and clearance fees, net, each</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of which are described below.</w:t>
      </w:r>
    </w:p>
    <w:p>
      <w:pPr>
        <w:spacing w:after="0" w:line="213"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was primarily earned by our Market Making segment. Interest and dividends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$30.4 million, or 98.3%, to $61.3 million for the nine months ended September 30, 2018, compared to $30.9 million for the nine months ended September 30, 2017. This increase was primarily attributable to the Acquisition of KCG. As indicated above, rather than analyzing interest and dividends income in isolation, we generally evaluate it in the broader context of our Adjusted Net Trading Income.</w:t>
      </w:r>
    </w:p>
    <w:p>
      <w:pPr>
        <w:spacing w:after="0" w:line="177"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Commissions, net and technology services revenues were primarily earned by our Execution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Commissions, net and technology services revenues increased $91.4 million, or 185.7%, to $140.7 million for the nine months ended September 30, 2018, compared to $49.2 million for the nine months ended September 30, 2017. The increase was primarily due to the Acquisition of KCG, as well as agency fee revenues arising from new customers we on-boarded.</w:t>
      </w:r>
    </w:p>
    <w:p>
      <w:pPr>
        <w:spacing w:after="0" w:line="177"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revenues was primarily earned by our Execution Services segment. Other, net increased $332.2 million, or 9,109.0%, to $335.9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nine months ended September 30, 2018, compared to $3.6 million for the nine months ended September 30, 2017. The increase was primarily due to the gain the sale of BondPoint of $337.6 million, as discussed in Note 4 “Sale of BondPoint” of Part I “Financial Information” of this quarterly report on Form 10-Q.</w:t>
      </w:r>
    </w:p>
    <w:p>
      <w:pPr>
        <w:sectPr>
          <w:pgSz w:w="11900" w:h="16838" w:orient="portrait"/>
          <w:cols w:equalWidth="0" w:num="1">
            <w:col w:w="11400"/>
          </w:cols>
          <w:pgMar w:left="240" w:top="127" w:right="2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00"/>
          </w:cols>
          <w:pgMar w:left="240" w:top="127" w:right="259" w:bottom="1440" w:gutter="0" w:footer="0" w:header="0"/>
          <w:type w:val="continuous"/>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24" w:lineRule="exact"/>
        <w:rPr>
          <w:sz w:val="20"/>
          <w:szCs w:val="20"/>
          <w:color w:val="auto"/>
        </w:rPr>
      </w:pPr>
    </w:p>
    <w:p>
      <w:pPr>
        <w:jc w:val="both"/>
        <w:ind w:firstLine="630"/>
        <w:spacing w:after="0" w:line="297" w:lineRule="auto"/>
        <w:rPr>
          <w:sz w:val="20"/>
          <w:szCs w:val="20"/>
          <w:color w:val="auto"/>
        </w:rPr>
      </w:pPr>
      <w:r>
        <w:rPr>
          <w:rFonts w:ascii="Arial" w:cs="Arial" w:eastAsia="Arial" w:hAnsi="Arial"/>
          <w:sz w:val="15"/>
          <w:szCs w:val="15"/>
          <w:color w:val="auto"/>
        </w:rPr>
        <w:t>Adjusted Net Trading Income increased $402.1 million, or 126.0%, to $721.1 million for the nine months ended September 30, 2018, compared to $319.0 million for the nine months ended September 30, 2017. This increase was primarily attributable to the Acquisition of KCG, which resulted in a significant increase in Americas Equities of $308.9 million, or 229.6%, from the Market Making segment, and an increase of $37.9 million, or 111.1%, from Execution Services.</w:t>
      </w:r>
    </w:p>
    <w:p>
      <w:pPr>
        <w:spacing w:after="0" w:line="2"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Adjusted Net Trading Income per day increased $2.1 million, or 126.0%, to $3.8 million for the nine months ended September 30, 2018, compared to $1.7 million for the nine months ended September 30, 2017. The number of trading days was 188 for both the nine months ended September 30, 2018, and 2017.</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4" w:lineRule="exact"/>
        <w:rPr>
          <w:sz w:val="20"/>
          <w:szCs w:val="20"/>
          <w:color w:val="auto"/>
        </w:rPr>
      </w:pPr>
    </w:p>
    <w:p>
      <w:pPr>
        <w:ind w:right="140" w:firstLine="630"/>
        <w:spacing w:after="0" w:line="263" w:lineRule="auto"/>
        <w:rPr>
          <w:sz w:val="20"/>
          <w:szCs w:val="20"/>
          <w:color w:val="auto"/>
        </w:rPr>
      </w:pPr>
      <w:r>
        <w:rPr>
          <w:rFonts w:ascii="Arial" w:cs="Arial" w:eastAsia="Arial" w:hAnsi="Arial"/>
          <w:sz w:val="17"/>
          <w:szCs w:val="17"/>
          <w:color w:val="auto"/>
        </w:rPr>
        <w:t>Our operating expenses increased $309.8 million, or 53.3%, to $890.7 million for the nine months ended September 30, 2018, compared to $580.9 million for the nine months ended September 30, 2017. This increase was primarily due to increases in brokerage, exchange, and clearance fees of $59.5 million, communications and data processing of $54.6 million, employee compensation and payroll taxes of $39.7 million, payments for order flow of $38.3 million, interest and dividends expense of $42.7 million, operating and administrative expenses of $17.7 million, depreciation and amortization expense of $18.4 million, amortization of purchased intangible and acquired capitalized software of $13.5 million, termination of office leases of $23.3 million, financing interest expense on long term borrowings of $15.4 million, and debt issue cost related to debt refinancing of $2.4 million. These increases in operating expenses were partially offset by a decrease in transaction advisory fees and expenses of $15.2 million.</w:t>
      </w:r>
    </w:p>
    <w:p>
      <w:pPr>
        <w:spacing w:after="0" w:line="180" w:lineRule="exact"/>
        <w:rPr>
          <w:sz w:val="20"/>
          <w:szCs w:val="20"/>
          <w:color w:val="auto"/>
        </w:rPr>
      </w:pPr>
    </w:p>
    <w:p>
      <w:pPr>
        <w:ind w:right="140" w:firstLine="630"/>
        <w:spacing w:after="0" w:line="265"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net, increased $59.5 million, or 35.0%, to $229.8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September 30, 2018, compared to $170.3 million for the nine months ended September 30, 2017. This increase was primarily attributable to the increases in market volume and volatility traded in Americas Equities instruments in which we make markets as a result of the Acquisition of KCG. As indicated above, rather than analyzing brokerage, exchange and clearance fees, net, in isolation, we generally evaluate it in the broader context of our Adjusted Net Trading Income.</w:t>
      </w:r>
    </w:p>
    <w:p>
      <w:pPr>
        <w:spacing w:after="0" w:line="181" w:lineRule="exact"/>
        <w:rPr>
          <w:sz w:val="20"/>
          <w:szCs w:val="20"/>
          <w:color w:val="auto"/>
        </w:rPr>
      </w:pPr>
    </w:p>
    <w:p>
      <w:pPr>
        <w:ind w:right="120" w:firstLine="630"/>
        <w:spacing w:after="0" w:line="290"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expense increased $54.6 million, or 65.6%, to $137.8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2018, compared to $83.2 million for the nine months ended September 30, 2017. This increase was primarily due to the Acquisition of KCG, which brought on additional connections, co-location connectivity, market data and other subscriptions. The increase was partially offset by the reductions in connectivity connections as a result of an on-going effort to consolidate various communication and data processing subscriptions.</w:t>
      </w:r>
    </w:p>
    <w:p>
      <w:pPr>
        <w:spacing w:after="0" w:line="161" w:lineRule="exact"/>
        <w:rPr>
          <w:sz w:val="20"/>
          <w:szCs w:val="20"/>
          <w:color w:val="auto"/>
        </w:rPr>
      </w:pPr>
    </w:p>
    <w:p>
      <w:pPr>
        <w:ind w:right="20" w:firstLine="630"/>
        <w:spacing w:after="0" w:line="264"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increased $39.7 million, or 35.7%, to $150.7 million for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2018, compared to $111.1 million for the nine months ended September 30, 2017. The increase in compensation levels was primarily attributable to the increase in headcount as a result of the Acquisition of KCG. Employee compensation expense for the interim period is accrued in connection with the Adjusted Net Trading Income for the period with certain adjustments made at management’s discretion. We have capitalized and therefore excluded employee compensation and benefits related to software development of $20.3 million, and $6.1 million for the nine months ended September 30, 2018 and 2017, respectively.</w:t>
      </w:r>
    </w:p>
    <w:p>
      <w:pPr>
        <w:spacing w:after="0" w:line="180" w:lineRule="exact"/>
        <w:rPr>
          <w:sz w:val="20"/>
          <w:szCs w:val="20"/>
          <w:color w:val="auto"/>
        </w:rPr>
      </w:pPr>
    </w:p>
    <w:p>
      <w:pPr>
        <w:ind w:right="80" w:firstLine="630"/>
        <w:spacing w:after="0" w:line="265"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which we did not incur prior to the Acquisition of KCG, increased $38.3 million, or 317.4%, to $50.4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nine months ended September 30, 2018, compared to $12.1 million for the nine months ended September 30, 2017, and were attributable to the Acquisition of KCG. Payments for order flow primarily represent payments to broker-dealer clients, in the normal course of business, for directing to us their order flow primarily in U.S. equities. Payments for order flow also fluctuate based on U.S. equity share and option volumes, our profitability and the mix of market orders, limit orders, and customer mix.</w:t>
      </w:r>
    </w:p>
    <w:p>
      <w:pPr>
        <w:spacing w:after="0" w:line="181" w:lineRule="exact"/>
        <w:rPr>
          <w:sz w:val="20"/>
          <w:szCs w:val="20"/>
          <w:color w:val="auto"/>
        </w:rPr>
      </w:pPr>
    </w:p>
    <w:p>
      <w:pPr>
        <w:ind w:right="40" w:firstLine="630"/>
        <w:spacing w:after="0" w:line="290"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Interest and dividends expense increased $42.7 million, or 73.1%, to $101.2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2018, compared to $58.5 million for the nine months ended September 30, 2017. This increase was primarily attributable to higher interest expense incurred on cash collateral received as part of securities lending transactions resulting from the Acquisition of KCG. As indicated above, rather than analyzing interest and dividends expense in isolation, we generally evaluate it in the broader context of our Adjusted Net Trading Income.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127"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300" w:firstLine="630"/>
        <w:spacing w:after="0" w:line="360" w:lineRule="auto"/>
        <w:rPr>
          <w:sz w:val="20"/>
          <w:szCs w:val="20"/>
          <w:color w:val="auto"/>
        </w:rPr>
      </w:pPr>
      <w:r>
        <w:rPr>
          <w:rFonts w:ascii="Arial" w:cs="Arial" w:eastAsia="Arial" w:hAnsi="Arial"/>
          <w:sz w:val="15"/>
          <w:szCs w:val="15"/>
          <w:b w:val="1"/>
          <w:bCs w:val="1"/>
          <w:i w:val="1"/>
          <w:iCs w:val="1"/>
          <w:color w:val="auto"/>
        </w:rPr>
        <w:t xml:space="preserve">Operations and administrative. </w:t>
      </w:r>
      <w:r>
        <w:rPr>
          <w:rFonts w:ascii="Arial" w:cs="Arial" w:eastAsia="Arial" w:hAnsi="Arial"/>
          <w:sz w:val="15"/>
          <w:szCs w:val="15"/>
          <w:color w:val="auto"/>
        </w:rPr>
        <w:t>Operations and administrative expense increased $17.7 million, or 49.4%, to $53.7 million for the nine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2018, compared to $35.9 million for the nine months ended September 30, 2017. The increase was attributable to the Acquisition of KCG.</w:t>
      </w:r>
    </w:p>
    <w:p>
      <w:pPr>
        <w:spacing w:after="0" w:line="113" w:lineRule="exact"/>
        <w:rPr>
          <w:sz w:val="20"/>
          <w:szCs w:val="20"/>
          <w:color w:val="auto"/>
        </w:rPr>
      </w:pPr>
    </w:p>
    <w:p>
      <w:pPr>
        <w:ind w:right="460" w:firstLine="630"/>
        <w:spacing w:after="0" w:line="268"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increased $18.4 million, or 63.1%, to $47.6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2018, compared to $29.2 million for the nine months ended September 30, 2017. This increase was primarily attributable to depreciation and amortization of additional assets resulting from the Acquisition of KCG and an increase in capital expenditures on telecommunication, networking and other assets.</w:t>
      </w:r>
    </w:p>
    <w:p>
      <w:pPr>
        <w:spacing w:after="0" w:line="177" w:lineRule="exact"/>
        <w:rPr>
          <w:sz w:val="20"/>
          <w:szCs w:val="20"/>
          <w:color w:val="auto"/>
        </w:rPr>
      </w:pPr>
    </w:p>
    <w:p>
      <w:pPr>
        <w:ind w:right="180" w:firstLine="630"/>
        <w:spacing w:after="0" w:line="290" w:lineRule="auto"/>
        <w:rPr>
          <w:sz w:val="20"/>
          <w:szCs w:val="20"/>
          <w:color w:val="auto"/>
        </w:rPr>
      </w:pPr>
      <w:r>
        <w:rPr>
          <w:rFonts w:ascii="Arial" w:cs="Arial" w:eastAsia="Arial" w:hAnsi="Arial"/>
          <w:sz w:val="16"/>
          <w:szCs w:val="16"/>
          <w:b w:val="1"/>
          <w:bCs w:val="1"/>
          <w:i w:val="1"/>
          <w:iCs w:val="1"/>
          <w:color w:val="auto"/>
        </w:rPr>
        <w:t xml:space="preserve">Amortization of purchased intangibles and acquired capitalized software. </w:t>
      </w:r>
      <w:r>
        <w:rPr>
          <w:rFonts w:ascii="Arial" w:cs="Arial" w:eastAsia="Arial" w:hAnsi="Arial"/>
          <w:sz w:val="16"/>
          <w:szCs w:val="16"/>
          <w:color w:val="auto"/>
        </w:rPr>
        <w:t>Amortization of purchased intangibles and acquired capitalized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$13.5 million, or 206.2%, to $20.0 million for the nine months ended September 30, 2018, compared to $6.5 million for the nine months ended September 30, 2017. This increase was primarily due to additional intangible assets recognized as part of purchase price accounting for the acquisition of certain technology assets from Teza Technologies and the Acquisition of KCG in the amount of $2.0 million and $175.0 million, respectively.</w:t>
      </w:r>
    </w:p>
    <w:p>
      <w:pPr>
        <w:spacing w:after="0" w:line="161" w:lineRule="exact"/>
        <w:rPr>
          <w:sz w:val="20"/>
          <w:szCs w:val="20"/>
          <w:color w:val="auto"/>
        </w:rPr>
      </w:pPr>
    </w:p>
    <w:p>
      <w:pPr>
        <w:jc w:val="both"/>
        <w:ind w:firstLine="630"/>
        <w:spacing w:after="0" w:line="268"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Expense from debt issue costs related to debt refinancing increased $2.4 million, or 25.4%, to $11.7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nine months ended September 30, 2018, compared to $9.4 million for the nine months ended September 30, 2017. The increase reflects higher prepayments made on long-term debt during the nine months ended September 30, 2018 compared to the nine months ended September 30, 2017, primarily $276 million in the first quarter of 2018, leading to higher accelerated amortization of the related debt issuance costs.</w:t>
      </w:r>
    </w:p>
    <w:p>
      <w:pPr>
        <w:spacing w:after="0" w:line="177" w:lineRule="exact"/>
        <w:rPr>
          <w:sz w:val="20"/>
          <w:szCs w:val="20"/>
          <w:color w:val="auto"/>
        </w:rPr>
      </w:pPr>
    </w:p>
    <w:p>
      <w:pPr>
        <w:ind w:right="120" w:firstLine="630"/>
        <w:spacing w:after="0" w:line="298" w:lineRule="auto"/>
        <w:rPr>
          <w:sz w:val="20"/>
          <w:szCs w:val="20"/>
          <w:color w:val="auto"/>
        </w:rPr>
      </w:pPr>
      <w:r>
        <w:rPr>
          <w:rFonts w:ascii="Arial" w:cs="Arial" w:eastAsia="Arial" w:hAnsi="Arial"/>
          <w:sz w:val="16"/>
          <w:szCs w:val="16"/>
          <w:b w:val="1"/>
          <w:bCs w:val="1"/>
          <w:i w:val="1"/>
          <w:iCs w:val="1"/>
          <w:color w:val="auto"/>
        </w:rPr>
        <w:t xml:space="preserve">Transaction advisory fees and expenses. </w:t>
      </w:r>
      <w:r>
        <w:rPr>
          <w:rFonts w:ascii="Arial" w:cs="Arial" w:eastAsia="Arial" w:hAnsi="Arial"/>
          <w:sz w:val="16"/>
          <w:szCs w:val="16"/>
          <w:color w:val="auto"/>
        </w:rPr>
        <w:t>Transaction advisory fees and expenses decreased $15.2 million, or 62.9%, to $9.0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2018, compared to $24.2 million for the nine months ended September 30, 2017. The decrease primarily represents lower non-recurring professional fees compared to those which had been incurred in the third quarter of 2017 related to the Acquisition of KCG.</w:t>
      </w:r>
    </w:p>
    <w:p>
      <w:pPr>
        <w:spacing w:after="0" w:line="155" w:lineRule="exact"/>
        <w:rPr>
          <w:sz w:val="20"/>
          <w:szCs w:val="20"/>
          <w:color w:val="auto"/>
        </w:rPr>
      </w:pPr>
    </w:p>
    <w:p>
      <w:pPr>
        <w:jc w:val="both"/>
        <w:ind w:right="340" w:firstLine="630"/>
        <w:spacing w:after="0" w:line="274" w:lineRule="auto"/>
        <w:rPr>
          <w:sz w:val="20"/>
          <w:szCs w:val="20"/>
          <w:color w:val="auto"/>
        </w:rPr>
      </w:pPr>
      <w:r>
        <w:rPr>
          <w:rFonts w:ascii="Arial" w:cs="Arial" w:eastAsia="Arial" w:hAnsi="Arial"/>
          <w:sz w:val="17"/>
          <w:szCs w:val="17"/>
          <w:b w:val="1"/>
          <w:bCs w:val="1"/>
          <w:i w:val="1"/>
          <w:iCs w:val="1"/>
          <w:color w:val="auto"/>
        </w:rPr>
        <w:t xml:space="preserve">Charges related to share based compensation at IPO. </w:t>
      </w:r>
      <w:r>
        <w:rPr>
          <w:rFonts w:ascii="Arial" w:cs="Arial" w:eastAsia="Arial" w:hAnsi="Arial"/>
          <w:sz w:val="17"/>
          <w:szCs w:val="17"/>
          <w:color w:val="auto"/>
        </w:rPr>
        <w:t>Charges related to share based compensation at IPO decreased $0.5 million, or 95.6%, to $0.0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nine months ended September 30, 2018, compared to $0.5 million for the nine months ended September 30, 2017. The decrease was primarily attributable to the completed time vesting of the Class B and East MIP Class B interests in 2018.</w:t>
      </w:r>
    </w:p>
    <w:p>
      <w:pPr>
        <w:spacing w:after="0" w:line="170" w:lineRule="exact"/>
        <w:rPr>
          <w:sz w:val="20"/>
          <w:szCs w:val="20"/>
          <w:color w:val="auto"/>
        </w:rPr>
      </w:pPr>
    </w:p>
    <w:p>
      <w:pPr>
        <w:ind w:right="180" w:firstLine="630"/>
        <w:spacing w:after="0" w:line="286" w:lineRule="auto"/>
        <w:rPr>
          <w:sz w:val="20"/>
          <w:szCs w:val="20"/>
          <w:color w:val="auto"/>
        </w:rPr>
      </w:pPr>
      <w:r>
        <w:rPr>
          <w:rFonts w:ascii="Arial" w:cs="Arial" w:eastAsia="Arial" w:hAnsi="Arial"/>
          <w:sz w:val="16"/>
          <w:szCs w:val="16"/>
          <w:b w:val="1"/>
          <w:bCs w:val="1"/>
          <w:i w:val="1"/>
          <w:iCs w:val="1"/>
          <w:color w:val="auto"/>
        </w:rPr>
        <w:t xml:space="preserve">Financing interest expense on long term borrowings. </w:t>
      </w:r>
      <w:r>
        <w:rPr>
          <w:rFonts w:ascii="Arial" w:cs="Arial" w:eastAsia="Arial" w:hAnsi="Arial"/>
          <w:sz w:val="16"/>
          <w:szCs w:val="16"/>
          <w:color w:val="auto"/>
        </w:rPr>
        <w:t>Financing interest expense on long-term borrowings increased $15.4 million, or 38.4%, to $55.5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2018, compared to $40.1 million for the nine months ended September 30, 2017. This increase was due to the refinancing of the senior secured first lien term loan and the offering of the senior secured second lien notes, as discussed in Note 10 “Borrowings” of Part I “Financial Information” of this quarterly report on Form 10-Q. The increase in financing interest expense was primarily attributable to higher outstanding borrowings during the nine months ended September 30, 2018 compared to the nine months ended September 30, 2017.</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24" w:lineRule="exact"/>
        <w:rPr>
          <w:sz w:val="20"/>
          <w:szCs w:val="20"/>
          <w:color w:val="auto"/>
        </w:rPr>
      </w:pPr>
    </w:p>
    <w:p>
      <w:pPr>
        <w:ind w:right="320" w:firstLine="630"/>
        <w:spacing w:after="0" w:line="265" w:lineRule="auto"/>
        <w:rPr>
          <w:sz w:val="20"/>
          <w:szCs w:val="20"/>
          <w:color w:val="auto"/>
        </w:rPr>
      </w:pPr>
      <w:r>
        <w:rPr>
          <w:rFonts w:ascii="Arial" w:cs="Arial" w:eastAsia="Arial" w:hAnsi="Arial"/>
          <w:sz w:val="17"/>
          <w:szCs w:val="17"/>
          <w:color w:val="auto"/>
        </w:rPr>
        <w:t>Following the consummation of the Reorganization Transactions, we incur corporate tax at the U.S. federal income tax rate on our taxable income, as adjusted for noncontrolling interest in Virtu Financial. Our income tax expense reflects such U.S. federal income tax as well as taxes payable by certain of our non-U.S. subsidiaries. As such, provision for (benefit from) income taxes increased $78.2 million, or 2,681.6%, to $75.3 million for the nine months ended September 30, 2018, compared to $(2.9) million for the nine months ended September 30, 2017. The increase in provision for income taxes was primarily attributable to the increase in income before income taxes and noncontrolling interest.</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right="200" w:firstLine="315"/>
        <w:spacing w:after="0" w:line="265" w:lineRule="auto"/>
        <w:rPr>
          <w:sz w:val="20"/>
          <w:szCs w:val="20"/>
          <w:color w:val="auto"/>
        </w:rPr>
      </w:pPr>
      <w:r>
        <w:rPr>
          <w:rFonts w:ascii="Arial" w:cs="Arial" w:eastAsia="Arial" w:hAnsi="Arial"/>
          <w:sz w:val="17"/>
          <w:szCs w:val="17"/>
          <w:color w:val="auto"/>
        </w:rPr>
        <w:t>As of September 30, 2018, we had $415.9 million in cash and cash equivalents. These balances are maintained primarily to support operating activities for capital expenditures and for short-term access to liquidity, and for other general corporate purposes. As of September 30, 2018, we had borrowings under our short-term credit facilities of approximately $144.7 million, borrowing under broker dealer facilities of $17.0 million, and long-term debt outstanding in an aggregate principal amount of approximately $930.8 million. As of September 30, 2018, our regulatory capital requirements for domestic U.S. subsidiaries were $6.1 million, in aggregate.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127"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20" w:firstLine="315"/>
        <w:spacing w:after="0" w:line="280" w:lineRule="auto"/>
        <w:rPr>
          <w:sz w:val="20"/>
          <w:szCs w:val="20"/>
          <w:color w:val="auto"/>
        </w:rPr>
      </w:pPr>
      <w:r>
        <w:rPr>
          <w:rFonts w:ascii="Arial" w:cs="Arial" w:eastAsia="Arial" w:hAnsi="Arial"/>
          <w:sz w:val="16"/>
          <w:szCs w:val="16"/>
          <w:color w:val="auto"/>
        </w:rPr>
        <w:t>The majority of our trading assets consists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 For purposes of providing additional liquidity, we maintain an uncommitted credit facility with two of our wholly owned broker-dealer subsidiaries. Additionally, we also maintain a revolving credit facility with three of our wholly owned broker-dealer subsidiaries, as discussed in Note 10 "Borrowings" of Part I “Financial Information” of this quarterly report on Form 10-Q.</w:t>
      </w:r>
    </w:p>
    <w:p>
      <w:pPr>
        <w:spacing w:after="0" w:line="173" w:lineRule="exact"/>
        <w:rPr>
          <w:sz w:val="20"/>
          <w:szCs w:val="20"/>
          <w:color w:val="auto"/>
        </w:rPr>
      </w:pPr>
    </w:p>
    <w:p>
      <w:pPr>
        <w:ind w:right="100" w:firstLine="315"/>
        <w:spacing w:after="0" w:line="265"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expand. We manage and monitor our margin and liquidity needs on a real-time basis and can adjust our requirements both intra-day and inter-day, as required.</w:t>
      </w:r>
    </w:p>
    <w:p>
      <w:pPr>
        <w:spacing w:after="0" w:line="181" w:lineRule="exact"/>
        <w:rPr>
          <w:sz w:val="20"/>
          <w:szCs w:val="20"/>
          <w:color w:val="auto"/>
        </w:rPr>
      </w:pPr>
    </w:p>
    <w:p>
      <w:pPr>
        <w:ind w:right="80" w:firstLine="315"/>
        <w:spacing w:after="0" w:line="268"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24" w:lineRule="exact"/>
        <w:rPr>
          <w:sz w:val="20"/>
          <w:szCs w:val="20"/>
          <w:color w:val="auto"/>
        </w:rPr>
      </w:pPr>
    </w:p>
    <w:p>
      <w:pPr>
        <w:ind w:firstLine="315"/>
        <w:spacing w:after="0" w:line="299" w:lineRule="auto"/>
        <w:rPr>
          <w:sz w:val="20"/>
          <w:szCs w:val="20"/>
          <w:color w:val="auto"/>
        </w:rPr>
      </w:pPr>
      <w:r>
        <w:rPr>
          <w:rFonts w:ascii="Arial" w:cs="Arial" w:eastAsia="Arial" w:hAnsi="Arial"/>
          <w:sz w:val="15"/>
          <w:szCs w:val="15"/>
          <w:color w:val="auto"/>
        </w:rPr>
        <w:t>Generally, we are required under the tax receivable agreements entered into in connection with our IPO to make payments to certain direct or indirect equityholders of Virtu Financial that are generally equal to 85% of the applicable cash tax savings, if any, that we actually realize as a result of favorable tax attributes that will be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equityholders of Virtu Financial described in Note 6 “Tax Receivable Agreements” to the condensed consolidated financial statements included in Part I "Financial Information" of this quarterly report on Form 10-Q are expected to range from approximately $3.6 million to $16.0 million per year over the next 15 years. Such payments will occur only after we have filed our U.S. federal and state income tax returns and realized the cash tax savings from the favorable tax attributes. We made our first payment of $7.0 million in February 2017 and our second payment of $12.3 million in September 2018. Future payments under the tax receivable agreements in respect of subsequent exchanges would be in addition to these amounts. We currently expect to fund these payments from the cash flow from operations generated by our subsidiaries as well as from excess tax distributions that we receive from our subsidiaries.</w:t>
      </w:r>
    </w:p>
    <w:p>
      <w:pPr>
        <w:spacing w:after="0" w:line="161" w:lineRule="exact"/>
        <w:rPr>
          <w:sz w:val="20"/>
          <w:szCs w:val="20"/>
          <w:color w:val="auto"/>
        </w:rPr>
      </w:pPr>
    </w:p>
    <w:p>
      <w:pPr>
        <w:ind w:right="80" w:firstLine="315"/>
        <w:spacing w:after="0" w:line="264" w:lineRule="auto"/>
        <w:rPr>
          <w:sz w:val="20"/>
          <w:szCs w:val="20"/>
          <w:color w:val="auto"/>
        </w:rPr>
      </w:pPr>
      <w:r>
        <w:rPr>
          <w:rFonts w:ascii="Arial" w:cs="Arial" w:eastAsia="Arial" w:hAnsi="Arial"/>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equityholders of Virtu Financial in amounts equal to the present value of future payments we are obligated to make under the tax receivable agreements. If the payments under the tax receivable agreements are accelerated, we may be required to raise additional debt or equity to fund such payments. To the extent that we are unable to make payments under the tax receivable agreements for any reason (including because our Fourth Amended and Restated Credit Agreement or the indenture governing our Notes restricts the ability of our subsidiaries to make distributions to us) such payments will be deferred and will accrue interest until paid.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24" w:lineRule="exact"/>
        <w:rPr>
          <w:sz w:val="20"/>
          <w:szCs w:val="20"/>
          <w:color w:val="auto"/>
        </w:rPr>
      </w:pPr>
    </w:p>
    <w:p>
      <w:pPr>
        <w:ind w:right="20" w:firstLine="315"/>
        <w:spacing w:after="0" w:line="290" w:lineRule="auto"/>
        <w:rPr>
          <w:sz w:val="20"/>
          <w:szCs w:val="20"/>
          <w:color w:val="auto"/>
        </w:rPr>
      </w:pPr>
      <w:r>
        <w:rPr>
          <w:rFonts w:ascii="Arial" w:cs="Arial" w:eastAsia="Arial" w:hAnsi="Arial"/>
          <w:sz w:val="16"/>
          <w:szCs w:val="16"/>
          <w:color w:val="auto"/>
        </w:rPr>
        <w:t>Certain of our principal operating subsidiaries are subject to separate regulation and capital requirements in the United States and other jurisdictions. Virtu Financial BD LLC, Virtu Financial Capital Markets LLC and Virtu Americas LLC, which became our subsidiary following the Acquisition of KCG, are registered U.S. broker-dealers, and their primary regulators include the SEC, the Chicago Stock Exchange and FINRA. Virtu Financial Ireland Limited is a registered investment firm under the Market in Financial Instruments Directive, and its primary regulator is the Central Bank of Ireland.</w:t>
      </w:r>
    </w:p>
    <w:p>
      <w:pPr>
        <w:spacing w:after="0" w:line="161"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127"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the Chicago Stock Exchange and FINRA for certain capital withdrawals. Virtu Financial Capital Markets LLC is also subject to rules set forth by NYSE MKT (formerly NYSE Amex) and is required to maintain a certain level of capital in connection with the operation of its designated market maker business. Virtu Financial Ireland Limited is regulated by the Central Bank of Ireland as an Investment Firm and in accordance with European Union law is required to maintain a minimum amount of regulatory capital based upon its positions, financial conditions, and other factors. In addition to periodic requirements to report its regulatory capital and submit other regulatory reports, Virtu Financial Ireland Limited is required to obtain consent prior to receiving capital contributions or making capital distributions from its regulatory capital. Failure to comply with its regulatory capital requirements could result in regulatory sanction or revocation of its regulatory license. KCG Europe Limited, as an FCA-regulated investment firm is also subject to similar prudential capital requirements.</w:t>
      </w:r>
    </w:p>
    <w:p>
      <w:pPr>
        <w:spacing w:after="0" w:line="171" w:lineRule="exact"/>
        <w:rPr>
          <w:sz w:val="20"/>
          <w:szCs w:val="20"/>
          <w:color w:val="auto"/>
        </w:rPr>
      </w:pPr>
    </w:p>
    <w:p>
      <w:pPr>
        <w:ind w:right="720" w:firstLine="315"/>
        <w:spacing w:after="0" w:line="290" w:lineRule="auto"/>
        <w:rPr>
          <w:sz w:val="20"/>
          <w:szCs w:val="20"/>
          <w:color w:val="auto"/>
        </w:rPr>
      </w:pPr>
      <w:r>
        <w:rPr>
          <w:rFonts w:ascii="Arial" w:cs="Arial" w:eastAsia="Arial" w:hAnsi="Arial"/>
          <w:sz w:val="17"/>
          <w:szCs w:val="17"/>
          <w:color w:val="auto"/>
        </w:rPr>
        <w:t>See Note 18 "Regulatory Requirement" of Part I “Financial Information” of this quarterly report on Form 10-Q for a discussion of regulatory capital requirements of our regulated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Borrowings</w:t>
      </w:r>
    </w:p>
    <w:p>
      <w:pPr>
        <w:spacing w:after="0" w:line="224" w:lineRule="exact"/>
        <w:rPr>
          <w:sz w:val="20"/>
          <w:szCs w:val="20"/>
          <w:color w:val="auto"/>
        </w:rPr>
      </w:pPr>
    </w:p>
    <w:p>
      <w:pPr>
        <w:ind w:right="120" w:firstLine="315"/>
        <w:spacing w:after="0" w:line="264" w:lineRule="auto"/>
        <w:rPr>
          <w:sz w:val="20"/>
          <w:szCs w:val="20"/>
          <w:color w:val="auto"/>
        </w:rPr>
      </w:pPr>
      <w:r>
        <w:rPr>
          <w:rFonts w:ascii="Arial" w:cs="Arial" w:eastAsia="Arial" w:hAnsi="Arial"/>
          <w:sz w:val="17"/>
          <w:szCs w:val="17"/>
          <w:color w:val="auto"/>
        </w:rPr>
        <w:t>We maintain various broker-dealer facilities and short-term credit facilities as part of our daily trading operations. See Note 10 "Borrowings" of Part I “Financial Information” of this quarterly report on Form 10-Q for details on the Company’s various credit facilities. As of September 30, 2018, the outstanding principal balance on our broker-dealer facilities was $17.0 million, and the outstanding aggregate short-term credit facilities with various prime brokers and other financial institutions from which the Company receives execution or clearing services was approximately $144.7 million, which was netted within receivables from broker dealers and clearing organizations on the condensed consolidated statement of financial condition of Part I “Financial Information”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Fourth Amended and Restated Credit Agreement</w:t>
      </w:r>
    </w:p>
    <w:p>
      <w:pPr>
        <w:spacing w:after="0" w:line="224"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color w:val="auto"/>
        </w:rPr>
        <w:t>In connection with the Acquisition of KCG, we entered into the Fourth Amended and Restated Credit Agreement, which amended and restated in its entirety the existing credit agreement. The Fourth Amended and Restated Credit Agreement, provided for a $540.0 million first lien secured term loan, drawn in its entirety on June 30, 2017, and continued VFH’s existing $100.0 million first lien senior secured revolving credit facility. Also on June 30, 2017, the Escrow Issuer entered into that certain Escrow Credit Agreement with the lenders party thereto and JPMorgan Chase Bank, N.A., as administrative agent (the "Escrow Credit Agreement"), which provided for a $610.0 million term loan (the "Escrow Term Loan"), the proceeds of which were deposited into escrow pending the closing of the Acquisition of KCG.</w:t>
      </w:r>
    </w:p>
    <w:p>
      <w:pPr>
        <w:spacing w:after="0" w:line="180" w:lineRule="exact"/>
        <w:rPr>
          <w:sz w:val="20"/>
          <w:szCs w:val="20"/>
          <w:color w:val="auto"/>
        </w:rPr>
      </w:pPr>
    </w:p>
    <w:p>
      <w:pPr>
        <w:ind w:right="160" w:firstLine="315"/>
        <w:spacing w:after="0" w:line="265" w:lineRule="auto"/>
        <w:rPr>
          <w:sz w:val="20"/>
          <w:szCs w:val="20"/>
          <w:color w:val="auto"/>
        </w:rPr>
      </w:pPr>
      <w:r>
        <w:rPr>
          <w:rFonts w:ascii="Arial" w:cs="Arial" w:eastAsia="Arial" w:hAnsi="Arial"/>
          <w:sz w:val="17"/>
          <w:szCs w:val="17"/>
          <w:color w:val="auto"/>
        </w:rPr>
        <w:t>Upon the closing of the Acquisition of KCG, the proceeds of the Escrow Term Loan were released to fund in part the consideration for the Acquisition of KCG, the obligations of the Escrow Issuer in respect of the Escrow Term Loan were automatically assumed by VFH, the Escrow Term Loan was deemed to be outstanding under the Fourth Amended and Restated Credit Agreement and the Escrow Credit Agreement and related credit documents automatically terminated and were superseded by the provisions of the Fourth Amended and Restated Credit Agreement. In addition, the first lien senior secured revolving credit facility under the Fourth Amended and Restated Credit Agreement was terminated.</w:t>
      </w:r>
    </w:p>
    <w:p>
      <w:pPr>
        <w:spacing w:after="0" w:line="181"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Under the Fourth Amended and Restated Credit Agreement, the $1.15 billion aggregate principal amount of first lien senior secured term loans, including the Escrow Term Loan ("the Term Loan Facility"), will mature on December 30, 2021 and will require scheduled annual amortization payments on each of the first four anniversaries of the closing of the Acquisition of KCG in an amount equal to the sum of 7.5% of the original aggregate principal amount of the term loan issued under the Fourth Amended and Restated Credit Agreement and 7.5% of the aggregate principal amount of the Escrow Term Loan outstanding on the closing date of the Acquisition of KCG.</w:t>
      </w:r>
    </w:p>
    <w:p>
      <w:pPr>
        <w:spacing w:after="0" w:line="181"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All obligations under the Term Loan Facility are unconditionally guaranteed by Virtu Financial and the Company’s existing direct and indirect wholly-owned domestic restricted subsidiaries (including, KCG and its wholly-owned domestic restricted subsidiaries), subject to certain exceptions, including exceptions for our broker dealer subsidiaries and certain immaterial subsidiaries. The Term Loan Facility and related guarantees are secured by first-priority perfected liens, subject to certain exceptions, on substantially all of VFH’s and the guarantors’ existing and future assets, including substantially all material personal property and a pledge of the capital stock of VFH, the guarantors (other than Virtu Financial) and the direct domestic subsidiaries of VFH and the guarantors and 100% of the non-voting capital stock and up to 65.0% of the voting capital stock of foreign subsidiaries that are directly owned by VFH or any of the guarantors.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127"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term loans outstanding under the Fourth Amended and Restated Credit Agreement bear interest:</w:t>
      </w:r>
    </w:p>
    <w:p>
      <w:pPr>
        <w:spacing w:after="0" w:line="120" w:lineRule="exact"/>
        <w:rPr>
          <w:sz w:val="20"/>
          <w:szCs w:val="20"/>
          <w:color w:val="auto"/>
        </w:rPr>
      </w:pPr>
    </w:p>
    <w:p>
      <w:pPr>
        <w:ind w:left="880" w:hanging="245"/>
        <w:spacing w:after="0" w:line="286"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VFH’s option, at either (a) the greatest of (i) the prime rate in effect, (ii) the NYFRB rate plus 0.50%, (iii) an adjusted LIBOR rate for a Eurodollar borrowing with an interest period of one month plus 1.00%, and (iv) 2.00% plus, in each case, 2.75% per annum (reduced to 2.25% per annum after the repricing transaction in January 2018 and reduced to 1.75% after the repricing transaction in September 2018); or (b) the greater of (i) an adjusted LIBOR rate for the interest period in effect and (ii) 1.00% plus, in each case, 3.75% per annum (reduced to 3.25% per annum after the repricing transaction in January 2018 and reduced to 2.75% after the repricing transaction in September 2018).</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Under the Fourth Amended and Restated Credit Agreement, we must comply on a quarterly basis with:</w:t>
      </w:r>
    </w:p>
    <w:p>
      <w:pPr>
        <w:spacing w:after="0" w:line="120" w:lineRule="exact"/>
        <w:rPr>
          <w:sz w:val="20"/>
          <w:szCs w:val="20"/>
          <w:color w:val="auto"/>
        </w:rPr>
      </w:pPr>
    </w:p>
    <w:p>
      <w:pPr>
        <w:ind w:left="880" w:right="20" w:hanging="245"/>
        <w:spacing w:after="0" w:line="32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maximum total net leverage ratio of 5.00 to 1.0 with a step-down to (i) 4.25 to 1.0 from and after the fiscal quarter ending March 31, 2019, (ii) 3.50 to 1.0 from and after the fiscal quarter ending March 31, 2020 and (iii) 3.25 to 1.0 from the fiscal quarter ending March 31, 2021 and thereafter; and</w:t>
      </w:r>
    </w:p>
    <w:p>
      <w:pPr>
        <w:spacing w:after="0" w:line="29" w:lineRule="exact"/>
        <w:rPr>
          <w:rFonts w:ascii="Arial" w:cs="Arial" w:eastAsia="Arial" w:hAnsi="Arial"/>
          <w:sz w:val="16"/>
          <w:szCs w:val="16"/>
          <w:color w:val="auto"/>
        </w:rPr>
      </w:pPr>
    </w:p>
    <w:p>
      <w:pPr>
        <w:ind w:left="880" w:hanging="245"/>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minimum interest coverage ratio of 2.75 to 1.0, stepping up to 3.00 to 1.0 from and after the fiscal quarter ending March 31, 2019.</w:t>
      </w:r>
    </w:p>
    <w:p>
      <w:pPr>
        <w:spacing w:after="0" w:line="224"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color w:val="auto"/>
        </w:rPr>
        <w:t>The Fourth Amended and Restated Credit Agreement contains certain customary affirmative covenants. The negative covenants in the Fourth Amended and Restated Credit Agreement include, among other things, limitations on our ability to do the following, subject to certain exceptions: (i) incur additional debt; (ii) create liens on certain assets; (iii) make certain loans or investments (including acquisitions); (iv) pay dividends on or make distributions in respect of our capital stock or make other restricted junior payments; (v) consolidate, merge, sell or otherwise dispose of all or substantially all of our assets; (vi) sell or otherwise dispose of assets, including equity interests in our subsidiaries; (vii) enter into certain transactions with our affiliates; (viii) enter into swaps, forwards and similar agreements; (ix) enter into sale-leaseback transactions; (x) restrict liens and subsidiary dividends; (xi) change our fiscal year; and (xii) modify the terms of certain debt agreements.</w:t>
      </w:r>
    </w:p>
    <w:p>
      <w:pPr>
        <w:spacing w:after="0" w:line="180" w:lineRule="exact"/>
        <w:rPr>
          <w:sz w:val="20"/>
          <w:szCs w:val="20"/>
          <w:color w:val="auto"/>
        </w:rPr>
      </w:pPr>
    </w:p>
    <w:p>
      <w:pPr>
        <w:ind w:right="220" w:firstLine="315"/>
        <w:spacing w:after="0" w:line="268" w:lineRule="auto"/>
        <w:rPr>
          <w:sz w:val="20"/>
          <w:szCs w:val="20"/>
          <w:color w:val="auto"/>
        </w:rPr>
      </w:pPr>
      <w:r>
        <w:rPr>
          <w:rFonts w:ascii="Arial" w:cs="Arial" w:eastAsia="Arial" w:hAnsi="Arial"/>
          <w:sz w:val="17"/>
          <w:szCs w:val="17"/>
          <w:color w:val="auto"/>
        </w:rPr>
        <w:t>The Fourth Amended and Restated Credit Agreement contains certain customary events of default, including relating to a change of control. If an event of default occurs and is continuing, the lenders under the Fourth Amended and Restated Credit Agreement will be entitled to take various actions, including the acceleration of amounts outstanding under the Fourth Amended and Restated Credit Agreement and all actions permitted to be taken by a secured creditor in respect of the collateral securing the obligations under the Fourth Amended and Restated Credit Agreement.</w:t>
      </w:r>
    </w:p>
    <w:p>
      <w:pPr>
        <w:spacing w:after="0" w:line="177" w:lineRule="exact"/>
        <w:rPr>
          <w:sz w:val="20"/>
          <w:szCs w:val="20"/>
          <w:color w:val="auto"/>
        </w:rPr>
      </w:pPr>
    </w:p>
    <w:p>
      <w:pPr>
        <w:ind w:right="360" w:firstLine="315"/>
        <w:spacing w:after="0" w:line="290" w:lineRule="auto"/>
        <w:rPr>
          <w:sz w:val="20"/>
          <w:szCs w:val="20"/>
          <w:color w:val="auto"/>
        </w:rPr>
      </w:pPr>
      <w:r>
        <w:rPr>
          <w:rFonts w:ascii="Arial" w:cs="Arial" w:eastAsia="Arial" w:hAnsi="Arial"/>
          <w:sz w:val="17"/>
          <w:szCs w:val="17"/>
          <w:color w:val="auto"/>
        </w:rPr>
        <w:t>A portion of certain financing costs incurred in connection with the original credit facility that were scheduled to be amortized over the term of the loan, including original issue discount and underwriting and legal fees, were accelerated at the closing of the refinancing.</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were in compliance with all applicable covenants under the Fourth Amended and Restated Credit Agreement as of September 30, 2018.</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November 8, 2018, we have made total prepayments in the amount of $750.0 million under the Fourth Amended and Restated Credit Agreement.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Secured Second Lien Notes</w:t>
      </w:r>
    </w:p>
    <w:p>
      <w:pPr>
        <w:spacing w:after="0" w:line="224"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On June 16, 2017, the Escrow Issuer and the Co-Issuer completed the offering of $500 million aggregate principal amount of Notes. The Notes were issued under an Indenture, dated as of June 16, 2017 (the “Indenture”), among the Escrow Issuer, the Co-Issuer and U.S. Bank National Association, as the trustee and collateral agent. The Notes mature on June 15, 2022. Interest on the Notes accrues at 6.750% per annum, payable every six months through maturity on each June 15th and December 15th, beginning on December 15, 2017.</w:t>
      </w:r>
    </w:p>
    <w:p>
      <w:pPr>
        <w:spacing w:after="0" w:line="177" w:lineRule="exact"/>
        <w:rPr>
          <w:sz w:val="20"/>
          <w:szCs w:val="20"/>
          <w:color w:val="auto"/>
        </w:rPr>
      </w:pPr>
    </w:p>
    <w:p>
      <w:pPr>
        <w:jc w:val="both"/>
        <w:ind w:right="100" w:firstLine="315"/>
        <w:spacing w:after="0" w:line="274" w:lineRule="auto"/>
        <w:rPr>
          <w:sz w:val="20"/>
          <w:szCs w:val="20"/>
          <w:color w:val="auto"/>
        </w:rPr>
      </w:pPr>
      <w:r>
        <w:rPr>
          <w:rFonts w:ascii="Arial" w:cs="Arial" w:eastAsia="Arial" w:hAnsi="Arial"/>
          <w:sz w:val="17"/>
          <w:szCs w:val="17"/>
          <w:color w:val="auto"/>
        </w:rPr>
        <w:t>On July 20, 2017, VFH assumed all of the obligations of the Escrow Issuer under the Indenture and the Notes. The Notes are guaranteed by Virtu Financial and each of Virtu Financial’s wholly-owned domestic restricted subsidiaries that guarantee the Fourth Amended and Restated Credit Agreement, including KCG and certain of its subsidiaries and the Escrow Issuer. We refer to VFH and the Co-Issuer together as, the “Issuers.”</w:t>
      </w:r>
    </w:p>
    <w:p>
      <w:pPr>
        <w:spacing w:after="0" w:line="170" w:lineRule="exact"/>
        <w:rPr>
          <w:sz w:val="20"/>
          <w:szCs w:val="20"/>
          <w:color w:val="auto"/>
        </w:rPr>
      </w:pPr>
    </w:p>
    <w:p>
      <w:pPr>
        <w:ind w:right="300" w:firstLine="315"/>
        <w:spacing w:after="0" w:line="290" w:lineRule="auto"/>
        <w:rPr>
          <w:sz w:val="20"/>
          <w:szCs w:val="20"/>
          <w:color w:val="auto"/>
        </w:rPr>
      </w:pPr>
      <w:r>
        <w:rPr>
          <w:rFonts w:ascii="Arial" w:cs="Arial" w:eastAsia="Arial" w:hAnsi="Arial"/>
          <w:sz w:val="17"/>
          <w:szCs w:val="17"/>
          <w:color w:val="auto"/>
        </w:rPr>
        <w:t>The Notes and the related guarantees are secured by second-priority perfected liens on substantially all of the Issuers’ and guarantors’ existing and future assets, subject to certain exceptions, including all material personal property, a pledge of the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340"/>
          </w:cols>
          <w:pgMar w:left="240" w:top="127" w:right="31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capital stock of the Issuers, the guarantors (other than Virtu Financial) and the direct subsidiaries of the Issuers and the guarantors and 100% of the non-voting capital stock and up to 65.0% of the voting capital stock of any now-owned or later-acquired foreign subsidiaries that are directly owned by the Issuers or any of the guarantors, which assets will also secure obligations under the Fourth Amended and Restated Credit Agreement on a first-priority basis.</w:t>
      </w:r>
    </w:p>
    <w:p>
      <w:pPr>
        <w:spacing w:after="0" w:line="155" w:lineRule="exact"/>
        <w:rPr>
          <w:sz w:val="20"/>
          <w:szCs w:val="20"/>
          <w:color w:val="auto"/>
        </w:rPr>
      </w:pPr>
    </w:p>
    <w:p>
      <w:pPr>
        <w:ind w:right="20" w:firstLine="315"/>
        <w:spacing w:after="0" w:line="283" w:lineRule="auto"/>
        <w:rPr>
          <w:sz w:val="20"/>
          <w:szCs w:val="20"/>
          <w:color w:val="auto"/>
        </w:rPr>
      </w:pPr>
      <w:r>
        <w:rPr>
          <w:rFonts w:ascii="Arial" w:cs="Arial" w:eastAsia="Arial" w:hAnsi="Arial"/>
          <w:sz w:val="16"/>
          <w:szCs w:val="16"/>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(as such term is defined in the Indenture);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68"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7"/>
          <w:szCs w:val="17"/>
          <w:color w:val="auto"/>
        </w:rPr>
        <w:t>Prior to June 15, 2019, we may redeem some or all of the Notes at a redemption price equal to 100% of the principal amount plus accrued and unpaid interest, if any, to (but not including) the date of redemption, plus an applicable “make whole” premium (calculated based upon the yield of certain U.S. treasury securities plus 0.50%).</w:t>
      </w:r>
    </w:p>
    <w:p>
      <w:pPr>
        <w:spacing w:after="0" w:line="170" w:lineRule="exact"/>
        <w:rPr>
          <w:sz w:val="20"/>
          <w:szCs w:val="20"/>
          <w:color w:val="auto"/>
        </w:rPr>
      </w:pPr>
    </w:p>
    <w:p>
      <w:pPr>
        <w:jc w:val="both"/>
        <w:ind w:right="280" w:firstLine="315"/>
        <w:spacing w:after="0" w:line="360" w:lineRule="auto"/>
        <w:rPr>
          <w:sz w:val="20"/>
          <w:szCs w:val="20"/>
          <w:color w:val="auto"/>
        </w:rPr>
      </w:pPr>
      <w:r>
        <w:rPr>
          <w:rFonts w:ascii="Arial" w:cs="Arial" w:eastAsia="Arial" w:hAnsi="Arial"/>
          <w:sz w:val="15"/>
          <w:szCs w:val="15"/>
          <w:color w:val="auto"/>
        </w:rPr>
        <w:t>Prior to June 15, 2019, we may redeem up to 35% of the aggregate principal amount of the Notes at a redemption price equal to 106.750% of the principal amount thereof, plus accrued and unpaid interest, if any, to (but not including) the date of redemption with the net cash proceeds from certain equity offerings.</w:t>
      </w:r>
    </w:p>
    <w:p>
      <w:pPr>
        <w:spacing w:after="0" w:line="113" w:lineRule="exact"/>
        <w:rPr>
          <w:sz w:val="20"/>
          <w:szCs w:val="20"/>
          <w:color w:val="auto"/>
        </w:rPr>
      </w:pPr>
    </w:p>
    <w:p>
      <w:pPr>
        <w:jc w:val="both"/>
        <w:ind w:right="180" w:firstLine="315"/>
        <w:spacing w:after="0" w:line="274" w:lineRule="auto"/>
        <w:rPr>
          <w:sz w:val="20"/>
          <w:szCs w:val="20"/>
          <w:color w:val="auto"/>
        </w:rPr>
      </w:pPr>
      <w:r>
        <w:rPr>
          <w:rFonts w:ascii="Arial" w:cs="Arial" w:eastAsia="Arial" w:hAnsi="Arial"/>
          <w:sz w:val="17"/>
          <w:szCs w:val="17"/>
          <w:color w:val="auto"/>
        </w:rPr>
        <w:t>On or after June 15, 2019, we may redeem some or all of the Notes, at the following redemption prices (expressed as percentages of principal amount), plus accrued and unpaid interest to (but not including) the date of redemption, if redeemed during the 12-month period beginning on June 15th of the years indicated below:</w:t>
      </w:r>
    </w:p>
    <w:p>
      <w:pPr>
        <w:spacing w:after="0" w:line="108"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4260" w:type="dxa"/>
            <w:vAlign w:val="bottom"/>
            <w:tcBorders>
              <w:bottom w:val="single" w:sz="8" w:color="auto"/>
            </w:tcBorders>
          </w:tcPr>
          <w:p>
            <w:pPr>
              <w:jc w:val="center"/>
              <w:ind w:left="1490"/>
              <w:spacing w:after="0"/>
              <w:rPr>
                <w:sz w:val="20"/>
                <w:szCs w:val="20"/>
                <w:color w:val="auto"/>
              </w:rPr>
            </w:pPr>
            <w:r>
              <w:rPr>
                <w:rFonts w:ascii="Arial" w:cs="Arial" w:eastAsia="Arial" w:hAnsi="Arial"/>
                <w:sz w:val="14"/>
                <w:szCs w:val="14"/>
                <w:b w:val="1"/>
                <w:bCs w:val="1"/>
                <w:color w:val="auto"/>
                <w:w w:val="87"/>
              </w:rPr>
              <w:t>Percentage</w:t>
            </w:r>
          </w:p>
        </w:tc>
      </w:tr>
      <w:tr>
        <w:trPr>
          <w:trHeight w:val="195"/>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4260" w:type="dxa"/>
            <w:vAlign w:val="bottom"/>
            <w:shd w:val="clear" w:color="auto" w:fill="CCEEFF"/>
          </w:tcPr>
          <w:p>
            <w:pPr>
              <w:jc w:val="center"/>
              <w:ind w:left="1490"/>
              <w:spacing w:after="0"/>
              <w:rPr>
                <w:sz w:val="20"/>
                <w:szCs w:val="20"/>
                <w:color w:val="auto"/>
              </w:rPr>
            </w:pPr>
            <w:r>
              <w:rPr>
                <w:rFonts w:ascii="Arial" w:cs="Arial" w:eastAsia="Arial" w:hAnsi="Arial"/>
                <w:sz w:val="14"/>
                <w:szCs w:val="14"/>
                <w:color w:val="auto"/>
                <w:w w:val="91"/>
              </w:rPr>
              <w:t>103.375%</w:t>
            </w:r>
          </w:p>
        </w:tc>
      </w:tr>
      <w:tr>
        <w:trPr>
          <w:trHeight w:val="192"/>
        </w:trPr>
        <w:tc>
          <w:tcPr>
            <w:tcW w:w="3720" w:type="dxa"/>
            <w:vAlign w:val="bottom"/>
          </w:tcPr>
          <w:p>
            <w:pPr>
              <w:ind w:left="40"/>
              <w:spacing w:after="0"/>
              <w:rPr>
                <w:sz w:val="20"/>
                <w:szCs w:val="20"/>
                <w:color w:val="auto"/>
              </w:rPr>
            </w:pPr>
            <w:r>
              <w:rPr>
                <w:rFonts w:ascii="Arial" w:cs="Arial" w:eastAsia="Arial" w:hAnsi="Arial"/>
                <w:sz w:val="14"/>
                <w:szCs w:val="14"/>
                <w:color w:val="auto"/>
              </w:rPr>
              <w:t>2020</w:t>
            </w:r>
          </w:p>
        </w:tc>
        <w:tc>
          <w:tcPr>
            <w:tcW w:w="4260" w:type="dxa"/>
            <w:vAlign w:val="bottom"/>
          </w:tcPr>
          <w:p>
            <w:pPr>
              <w:jc w:val="center"/>
              <w:ind w:left="1490"/>
              <w:spacing w:after="0"/>
              <w:rPr>
                <w:sz w:val="20"/>
                <w:szCs w:val="20"/>
                <w:color w:val="auto"/>
              </w:rPr>
            </w:pPr>
            <w:r>
              <w:rPr>
                <w:rFonts w:ascii="Arial" w:cs="Arial" w:eastAsia="Arial" w:hAnsi="Arial"/>
                <w:sz w:val="14"/>
                <w:szCs w:val="14"/>
                <w:color w:val="auto"/>
                <w:w w:val="91"/>
              </w:rPr>
              <w:t>101.688%</w:t>
            </w:r>
          </w:p>
        </w:tc>
      </w:tr>
      <w:tr>
        <w:trPr>
          <w:trHeight w:val="202"/>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 and thereafter</w:t>
            </w:r>
          </w:p>
        </w:tc>
        <w:tc>
          <w:tcPr>
            <w:tcW w:w="4260" w:type="dxa"/>
            <w:vAlign w:val="bottom"/>
            <w:shd w:val="clear" w:color="auto" w:fill="CCEEFF"/>
          </w:tcPr>
          <w:p>
            <w:pPr>
              <w:jc w:val="center"/>
              <w:ind w:left="1490"/>
              <w:spacing w:after="0"/>
              <w:rPr>
                <w:sz w:val="20"/>
                <w:szCs w:val="20"/>
                <w:color w:val="auto"/>
              </w:rPr>
            </w:pPr>
            <w:r>
              <w:rPr>
                <w:rFonts w:ascii="Arial" w:cs="Arial" w:eastAsia="Arial" w:hAnsi="Arial"/>
                <w:sz w:val="14"/>
                <w:szCs w:val="14"/>
                <w:color w:val="auto"/>
                <w:w w:val="91"/>
              </w:rPr>
              <w:t>100.000%</w:t>
            </w:r>
          </w:p>
        </w:tc>
      </w:tr>
    </w:tbl>
    <w:p>
      <w:pPr>
        <w:spacing w:after="0" w:line="200" w:lineRule="exact"/>
        <w:rPr>
          <w:sz w:val="20"/>
          <w:szCs w:val="20"/>
          <w:color w:val="auto"/>
        </w:rPr>
      </w:pPr>
    </w:p>
    <w:p>
      <w:pPr>
        <w:spacing w:after="0" w:line="208" w:lineRule="exact"/>
        <w:rPr>
          <w:sz w:val="20"/>
          <w:szCs w:val="20"/>
          <w:color w:val="auto"/>
        </w:rPr>
      </w:pPr>
    </w:p>
    <w:p>
      <w:pPr>
        <w:ind w:firstLine="315"/>
        <w:spacing w:after="0" w:line="290" w:lineRule="auto"/>
        <w:rPr>
          <w:sz w:val="20"/>
          <w:szCs w:val="20"/>
          <w:color w:val="auto"/>
        </w:rPr>
      </w:pPr>
      <w:r>
        <w:rPr>
          <w:rFonts w:ascii="Arial" w:cs="Arial" w:eastAsia="Arial" w:hAnsi="Arial"/>
          <w:sz w:val="17"/>
          <w:szCs w:val="17"/>
          <w:color w:val="auto"/>
        </w:rPr>
        <w:t>Upon the occurrence of specified change of control events as defined in the Indenture, we must offer to repurchase the Notes at 101% of the principal amount, plus accrued and unpaid interest, if any, to (but excluding) the purchase date.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were in compliance with all applicable covenants under the indenture governing our Notes as of September 30, 2018.</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right="140" w:firstLine="315"/>
        <w:spacing w:after="0" w:line="216" w:lineRule="exact"/>
        <w:rPr>
          <w:sz w:val="20"/>
          <w:szCs w:val="20"/>
          <w:color w:val="auto"/>
        </w:rPr>
      </w:pPr>
      <w:r>
        <w:rPr>
          <w:rFonts w:ascii="Arial" w:cs="Arial" w:eastAsia="Arial" w:hAnsi="Arial"/>
          <w:sz w:val="17"/>
          <w:szCs w:val="17"/>
          <w:color w:val="auto"/>
        </w:rPr>
        <w:t>Our main sources of liquidity are cash flow from the operations of our subsidiaries, our broker</w:t>
      </w:r>
      <w:r>
        <w:rPr>
          <w:rFonts w:ascii="MS PGothic" w:cs="MS PGothic" w:eastAsia="MS PGothic" w:hAnsi="MS PGothic"/>
          <w:sz w:val="17"/>
          <w:szCs w:val="17"/>
          <w:color w:val="auto"/>
        </w:rPr>
        <w:t>‑</w:t>
      </w:r>
      <w:r>
        <w:rPr>
          <w:rFonts w:ascii="Arial" w:cs="Arial" w:eastAsia="Arial" w:hAnsi="Arial"/>
          <w:sz w:val="17"/>
          <w:szCs w:val="17"/>
          <w:color w:val="auto"/>
        </w:rPr>
        <w:t>dealer credit facilities (as described above), margin financing provided by our prime brokers and cash on hand.</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our primary sources and uses of cash for the nine months ended September 30, 2018, and 2017.</w:t>
      </w:r>
    </w:p>
    <w:p>
      <w:pPr>
        <w:spacing w:after="0" w:line="200" w:lineRule="exact"/>
        <w:rPr>
          <w:sz w:val="20"/>
          <w:szCs w:val="20"/>
          <w:color w:val="auto"/>
        </w:rPr>
      </w:pPr>
    </w:p>
    <w:p>
      <w:pPr>
        <w:spacing w:after="0" w:line="237" w:lineRule="exact"/>
        <w:rPr>
          <w:sz w:val="20"/>
          <w:szCs w:val="20"/>
          <w:color w:val="auto"/>
        </w:rPr>
      </w:pPr>
    </w:p>
    <w:tbl>
      <w:tblPr>
        <w:tblLayout w:type="fixed"/>
        <w:tblInd w:w="1060" w:type="dxa"/>
        <w:tblCellMar>
          <w:top w:w="0" w:type="dxa"/>
          <w:left w:w="0" w:type="dxa"/>
          <w:bottom w:w="0" w:type="dxa"/>
          <w:right w:w="0" w:type="dxa"/>
        </w:tblCellMar>
      </w:tblPr>
      <w:tr>
        <w:trPr>
          <w:trHeight w:val="188"/>
        </w:trPr>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Nine Months Ended September 30,</w:t>
            </w:r>
          </w:p>
        </w:tc>
      </w:tr>
      <w:tr>
        <w:trPr>
          <w:trHeight w:val="256"/>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cash provided by (used in):</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2017</w:t>
            </w:r>
          </w:p>
        </w:tc>
      </w:tr>
      <w:tr>
        <w:trPr>
          <w:trHeight w:val="248"/>
        </w:trPr>
        <w:tc>
          <w:tcPr>
            <w:tcW w:w="60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Operating activities</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313,511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215,771</w:t>
            </w:r>
          </w:p>
        </w:tc>
      </w:tr>
      <w:tr>
        <w:trPr>
          <w:trHeight w:val="257"/>
        </w:trPr>
        <w:tc>
          <w:tcPr>
            <w:tcW w:w="6020" w:type="dxa"/>
            <w:vAlign w:val="bottom"/>
            <w:gridSpan w:val="2"/>
          </w:tcPr>
          <w:p>
            <w:pPr>
              <w:ind w:left="160"/>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363,646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(826,458)</w:t>
            </w:r>
          </w:p>
        </w:tc>
      </w:tr>
      <w:tr>
        <w:trPr>
          <w:trHeight w:val="268"/>
        </w:trPr>
        <w:tc>
          <w:tcPr>
            <w:tcW w:w="60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(790,398)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980,151</w:t>
            </w:r>
          </w:p>
        </w:tc>
      </w:tr>
      <w:tr>
        <w:trPr>
          <w:trHeight w:val="257"/>
        </w:trPr>
        <w:tc>
          <w:tcPr>
            <w:tcW w:w="602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8,300</w:t>
            </w:r>
          </w:p>
        </w:tc>
      </w:tr>
      <w:tr>
        <w:trPr>
          <w:trHeight w:val="235"/>
        </w:trPr>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(116,954)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377,764</w:t>
            </w: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00"/>
          </w:cols>
          <w:pgMar w:left="240" w:top="127"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7"/>
          <w:szCs w:val="17"/>
          <w:color w:val="auto"/>
        </w:rPr>
        <w:t>Net cash provided by operating activities was $313.5 million for the nine months ended September 30, 2018, compared to $215.8 million for the nine months ended September 30, 2017. The increase of $97.7 million in net cash provided by operating activities was primarily attributable to the Acquisition of KCG, which significantly increased our trading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7"/>
          <w:szCs w:val="17"/>
          <w:color w:val="auto"/>
        </w:rPr>
        <w:t>Net cash provided by investing activities was $363.6 million for the nine months ended September 30, 2018, compared to net cash used of $826.5 million for the nine months ended September 30, 2017. The increase of $1.2 billion was primarily attributable to the net cash provided by the proceeds received from the sale of BondPoint, see Note 4 "Sale of BondPoint" of Part I “Financial Information” of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color w:val="auto"/>
        </w:rPr>
        <w:t>Net cash used in financing activities was $790.4 million for the nine months ended September 30, 2018, while net cash provided by financing activities was $1.0 billion for the nine months ended September 30, 2017. The decrease in cash provided of $1.8 billion compared to the prior year was primarily attributable to the $1.1 billion proceeds from long term borrowings during the nine months ended September 30, 2017, compared to financing cash outflows during the nine months ended September 30, 2018, including repayments of our senior secured credit facility of $500 million.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0" w:lineRule="exact"/>
        <w:rPr>
          <w:sz w:val="20"/>
          <w:szCs w:val="20"/>
          <w:color w:val="auto"/>
        </w:rPr>
      </w:pPr>
    </w:p>
    <w:p>
      <w:pPr>
        <w:ind w:right="460" w:firstLine="315"/>
        <w:spacing w:after="0" w:line="290" w:lineRule="auto"/>
        <w:rPr>
          <w:sz w:val="20"/>
          <w:szCs w:val="20"/>
          <w:color w:val="auto"/>
        </w:rPr>
      </w:pPr>
      <w:r>
        <w:rPr>
          <w:rFonts w:ascii="Arial" w:cs="Arial" w:eastAsia="Arial" w:hAnsi="Arial"/>
          <w:sz w:val="17"/>
          <w:szCs w:val="17"/>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30" w:lineRule="exact"/>
        <w:rPr>
          <w:sz w:val="20"/>
          <w:szCs w:val="20"/>
          <w:color w:val="auto"/>
        </w:rPr>
      </w:pPr>
    </w:p>
    <w:p>
      <w:pPr>
        <w:ind w:right="660" w:firstLine="315"/>
        <w:spacing w:after="0" w:line="290" w:lineRule="auto"/>
        <w:rPr>
          <w:sz w:val="20"/>
          <w:szCs w:val="20"/>
          <w:color w:val="auto"/>
        </w:rPr>
      </w:pPr>
      <w:r>
        <w:rPr>
          <w:rFonts w:ascii="Arial" w:cs="Arial" w:eastAsia="Arial" w:hAnsi="Arial"/>
          <w:sz w:val="17"/>
          <w:szCs w:val="17"/>
          <w:color w:val="auto"/>
        </w:rPr>
        <w:t>We believe inflation has not had a material effect on our financial condition, results of operations, or cash flows for the three and nine months ended September 30, 2018 and 2017.</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0" w:lineRule="exact"/>
        <w:rPr>
          <w:sz w:val="20"/>
          <w:szCs w:val="20"/>
          <w:color w:val="auto"/>
        </w:rPr>
      </w:pPr>
    </w:p>
    <w:p>
      <w:pPr>
        <w:ind w:right="20" w:firstLine="315"/>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condensed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24" w:lineRule="exact"/>
        <w:rPr>
          <w:sz w:val="20"/>
          <w:szCs w:val="20"/>
          <w:color w:val="auto"/>
        </w:rPr>
      </w:pPr>
    </w:p>
    <w:p>
      <w:pPr>
        <w:jc w:val="both"/>
        <w:ind w:firstLine="315"/>
        <w:spacing w:after="0" w:line="309" w:lineRule="auto"/>
        <w:rPr>
          <w:sz w:val="20"/>
          <w:szCs w:val="20"/>
          <w:color w:val="auto"/>
        </w:rPr>
      </w:pPr>
      <w:r>
        <w:rPr>
          <w:rFonts w:ascii="Arial" w:cs="Arial" w:eastAsia="Arial" w:hAnsi="Arial"/>
          <w:sz w:val="15"/>
          <w:szCs w:val="15"/>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50" w:lineRule="exact"/>
        <w:rPr>
          <w:sz w:val="20"/>
          <w:szCs w:val="20"/>
          <w:color w:val="auto"/>
        </w:rPr>
      </w:pPr>
    </w:p>
    <w:p>
      <w:pPr>
        <w:ind w:right="260" w:firstLine="315"/>
        <w:spacing w:after="0" w:line="274"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360"/>
          </w:cols>
          <w:pgMar w:left="240" w:top="127" w:right="29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2 — Quoted prices in markets that are not active and financial instruments for which all significant inputs are observable, either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ind w:right="60" w:firstLine="315"/>
        <w:spacing w:after="0" w:line="290" w:lineRule="auto"/>
        <w:rPr>
          <w:sz w:val="20"/>
          <w:szCs w:val="20"/>
          <w:color w:val="auto"/>
        </w:rPr>
      </w:pPr>
      <w:r>
        <w:rPr>
          <w:rFonts w:ascii="Arial" w:cs="Arial" w:eastAsia="Arial" w:hAnsi="Arial"/>
          <w:sz w:val="16"/>
          <w:szCs w:val="16"/>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11 "Financial Assets and Liabilities" of Part I “Financial Information” of this quarterly report on Form 10-Q for further information about fair value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24" w:lineRule="exact"/>
        <w:rPr>
          <w:sz w:val="20"/>
          <w:szCs w:val="20"/>
          <w:color w:val="auto"/>
        </w:rPr>
      </w:pPr>
    </w:p>
    <w:p>
      <w:pPr>
        <w:ind w:right="60" w:firstLine="315"/>
        <w:spacing w:after="0" w:line="274"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224" w:lineRule="exact"/>
        <w:rPr>
          <w:sz w:val="20"/>
          <w:szCs w:val="20"/>
          <w:color w:val="auto"/>
        </w:rPr>
      </w:pPr>
    </w:p>
    <w:p>
      <w:pPr>
        <w:ind w:right="200" w:firstLine="315"/>
        <w:spacing w:after="0" w:line="274"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 net and Technology Services</w:t>
      </w:r>
    </w:p>
    <w:p>
      <w:pPr>
        <w:spacing w:after="0" w:line="224"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and technology services in the condensed consolidated statements of comprehensive income. The Company recognizes the related revenue when the third party research services are rendered and payments are made.</w:t>
      </w:r>
    </w:p>
    <w:p>
      <w:pPr>
        <w:spacing w:after="0" w:line="164"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right="40" w:firstLine="315"/>
        <w:spacing w:after="0" w:line="274" w:lineRule="auto"/>
        <w:rPr>
          <w:sz w:val="20"/>
          <w:szCs w:val="20"/>
          <w:color w:val="auto"/>
        </w:rPr>
      </w:pPr>
      <w:r>
        <w:rPr>
          <w:rFonts w:ascii="Arial" w:cs="Arial" w:eastAsia="Arial" w:hAnsi="Arial"/>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00"/>
          </w:cols>
          <w:pgMar w:left="240" w:top="127" w:right="25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firstLine="315"/>
        <w:spacing w:after="0" w:line="290" w:lineRule="auto"/>
        <w:rPr>
          <w:sz w:val="20"/>
          <w:szCs w:val="20"/>
          <w:color w:val="auto"/>
        </w:rPr>
      </w:pPr>
      <w:r>
        <w:rPr>
          <w:rFonts w:ascii="Arial" w:cs="Arial" w:eastAsia="Arial" w:hAnsi="Arial"/>
          <w:sz w:val="17"/>
          <w:szCs w:val="17"/>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58" w:lineRule="exact"/>
        <w:rPr>
          <w:sz w:val="20"/>
          <w:szCs w:val="20"/>
          <w:color w:val="auto"/>
        </w:rPr>
      </w:pPr>
    </w:p>
    <w:p>
      <w:pPr>
        <w:ind w:right="40" w:firstLine="315"/>
        <w:spacing w:after="0" w:line="263" w:lineRule="auto"/>
        <w:rPr>
          <w:sz w:val="20"/>
          <w:szCs w:val="20"/>
          <w:color w:val="auto"/>
        </w:rPr>
      </w:pPr>
      <w:r>
        <w:rPr>
          <w:rFonts w:ascii="Arial" w:cs="Arial" w:eastAsia="Arial" w:hAnsi="Arial"/>
          <w:sz w:val="17"/>
          <w:szCs w:val="17"/>
          <w:color w:val="auto"/>
        </w:rPr>
        <w:t>Share-based awards issued for compensation in connection with or subsequent to the Reorganization Transactions and the IPO pursuant to our 2015 Management Incentive Plan were in the form of stock options, Class A Common Stock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and with respect to the restricted stock units, a projected annual forfeiture rate. The fair value of share-based awards granted to employees is expensed based on the vesting conditions and is recognized on a straight line basis over the vesting period. We record as treasury stock shares repurchased from employees for the purpose of settling tax liabilities incurred upon the issuance of common stock, the vesting of restricted stock units or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and Tax Receivable Agreement Obligations</w:t>
      </w:r>
    </w:p>
    <w:p>
      <w:pPr>
        <w:spacing w:after="0" w:line="224" w:lineRule="exact"/>
        <w:rPr>
          <w:sz w:val="20"/>
          <w:szCs w:val="20"/>
          <w:color w:val="auto"/>
        </w:rPr>
      </w:pPr>
    </w:p>
    <w:p>
      <w:pPr>
        <w:ind w:right="720" w:firstLine="315"/>
        <w:spacing w:after="0" w:line="290"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58" w:lineRule="exact"/>
        <w:rPr>
          <w:sz w:val="20"/>
          <w:szCs w:val="20"/>
          <w:color w:val="auto"/>
        </w:rPr>
      </w:pPr>
    </w:p>
    <w:p>
      <w:pPr>
        <w:ind w:right="120" w:firstLine="315"/>
        <w:spacing w:after="0" w:line="274" w:lineRule="auto"/>
        <w:rPr>
          <w:sz w:val="20"/>
          <w:szCs w:val="20"/>
          <w:color w:val="auto"/>
        </w:rPr>
      </w:pPr>
      <w:r>
        <w:rPr>
          <w:rFonts w:ascii="Arial" w:cs="Arial" w:eastAsia="Arial" w:hAnsi="Arial"/>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70" w:lineRule="exact"/>
        <w:rPr>
          <w:sz w:val="20"/>
          <w:szCs w:val="20"/>
          <w:color w:val="auto"/>
        </w:rPr>
      </w:pPr>
    </w:p>
    <w:p>
      <w:pPr>
        <w:ind w:right="40" w:firstLine="315"/>
        <w:spacing w:after="0" w:line="261" w:lineRule="auto"/>
        <w:rPr>
          <w:sz w:val="20"/>
          <w:szCs w:val="20"/>
          <w:color w:val="auto"/>
        </w:rPr>
      </w:pPr>
      <w:r>
        <w:rPr>
          <w:rFonts w:ascii="Arial" w:cs="Arial" w:eastAsia="Arial" w:hAnsi="Arial"/>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4" w:lineRule="exact"/>
        <w:rPr>
          <w:sz w:val="20"/>
          <w:szCs w:val="20"/>
          <w:color w:val="auto"/>
        </w:rPr>
      </w:pPr>
    </w:p>
    <w:p>
      <w:pPr>
        <w:ind w:right="200" w:firstLine="315"/>
        <w:spacing w:after="0" w:line="290" w:lineRule="auto"/>
        <w:rPr>
          <w:sz w:val="20"/>
          <w:szCs w:val="20"/>
          <w:color w:val="auto"/>
        </w:rPr>
      </w:pPr>
      <w:r>
        <w:rPr>
          <w:rFonts w:ascii="Arial" w:cs="Arial" w:eastAsia="Arial" w:hAnsi="Arial"/>
          <w:sz w:val="17"/>
          <w:szCs w:val="17"/>
          <w:color w:val="auto"/>
        </w:rPr>
        <w:t>Our tax receivable agreement obligations are closely tied to our U.S. income tax returns, and may be affected by the aforementioned factors that impact our provision for income taxes and actual tax returns, including the impact of the 2017 Tax Act.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ind w:right="100" w:firstLine="315"/>
        <w:spacing w:after="0" w:line="298" w:lineRule="auto"/>
        <w:rPr>
          <w:sz w:val="20"/>
          <w:szCs w:val="20"/>
          <w:color w:val="auto"/>
        </w:rPr>
      </w:pPr>
      <w:r>
        <w:rPr>
          <w:rFonts w:ascii="Arial" w:cs="Arial" w:eastAsia="Arial" w:hAnsi="Arial"/>
          <w:sz w:val="16"/>
          <w:szCs w:val="16"/>
          <w:color w:val="auto"/>
        </w:rPr>
        <w:t>Goodwill represents the excess of the purchase price over the underlying net tangible and intangible assets of our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w:t>
      </w:r>
    </w:p>
    <w:p>
      <w:pPr>
        <w:spacing w:after="0" w:line="155" w:lineRule="exact"/>
        <w:rPr>
          <w:sz w:val="20"/>
          <w:szCs w:val="20"/>
          <w:color w:val="auto"/>
        </w:rPr>
      </w:pPr>
    </w:p>
    <w:p>
      <w:pPr>
        <w:ind w:firstLine="315"/>
        <w:spacing w:after="0" w:line="280" w:lineRule="auto"/>
        <w:rPr>
          <w:sz w:val="20"/>
          <w:szCs w:val="20"/>
          <w:color w:val="auto"/>
        </w:rPr>
      </w:pPr>
      <w:r>
        <w:rPr>
          <w:rFonts w:ascii="Arial" w:cs="Arial" w:eastAsia="Arial" w:hAnsi="Arial"/>
          <w:sz w:val="16"/>
          <w:szCs w:val="16"/>
          <w:color w:val="auto"/>
        </w:rPr>
        <w:t>When performing an impairment test, an entity may assess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general economic conditions, limitations on accessing capital, fluctuations in foreign exchange rates, or other developments in equity and credit markets, 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 cost factors such as increases in raw materials, labor, or other costs that have a negative effect on earnings and cash flows, overall financial performance such as negative or declining cash flows or a decline in actual or planned revenue or earnings compared with actual and projected results of relevant prior periods, or other relevant entity-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00"/>
          </w:cols>
          <w:pgMar w:left="240" w:top="127" w:right="25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specific events such as changes in management, key personnel, strategy, or customers, contemplation of bankruptcy, or litigation. If, after assessing the totality of such events or circumstances, an entity determines that it is not more likely than not that the fair value of a reporting unit is less than its carrying amount, then the first and second steps of the goodwill impairment test are unnecessary.</w:t>
      </w:r>
    </w:p>
    <w:p>
      <w:pPr>
        <w:spacing w:after="0" w:line="170"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color w:val="auto"/>
        </w:rPr>
        <w:t>The goodwill impairment test is a two-step process. The first step is used to identify potential impairment and compares the fair value of a reporting unit with its carrying amount, including goodwill. If the carrying amount of a reporting unit exceeds its fair value, the second step of the goodwill impairment test must be performed. The second step is used to measure the amount of impairment loss, if any, and compares the implied fair value of reporting unit goodwill with the carrying amount of that goodwill. If the carrying amount of reporting unit goodwill exceeds the implied fair value of that goodwill, an impairment loss must be recognized in an amount equal to that excess.</w:t>
      </w:r>
    </w:p>
    <w:p>
      <w:pPr>
        <w:spacing w:after="0" w:line="181"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7"/>
          <w:szCs w:val="17"/>
          <w:color w:val="auto"/>
        </w:rPr>
        <w:t>We test goodwill for impairment on an annual basis on July 1 and on an interim basis when certain events or circumstances exist. In the impairment test as of July 1, 2018, we performed a qualitative assessment as described in ASC 350-20-35 (as described above) for each reporting unit. No impairment of goodwill was identified.</w:t>
      </w:r>
    </w:p>
    <w:p>
      <w:pPr>
        <w:spacing w:after="0" w:line="170"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color w:val="auto"/>
        </w:rPr>
        <w:t>We amortize finite-lived intangible assets over their estimated useful lives. We test finite-lived intangible assets for impairment when impairment indicators are present, and if impaired, they are written down to fair value.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ind w:right="280" w:firstLine="315"/>
        <w:spacing w:after="0" w:line="290" w:lineRule="auto"/>
        <w:rPr>
          <w:sz w:val="20"/>
          <w:szCs w:val="20"/>
          <w:color w:val="auto"/>
        </w:rPr>
      </w:pPr>
      <w:r>
        <w:rPr>
          <w:rFonts w:ascii="Arial" w:cs="Arial" w:eastAsia="Arial" w:hAnsi="Arial"/>
          <w:sz w:val="17"/>
          <w:szCs w:val="17"/>
          <w:color w:val="auto"/>
        </w:rPr>
        <w:t>For a discussion of recently issued accounting developments and their impact or potential impact on our condensed consolidated financial statements, see Note 2 “Summary of Significant Accounting Policies” of Part I “Financial Information” of this quarterly report on Form 10-Q.</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340"/>
          </w:cols>
          <w:pgMar w:left="240" w:top="127" w:right="31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30" w:lineRule="exact"/>
        <w:rPr>
          <w:sz w:val="20"/>
          <w:szCs w:val="20"/>
          <w:color w:val="auto"/>
        </w:rPr>
      </w:pPr>
    </w:p>
    <w:p>
      <w:pPr>
        <w:ind w:right="240" w:firstLine="315"/>
        <w:spacing w:after="0" w:line="290" w:lineRule="auto"/>
        <w:rPr>
          <w:sz w:val="20"/>
          <w:szCs w:val="20"/>
          <w:color w:val="auto"/>
        </w:rPr>
      </w:pPr>
      <w:r>
        <w:rPr>
          <w:rFonts w:ascii="Arial" w:cs="Arial" w:eastAsia="Arial" w:hAnsi="Arial"/>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58" w:lineRule="exact"/>
        <w:rPr>
          <w:sz w:val="20"/>
          <w:szCs w:val="20"/>
          <w:color w:val="auto"/>
        </w:rPr>
      </w:pPr>
    </w:p>
    <w:p>
      <w:pPr>
        <w:ind w:right="160" w:firstLine="315"/>
        <w:spacing w:after="0" w:line="303" w:lineRule="auto"/>
        <w:rPr>
          <w:sz w:val="20"/>
          <w:szCs w:val="20"/>
          <w:color w:val="auto"/>
        </w:rPr>
      </w:pPr>
      <w:r>
        <w:rPr>
          <w:rFonts w:ascii="Arial" w:cs="Arial" w:eastAsia="Arial" w:hAnsi="Arial"/>
          <w:sz w:val="15"/>
          <w:szCs w:val="15"/>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instantaneously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56" w:lineRule="exact"/>
        <w:rPr>
          <w:sz w:val="20"/>
          <w:szCs w:val="20"/>
          <w:color w:val="auto"/>
        </w:rPr>
      </w:pPr>
    </w:p>
    <w:p>
      <w:pPr>
        <w:ind w:right="120" w:firstLine="315"/>
        <w:spacing w:after="0" w:line="274" w:lineRule="auto"/>
        <w:rPr>
          <w:sz w:val="20"/>
          <w:szCs w:val="20"/>
          <w:color w:val="auto"/>
        </w:rPr>
      </w:pPr>
      <w:r>
        <w:rPr>
          <w:rFonts w:ascii="Arial" w:cs="Arial" w:eastAsia="Arial" w:hAnsi="Arial"/>
          <w:sz w:val="17"/>
          <w:szCs w:val="17"/>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Company's Chief Risk Officer (the "CRO"), the independent risk group and senior management.</w:t>
      </w:r>
    </w:p>
    <w:p>
      <w:pPr>
        <w:spacing w:after="0" w:line="170"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70" w:lineRule="exact"/>
        <w:rPr>
          <w:sz w:val="20"/>
          <w:szCs w:val="20"/>
          <w:color w:val="auto"/>
        </w:rPr>
      </w:pPr>
    </w:p>
    <w:p>
      <w:pPr>
        <w:ind w:right="60" w:firstLine="315"/>
        <w:spacing w:after="0" w:line="305" w:lineRule="auto"/>
        <w:rPr>
          <w:sz w:val="20"/>
          <w:szCs w:val="20"/>
          <w:color w:val="auto"/>
        </w:rPr>
      </w:pPr>
      <w:r>
        <w:rPr>
          <w:rFonts w:ascii="Arial" w:cs="Arial" w:eastAsia="Arial" w:hAnsi="Arial"/>
          <w:sz w:val="15"/>
          <w:szCs w:val="15"/>
          <w:color w:val="auto"/>
        </w:rPr>
        <w:t>For working capital purposes, we invest in money market funds and maintain interest and non-interest bearing balances at banks and in our trading accounts with clearing brokers, which are classified as Cash and cash equivalents and Receivables from brokers, dealers and clearing organizations, respectively, on the condensed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55"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color w:val="auto"/>
        </w:rPr>
        <w:t>In the normal course of business, we maintain inventories of exchange-listed and other equity securities, and to a lesser extent, fixed income securities and listed equity options. The fair value of these financial instruments at September 30, 2018 and December 31, 2017 was $2.9 billion and $2.7 billion, respectively, in long positions and$2.4 billion and $2.4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81"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77" w:lineRule="exact"/>
        <w:rPr>
          <w:sz w:val="20"/>
          <w:szCs w:val="20"/>
          <w:color w:val="auto"/>
        </w:rPr>
      </w:pPr>
    </w:p>
    <w:p>
      <w:pPr>
        <w:ind w:right="60" w:firstLine="315"/>
        <w:spacing w:after="0" w:line="286" w:lineRule="auto"/>
        <w:rPr>
          <w:sz w:val="20"/>
          <w:szCs w:val="20"/>
          <w:color w:val="auto"/>
        </w:rPr>
      </w:pPr>
      <w:r>
        <w:rPr>
          <w:rFonts w:ascii="Arial" w:cs="Arial" w:eastAsia="Arial" w:hAnsi="Arial"/>
          <w:sz w:val="16"/>
          <w:szCs w:val="16"/>
          <w:color w:val="auto"/>
        </w:rPr>
        <w:t>The potential change in fair value is estimated to be a gain of $6.3 million using a hypothetical 10% increase in equity prices as of September 30, 2018, and an estimated loss of $4.4 million using a hypothetical 10% decrease in equity prices at September 30, 2018. These estimates take into account the offsetting effect of such hypothetical price movements on the fair value of short positions against long positions, the effect on the fair value of options, futures, nonlinear positions and leverage as well as assumed correlations with non-equity asset classes, such as fixed income, commodities and foreign exchange. The Company relies on internally developed systems in order to model and calculate stress risks to a variety of different scenarios.</w:t>
      </w:r>
    </w:p>
    <w:p>
      <w:pPr>
        <w:spacing w:after="0" w:line="164" w:lineRule="exact"/>
        <w:rPr>
          <w:sz w:val="20"/>
          <w:szCs w:val="20"/>
          <w:color w:val="auto"/>
        </w:rPr>
      </w:pPr>
    </w:p>
    <w:p>
      <w:pPr>
        <w:ind w:right="120" w:firstLine="315"/>
        <w:spacing w:after="0" w:line="274"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00"/>
          </w:cols>
          <w:pgMar w:left="240" w:top="127"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 Derivative Instruments</w:t>
      </w:r>
    </w:p>
    <w:p>
      <w:pPr>
        <w:spacing w:after="0" w:line="230" w:lineRule="exact"/>
        <w:rPr>
          <w:sz w:val="20"/>
          <w:szCs w:val="20"/>
          <w:color w:val="auto"/>
        </w:rPr>
      </w:pPr>
    </w:p>
    <w:p>
      <w:pPr>
        <w:ind w:right="100" w:firstLine="315"/>
        <w:spacing w:after="0" w:line="262" w:lineRule="auto"/>
        <w:rPr>
          <w:sz w:val="20"/>
          <w:szCs w:val="20"/>
          <w:color w:val="auto"/>
        </w:rPr>
      </w:pPr>
      <w:r>
        <w:rPr>
          <w:rFonts w:ascii="Arial" w:cs="Arial" w:eastAsia="Arial" w:hAnsi="Arial"/>
          <w:sz w:val="17"/>
          <w:szCs w:val="17"/>
          <w:color w:val="auto"/>
        </w:rPr>
        <w:t>In the normal course of business, we utilize derivative financial instruments in connection with our proprietary trading activities. We do not designate our derivative financial instruments as hedging instruments under ASC 815 Derivatives and Hedging, other than derivatives used to reduce the impact of fluctuations in foreign exchange rates on our net investment in certain non-U.S. operations as discussed in Note 12 "Derivative Instruments" of Part I “Financial Information” of this quarterly report on Form 10-Q. Instead, we carry our derivative instruments at fair value with gains and losses included in trading income, net, in the accompanying condensed consolidated statements of comprehensive income (loss).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83"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64"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i w:val="1"/>
          <w:iCs w:val="1"/>
          <w:color w:val="auto"/>
        </w:rPr>
        <w:t>Due from Broker Dealers and Clearing Organizations</w:t>
      </w:r>
      <w:r>
        <w:rPr>
          <w:rFonts w:ascii="Arial" w:cs="Arial" w:eastAsia="Arial" w:hAnsi="Arial"/>
          <w:sz w:val="17"/>
          <w:szCs w:val="17"/>
          <w:color w:val="auto"/>
        </w:rPr>
        <w:t>. Management periodically evaluates our counterparty credit exposures to various brokers and clearing</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with a view to limiting potential losses resulting from counterparty insolvency.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230" w:lineRule="exact"/>
        <w:rPr>
          <w:sz w:val="20"/>
          <w:szCs w:val="20"/>
          <w:color w:val="auto"/>
        </w:rPr>
      </w:pPr>
    </w:p>
    <w:p>
      <w:pPr>
        <w:ind w:right="220" w:firstLine="315"/>
        <w:spacing w:after="0" w:line="265" w:lineRule="auto"/>
        <w:rPr>
          <w:sz w:val="20"/>
          <w:szCs w:val="20"/>
          <w:color w:val="auto"/>
        </w:rPr>
      </w:pPr>
      <w:r>
        <w:rPr>
          <w:rFonts w:ascii="Arial" w:cs="Arial" w:eastAsia="Arial" w:hAnsi="Arial"/>
          <w:sz w:val="17"/>
          <w:szCs w:val="17"/>
          <w:color w:val="auto"/>
        </w:rPr>
        <w:t>As a result of our international market making activities and accumulated earnings in our foreign subsidiaries, our income and net worth are subject to fluctuation in foreign exchange rates. While we generate revenues in several currencies, a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81" w:lineRule="exact"/>
        <w:rPr>
          <w:sz w:val="20"/>
          <w:szCs w:val="20"/>
          <w:color w:val="auto"/>
        </w:rPr>
      </w:pPr>
    </w:p>
    <w:p>
      <w:pPr>
        <w:ind w:right="100" w:firstLine="315"/>
        <w:spacing w:after="0" w:line="290" w:lineRule="auto"/>
        <w:rPr>
          <w:sz w:val="20"/>
          <w:szCs w:val="20"/>
          <w:color w:val="auto"/>
        </w:rPr>
      </w:pPr>
      <w:r>
        <w:rPr>
          <w:rFonts w:ascii="Arial" w:cs="Arial" w:eastAsia="Arial" w:hAnsi="Arial"/>
          <w:sz w:val="16"/>
          <w:szCs w:val="16"/>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(loss) and changes in equity. Our primary currency translation exposures historically relate to net investments in subsidiaries having functional currencies denominated in the Euro.</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230" w:lineRule="exact"/>
        <w:rPr>
          <w:sz w:val="20"/>
          <w:szCs w:val="20"/>
          <w:color w:val="auto"/>
        </w:rPr>
      </w:pPr>
    </w:p>
    <w:p>
      <w:pPr>
        <w:ind w:right="300" w:firstLine="315"/>
        <w:spacing w:after="0" w:line="268"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77"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statements of financial condition. Market risk is substantially dependent upon the value of the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00"/>
          </w:cols>
          <w:pgMar w:left="240" w:top="127" w:right="25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underlying financial instruments and is affected by market forces, such as volatility and changes in interest and foreign exchange rates.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ind w:right="120" w:firstLine="315"/>
        <w:spacing w:after="0" w:line="263"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(the “Exchange Act”)) as of September 30, 2018. Based upon that evaluation, our Chief Executive Officer and Chief Financial Officer concluded that, as of September 30, 2018, our disclosure controls and procedures were effective to ensure information required to be disclosed by us in the reports we file or submit under the Exchange Act is recorded, processed, summarized and reported within the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7" w:lineRule="exact"/>
        <w:rPr>
          <w:sz w:val="20"/>
          <w:szCs w:val="20"/>
          <w:color w:val="auto"/>
        </w:rPr>
      </w:pPr>
    </w:p>
    <w:p>
      <w:pPr>
        <w:ind w:right="120" w:firstLine="315"/>
        <w:spacing w:after="0" w:line="268"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Internal Control over Financial Reporting</w:t>
      </w:r>
    </w:p>
    <w:p>
      <w:pPr>
        <w:spacing w:after="0" w:line="230" w:lineRule="exact"/>
        <w:rPr>
          <w:sz w:val="20"/>
          <w:szCs w:val="20"/>
          <w:color w:val="auto"/>
        </w:rPr>
      </w:pPr>
    </w:p>
    <w:p>
      <w:pPr>
        <w:ind w:right="300" w:firstLine="315"/>
        <w:spacing w:after="0" w:line="290" w:lineRule="auto"/>
        <w:rPr>
          <w:sz w:val="20"/>
          <w:szCs w:val="20"/>
          <w:color w:val="auto"/>
        </w:rPr>
      </w:pPr>
      <w:r>
        <w:rPr>
          <w:rFonts w:ascii="Arial" w:cs="Arial" w:eastAsia="Arial" w:hAnsi="Arial"/>
          <w:sz w:val="17"/>
          <w:szCs w:val="17"/>
          <w:color w:val="auto"/>
        </w:rPr>
        <w:t>No change in our internal control over financial reporting (as defined in Rule 13a-15(f) under the Exchange Act) occurred during the three months ended September 30, 2018 that has or is reasonably likely to materially affect, our internal control over financial reporting.</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340"/>
          </w:cols>
          <w:pgMar w:left="240" w:top="127" w:right="31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30" w:lineRule="exact"/>
        <w:rPr>
          <w:sz w:val="20"/>
          <w:szCs w:val="20"/>
          <w:color w:val="auto"/>
        </w:rPr>
      </w:pPr>
    </w:p>
    <w:p>
      <w:pPr>
        <w:ind w:right="280" w:firstLine="630"/>
        <w:spacing w:after="0" w:line="323" w:lineRule="auto"/>
        <w:rPr>
          <w:sz w:val="20"/>
          <w:szCs w:val="20"/>
          <w:color w:val="auto"/>
        </w:rPr>
      </w:pPr>
      <w:r>
        <w:rPr>
          <w:rFonts w:ascii="Arial" w:cs="Arial" w:eastAsia="Arial" w:hAnsi="Arial"/>
          <w:sz w:val="16"/>
          <w:szCs w:val="16"/>
          <w:color w:val="auto"/>
        </w:rPr>
        <w:t>The information required by this item is set forth in the “Legal Proceedings” section in Note 15 "Commitments, Contingencies and Guarantees" to the Company’s Condensed Consolidated Financial Statements included in Part I “Financial Information”, which is incorporated by reference herein.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0" w:lineRule="exact"/>
        <w:rPr>
          <w:sz w:val="20"/>
          <w:szCs w:val="20"/>
          <w:color w:val="auto"/>
        </w:rPr>
      </w:pPr>
    </w:p>
    <w:p>
      <w:pPr>
        <w:ind w:right="220" w:firstLine="630"/>
        <w:spacing w:after="0" w:line="290" w:lineRule="auto"/>
        <w:rPr>
          <w:sz w:val="20"/>
          <w:szCs w:val="20"/>
          <w:color w:val="auto"/>
        </w:rPr>
      </w:pPr>
      <w:r>
        <w:rPr>
          <w:rFonts w:ascii="Arial" w:cs="Arial" w:eastAsia="Arial" w:hAnsi="Arial"/>
          <w:sz w:val="17"/>
          <w:szCs w:val="17"/>
          <w:color w:val="auto"/>
        </w:rPr>
        <w:t>There have been no material changes to the Risk Factors described in Part I “Item 1A. Risk factors” in our 2017 Form 10-K as filed with the Securities and Exchange Commission (“SEC”) on March 13, 2018 other than those set forth below.</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ITG Transactions</w:t>
      </w:r>
    </w:p>
    <w:p>
      <w:pPr>
        <w:spacing w:after="0" w:line="230"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b w:val="1"/>
          <w:bCs w:val="1"/>
          <w:i w:val="1"/>
          <w:iCs w:val="1"/>
          <w:color w:val="auto"/>
        </w:rPr>
        <w:t>There is no assurance when or if the ITG Acquisition will be completed. Any delay in completing the ITG Acquisition may substantially reduce the benefits that we expect to obtain from the ITG Acquisition and increase the transaction costs.</w:t>
      </w:r>
    </w:p>
    <w:p>
      <w:pPr>
        <w:spacing w:after="0" w:line="158" w:lineRule="exact"/>
        <w:rPr>
          <w:sz w:val="20"/>
          <w:szCs w:val="20"/>
          <w:color w:val="auto"/>
        </w:rPr>
      </w:pPr>
    </w:p>
    <w:p>
      <w:pPr>
        <w:ind w:right="60" w:firstLine="630"/>
        <w:spacing w:after="0" w:line="263" w:lineRule="auto"/>
        <w:rPr>
          <w:sz w:val="20"/>
          <w:szCs w:val="20"/>
          <w:color w:val="auto"/>
        </w:rPr>
      </w:pPr>
      <w:r>
        <w:rPr>
          <w:rFonts w:ascii="Arial" w:cs="Arial" w:eastAsia="Arial" w:hAnsi="Arial"/>
          <w:sz w:val="17"/>
          <w:szCs w:val="17"/>
          <w:color w:val="auto"/>
        </w:rPr>
        <w:t>Completion of the ITG Acquisition is subject to the satisfaction or waiver of a number of conditions as set forth in the ITG Merger Agreement, including expiration or termination of applicable waiting periods under the Hart-Scott-Rodino Antitrust Improvements Act of 1976, as amended, and the receipt of other required governmental or regulatory approvals. We and ITG may not be able to satisfy the closing conditions and closing conditions beyond our or their control may not be satisfied or waived and the ITG Acquisition may not be consummated by reason of failure to so satisfy such conditions. If the ITG Acquisition and the integration of the companies’ respective businesses are not completed within the expected timeframe, such delay may materially and adversely affect the synergies, cost reductions and other benefits that we expect to achieve as a result of the ITG Acquisition and could result in additional transaction costs, loss of revenue or other effects associated with uncertainty about the ITG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complete the ITG Acquisition could negatively impact our stock price and our future business and financial results.</w:t>
      </w:r>
    </w:p>
    <w:p>
      <w:pPr>
        <w:spacing w:after="0" w:line="224" w:lineRule="exact"/>
        <w:rPr>
          <w:sz w:val="20"/>
          <w:szCs w:val="20"/>
          <w:color w:val="auto"/>
        </w:rPr>
      </w:pPr>
    </w:p>
    <w:p>
      <w:pPr>
        <w:ind w:firstLine="630"/>
        <w:spacing w:after="0" w:line="298" w:lineRule="auto"/>
        <w:rPr>
          <w:sz w:val="20"/>
          <w:szCs w:val="20"/>
          <w:color w:val="auto"/>
        </w:rPr>
      </w:pPr>
      <w:r>
        <w:rPr>
          <w:rFonts w:ascii="Arial" w:cs="Arial" w:eastAsia="Arial" w:hAnsi="Arial"/>
          <w:sz w:val="16"/>
          <w:szCs w:val="16"/>
          <w:color w:val="auto"/>
        </w:rPr>
        <w:t>Consummation of the ITG Acquisition is subject to customary closing conditions. If the ITG Acquisition is not completed for any reason, our ongoing business and financial results may be adversely affected, and we will be subject to a number of risks, including the fact that we will be required to pay certain costs relating to the ITG Acquisition, whether or not the ITG Acquisition is completed, such as legal, accounting, financial advisor and printing fees.</w:t>
      </w:r>
    </w:p>
    <w:p>
      <w:pPr>
        <w:spacing w:after="0" w:line="155"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We may also be subject to litigation related to any failure to complete the ITG Acquisition. If the ITG Acquisition is not completed, these risks may materialize and may adversely affect our business, prospects, results of operations, financial condition and/or cash flows, as well as the price of our common stock, which may cause the value of your investment to decline. We cannot provide any assurance that the ITG Acquisition will be completed, that there will not be a delay in the completion of the ITG Acquisition or that all or any of the anticipated benefits of the ITG Acquisition will be obtained. In the event the ITG Acquisition is materially delayed for any reason, the price of our common stock and of our securities may decline.</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b w:val="1"/>
          <w:bCs w:val="1"/>
          <w:i w:val="1"/>
          <w:iCs w:val="1"/>
          <w:color w:val="auto"/>
        </w:rPr>
        <w:t>Significant costs and significant indebtedness will be incurred in connection with the consummation of the ITG Transactions, including the ITG Acquisition, and the integration of ITG into our business, including legal, accounting, financial advisory and other costs.</w:t>
      </w:r>
    </w:p>
    <w:p>
      <w:pPr>
        <w:spacing w:after="0" w:line="158" w:lineRule="exact"/>
        <w:rPr>
          <w:sz w:val="20"/>
          <w:szCs w:val="20"/>
          <w:color w:val="auto"/>
        </w:rPr>
      </w:pPr>
    </w:p>
    <w:p>
      <w:pPr>
        <w:ind w:right="240" w:firstLine="630"/>
        <w:spacing w:after="0" w:line="290" w:lineRule="auto"/>
        <w:rPr>
          <w:sz w:val="20"/>
          <w:szCs w:val="20"/>
          <w:color w:val="auto"/>
        </w:rPr>
      </w:pPr>
      <w:r>
        <w:rPr>
          <w:rFonts w:ascii="Arial" w:cs="Arial" w:eastAsia="Arial" w:hAnsi="Arial"/>
          <w:sz w:val="17"/>
          <w:szCs w:val="17"/>
          <w:color w:val="auto"/>
        </w:rPr>
        <w:t>We expect to incur significant costs in connection with integrating the operations, products and personnel of ITG into our business, in addition to costs related directly to completing the ITG Transactions. These costs may include:</w:t>
      </w:r>
    </w:p>
    <w:p>
      <w:pPr>
        <w:spacing w:after="0" w:line="158" w:lineRule="exact"/>
        <w:rPr>
          <w:sz w:val="20"/>
          <w:szCs w:val="20"/>
          <w:color w:val="auto"/>
        </w:rPr>
      </w:pPr>
    </w:p>
    <w:p>
      <w:pPr>
        <w:ind w:left="640" w:hanging="320"/>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employee retention, redeployment, relocation or severance;</w:t>
      </w:r>
    </w:p>
    <w:p>
      <w:pPr>
        <w:spacing w:after="0" w:line="26" w:lineRule="exact"/>
        <w:rPr>
          <w:rFonts w:ascii="Arial" w:cs="Arial" w:eastAsia="Arial" w:hAnsi="Arial"/>
          <w:sz w:val="17"/>
          <w:szCs w:val="17"/>
          <w:color w:val="auto"/>
        </w:rPr>
      </w:pPr>
    </w:p>
    <w:p>
      <w:pPr>
        <w:ind w:left="640" w:hanging="320"/>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integration of information systems'</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combination of corporate and administrative functions; and</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or pending litigation or other proceedings related to the ITG Acquisition.</w:t>
      </w:r>
    </w:p>
    <w:p>
      <w:pPr>
        <w:spacing w:after="0" w:line="213" w:lineRule="exact"/>
        <w:rPr>
          <w:sz w:val="20"/>
          <w:szCs w:val="20"/>
          <w:color w:val="auto"/>
        </w:rPr>
      </w:pPr>
    </w:p>
    <w:p>
      <w:pPr>
        <w:ind w:right="280" w:firstLine="630"/>
        <w:spacing w:after="0" w:line="290" w:lineRule="auto"/>
        <w:rPr>
          <w:sz w:val="20"/>
          <w:szCs w:val="20"/>
          <w:color w:val="auto"/>
        </w:rPr>
      </w:pPr>
      <w:r>
        <w:rPr>
          <w:rFonts w:ascii="Arial" w:cs="Arial" w:eastAsia="Arial" w:hAnsi="Arial"/>
          <w:sz w:val="17"/>
          <w:szCs w:val="17"/>
          <w:color w:val="auto"/>
        </w:rPr>
        <w:t>The costs related to the ITG Transactions could be higher than currently estimated, depending on how difficult it will be to integrate our business with that of ITG, and the expected cost reductions and synergies may not be achieved.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127"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100" w:firstLine="630"/>
        <w:spacing w:after="0" w:line="265" w:lineRule="auto"/>
        <w:rPr>
          <w:sz w:val="20"/>
          <w:szCs w:val="20"/>
          <w:color w:val="auto"/>
        </w:rPr>
      </w:pPr>
      <w:r>
        <w:rPr>
          <w:rFonts w:ascii="Arial" w:cs="Arial" w:eastAsia="Arial" w:hAnsi="Arial"/>
          <w:sz w:val="17"/>
          <w:szCs w:val="17"/>
          <w:color w:val="auto"/>
        </w:rPr>
        <w:t>In addition, we expect to incur a number of non-recurring costs associated with combining the operations of ITG with ours, which cannot be estimated accurately at this time. While we expect to incur a significant amount of transaction fees and other costs related to the consummation of the ITG Transactions, additional unanticipated costs may yet be incurred. Any expected elimination of duplicative costs, as well as the expected realization of other cost reductions, efficiencies and synergies related to the integration of our operations with those of ITG, that may offset incremental transaction and transaction-related costs over time, may not be achieved as projected, or at all.</w:t>
      </w:r>
    </w:p>
    <w:p>
      <w:pPr>
        <w:spacing w:after="0" w:line="181"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In addition, we expect to incur up to $1.55 billion of new indebtedness in connection with the ITG Transactions. The debt we incur in connection with the ITG Transactions may limit our financial and operating flexibility, and we may incur additional debt, which could increase the risks associated with our substantial indebtedness. Our substantial indebtedness may have material consequences for our business, prospects, results of operations, financial condition and/or cash flows.</w:t>
      </w:r>
    </w:p>
    <w:p>
      <w:pPr>
        <w:spacing w:after="0" w:line="177"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b w:val="1"/>
          <w:bCs w:val="1"/>
          <w:i w:val="1"/>
          <w:iCs w:val="1"/>
          <w:color w:val="auto"/>
        </w:rPr>
        <w:t>Integrating ITG’s business into our business may divert management’s attention away from operations, and we may also encounter significant difficulties in integrating the two businesses.</w:t>
      </w:r>
    </w:p>
    <w:p>
      <w:pPr>
        <w:spacing w:after="0" w:line="158" w:lineRule="exact"/>
        <w:rPr>
          <w:sz w:val="20"/>
          <w:szCs w:val="20"/>
          <w:color w:val="auto"/>
        </w:rPr>
      </w:pPr>
    </w:p>
    <w:p>
      <w:pPr>
        <w:ind w:right="160" w:firstLine="630"/>
        <w:spacing w:after="0" w:line="290" w:lineRule="auto"/>
        <w:rPr>
          <w:sz w:val="20"/>
          <w:szCs w:val="20"/>
          <w:color w:val="auto"/>
        </w:rPr>
      </w:pPr>
      <w:r>
        <w:rPr>
          <w:rFonts w:ascii="Arial" w:cs="Arial" w:eastAsia="Arial" w:hAnsi="Arial"/>
          <w:sz w:val="16"/>
          <w:szCs w:val="16"/>
          <w:color w:val="auto"/>
        </w:rPr>
        <w:t>The ITG Transactions involve the integration of two companies that have previously operated independently. The success of the ITG Transactions and their anticipated financial and operational benefits, including increased revenues, synergies and cost reductions, will depend in part on our ability to successfully combine and integrate ITG’s business into ours, and there can be no assurance regarding when or the extent to which we will be able to realize these increased revenues, synergies, cost reductions or other benefits. These benefits may not be achieved within the anticipated time frame, or at all.</w:t>
      </w:r>
    </w:p>
    <w:p>
      <w:pPr>
        <w:spacing w:after="0" w:line="161" w:lineRule="exact"/>
        <w:rPr>
          <w:sz w:val="20"/>
          <w:szCs w:val="20"/>
          <w:color w:val="auto"/>
        </w:rPr>
      </w:pPr>
    </w:p>
    <w:p>
      <w:pPr>
        <w:jc w:val="both"/>
        <w:ind w:right="400" w:firstLine="630"/>
        <w:spacing w:after="0" w:line="274" w:lineRule="auto"/>
        <w:rPr>
          <w:sz w:val="20"/>
          <w:szCs w:val="20"/>
          <w:color w:val="auto"/>
        </w:rPr>
      </w:pPr>
      <w:r>
        <w:rPr>
          <w:rFonts w:ascii="Arial" w:cs="Arial" w:eastAsia="Arial" w:hAnsi="Arial"/>
          <w:sz w:val="17"/>
          <w:szCs w:val="17"/>
          <w:color w:val="auto"/>
        </w:rPr>
        <w:t>Successful integration of ITG’s operations, products and personnel may place a significant burden on management and other internal resources. The diversion of management’s attention, and any difficulties encountered in the transition and integration process, could harm our business, prospects, results of operations, financial condition and/or cash flows.</w:t>
      </w:r>
    </w:p>
    <w:p>
      <w:pPr>
        <w:spacing w:after="0" w:line="170" w:lineRule="exact"/>
        <w:rPr>
          <w:sz w:val="20"/>
          <w:szCs w:val="20"/>
          <w:color w:val="auto"/>
        </w:rPr>
      </w:pPr>
    </w:p>
    <w:p>
      <w:pPr>
        <w:ind w:right="140" w:firstLine="630"/>
        <w:spacing w:after="0" w:line="290" w:lineRule="auto"/>
        <w:rPr>
          <w:sz w:val="20"/>
          <w:szCs w:val="20"/>
          <w:color w:val="auto"/>
        </w:rPr>
      </w:pPr>
      <w:r>
        <w:rPr>
          <w:rFonts w:ascii="Arial" w:cs="Arial" w:eastAsia="Arial" w:hAnsi="Arial"/>
          <w:sz w:val="17"/>
          <w:szCs w:val="17"/>
          <w:color w:val="auto"/>
        </w:rPr>
        <w:t>In addition, the overall integration of the businesses may result in material unanticipated problems, expenses, liabilities, and competitive responses. The difficulties of combining the operations of the companies include, among others:</w:t>
      </w:r>
    </w:p>
    <w:p>
      <w:pPr>
        <w:spacing w:after="0" w:line="158" w:lineRule="exact"/>
        <w:rPr>
          <w:sz w:val="20"/>
          <w:szCs w:val="20"/>
          <w:color w:val="auto"/>
        </w:rPr>
      </w:pPr>
    </w:p>
    <w:p>
      <w:pPr>
        <w:ind w:left="640" w:hanging="32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achieving anticipated cost reductions, synergies, business opportunities and growth prospects from the combination;</w:t>
      </w:r>
    </w:p>
    <w:p>
      <w:pPr>
        <w:spacing w:after="0" w:line="26" w:lineRule="exact"/>
        <w:rPr>
          <w:rFonts w:ascii="Arial" w:cs="Arial" w:eastAsia="Arial" w:hAnsi="Arial"/>
          <w:sz w:val="17"/>
          <w:szCs w:val="17"/>
          <w:color w:val="auto"/>
        </w:rPr>
      </w:pPr>
    </w:p>
    <w:p>
      <w:pPr>
        <w:ind w:left="640" w:hanging="32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the integration of operations and systems;</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conforming standards, controls, procedures and accounting and other policies, business cultures and compensation structures between the two companies;</w:t>
      </w:r>
    </w:p>
    <w:p>
      <w:pPr>
        <w:spacing w:after="0" w:line="37" w:lineRule="exact"/>
        <w:rPr>
          <w:rFonts w:ascii="Arial" w:cs="Arial" w:eastAsia="Arial" w:hAnsi="Arial"/>
          <w:sz w:val="15"/>
          <w:szCs w:val="15"/>
          <w:color w:val="auto"/>
        </w:rPr>
      </w:pPr>
    </w:p>
    <w:p>
      <w:pPr>
        <w:ind w:left="640" w:hanging="32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the assimilation of employees and the integration of the companies’ different organizational structure;</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managing the expanded operations of a larger and more complex company with increased international operations;</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challenges in integrating the business culture of each company;</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challenges in attracting and retaining key personnel; and</w:t>
      </w:r>
    </w:p>
    <w:p>
      <w:pPr>
        <w:spacing w:after="0" w:line="14" w:lineRule="exact"/>
        <w:rPr>
          <w:rFonts w:ascii="Arial" w:cs="Arial" w:eastAsia="Arial" w:hAnsi="Arial"/>
          <w:sz w:val="17"/>
          <w:szCs w:val="17"/>
          <w:color w:val="auto"/>
        </w:rPr>
      </w:pPr>
    </w:p>
    <w:p>
      <w:pPr>
        <w:ind w:left="640" w:right="540" w:hanging="320"/>
        <w:spacing w:after="0" w:line="275"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replacing numerous systems, including those involving management information, purchasing, accounting and finance, sales, billing, employee benefits, payroll, data privacy and security and regulatory compliance, many of which may be dissimilar.</w:t>
      </w:r>
    </w:p>
    <w:p>
      <w:pPr>
        <w:spacing w:after="0" w:line="170" w:lineRule="exact"/>
        <w:rPr>
          <w:sz w:val="20"/>
          <w:szCs w:val="20"/>
          <w:color w:val="auto"/>
        </w:rPr>
      </w:pPr>
    </w:p>
    <w:p>
      <w:pPr>
        <w:ind w:right="60" w:firstLine="630"/>
        <w:spacing w:after="0" w:line="290" w:lineRule="auto"/>
        <w:rPr>
          <w:sz w:val="20"/>
          <w:szCs w:val="20"/>
          <w:color w:val="auto"/>
        </w:rPr>
      </w:pPr>
      <w:r>
        <w:rPr>
          <w:rFonts w:ascii="Arial" w:cs="Arial" w:eastAsia="Arial" w:hAnsi="Arial"/>
          <w:sz w:val="17"/>
          <w:szCs w:val="17"/>
          <w:color w:val="auto"/>
        </w:rPr>
        <w:t>These factors could result in increased costs, decreases in the amount of expected revenues and diversion of management’s time and energy, which could materially impact our business, prospects, results of operations, financial condition and/or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anticipated synergies, net cost reductions and growth opportunities from the ITG Acquisition.</w:t>
      </w:r>
    </w:p>
    <w:p>
      <w:pPr>
        <w:spacing w:after="0" w:line="224" w:lineRule="exact"/>
        <w:rPr>
          <w:sz w:val="20"/>
          <w:szCs w:val="20"/>
          <w:color w:val="auto"/>
        </w:rPr>
      </w:pPr>
    </w:p>
    <w:p>
      <w:pPr>
        <w:ind w:right="20" w:firstLine="630"/>
        <w:spacing w:after="0" w:line="276" w:lineRule="auto"/>
        <w:rPr>
          <w:sz w:val="20"/>
          <w:szCs w:val="20"/>
          <w:color w:val="auto"/>
        </w:rPr>
      </w:pPr>
      <w:r>
        <w:rPr>
          <w:rFonts w:ascii="Arial" w:cs="Arial" w:eastAsia="Arial" w:hAnsi="Arial"/>
          <w:sz w:val="16"/>
          <w:szCs w:val="16"/>
          <w:color w:val="auto"/>
        </w:rPr>
        <w:t>The benefits that we expect to achieve as a result of the ITG Acquisition will depend, in part, on the ability of the combined company to realize anticipated growth opportunities, net cost reductions and synergies. Our success in realizing these growth opportunities, net cost reductions and synergies, and the timing of this realization, depends on the successful integration of our historical business and operations and the historical business and operations of ITG. Even if we are able to integrate the businesses and operations of the Company and ITG successfully, this integration may not result in the realization of the full benefits of the growth opportunities, net cost reductions and synergies that we currently expect from this integration within the anticipated time frame or at all. For example, we may be unable to eliminate duplicative costs. Moreover, we may incur substantial expenses in connection with the integration of our business and ITG’s business. While we anticipate that certain expenses will be incurred, such expenses are difficult to estimate accurately and may exceed current</w:t>
      </w:r>
    </w:p>
    <w:p>
      <w:pPr>
        <w:spacing w:after="0" w:line="1"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estimates. Accordingly, the benefits from the ITG Acquisition may be offset by costs or delays incurred in integrating the businesses. The projected net cost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00"/>
          </w:cols>
          <w:pgMar w:left="240" w:top="127" w:right="25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500"/>
        <w:spacing w:after="0" w:line="326" w:lineRule="auto"/>
        <w:rPr>
          <w:sz w:val="20"/>
          <w:szCs w:val="20"/>
          <w:color w:val="auto"/>
        </w:rPr>
      </w:pPr>
      <w:r>
        <w:rPr>
          <w:rFonts w:ascii="Arial" w:cs="Arial" w:eastAsia="Arial" w:hAnsi="Arial"/>
          <w:sz w:val="15"/>
          <w:szCs w:val="15"/>
          <w:color w:val="auto"/>
        </w:rPr>
        <w:t>reductions and synergies described in our press release and supplemental materials announcing the ITG Transactions are based on a number of assumptions relating to our business and ITG’s business. Those assumptions may be inaccurate, and, as a result, our projected net cost reductions and synergies may be inaccurate, and our business, prospects, results of operations, financial condition and/or cash flows could be materially and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will be subject to business uncertainties that could materially and adversely affect our business.</w:t>
      </w:r>
    </w:p>
    <w:p>
      <w:pPr>
        <w:spacing w:after="0" w:line="224"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color w:val="auto"/>
        </w:rPr>
        <w:t>Uncertainty about the effect of the ITG Acquisition on employees, customers and suppliers may have both a material and adverse effect on both the Company and ITG. These uncertainties may impair both companies’ ability to attract, retain and motivate key personnel until the ITG Acquisition is consummated and for a period of time thereafter, and could cause customers, suppliers and others who deal with the Company and ITG to seek to change existing business relationships. If key employees depart because of issues related to the uncertainty and difficulty of integration or a desire not to remain with us after the ITG Transactions are completed, or if customers, suppliers or others seek to change their dealings with us as a result of the ITG Acquisition, our business could be materially and adversely impacted.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connection with the ITG Acquisition, we will assume potential liabilities relating to ITG’s business.</w:t>
      </w:r>
    </w:p>
    <w:p>
      <w:pPr>
        <w:spacing w:after="0" w:line="224"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In connection with the ITG Acquisition, we will have assumed potential liabilities and other risks relating to ITG’s business, including but not limited to those liabilities and risks arising from or related to pending, threatened or potential litigation or regulatory matters. To the extent we have not identified such liabilities or miscalculated their potential financial or business impact, these liabilities could have a material adverse effect on our business, prospects, results of operations, financial condition and/or cash flows.</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0" w:lineRule="exact"/>
        <w:rPr>
          <w:sz w:val="20"/>
          <w:szCs w:val="20"/>
          <w:color w:val="auto"/>
        </w:rPr>
      </w:pPr>
    </w:p>
    <w:p>
      <w:pPr>
        <w:ind w:firstLine="630"/>
        <w:spacing w:after="0" w:line="290" w:lineRule="auto"/>
        <w:rPr>
          <w:sz w:val="20"/>
          <w:szCs w:val="20"/>
          <w:color w:val="auto"/>
        </w:rPr>
      </w:pPr>
      <w:r>
        <w:rPr>
          <w:rFonts w:ascii="Arial" w:cs="Arial" w:eastAsia="Arial" w:hAnsi="Arial"/>
          <w:sz w:val="16"/>
          <w:szCs w:val="16"/>
          <w:color w:val="auto"/>
        </w:rPr>
        <w:t>Pursuant to the exchange agreement (the "Exchange Agreement") entered into on April 15, 2015 by and among the Company, Virtu Financial and holders of non-voting common interest units in Virtu Financial (the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61" w:lineRule="exact"/>
        <w:rPr>
          <w:sz w:val="20"/>
          <w:szCs w:val="20"/>
          <w:color w:val="auto"/>
        </w:rPr>
      </w:pPr>
    </w:p>
    <w:p>
      <w:pPr>
        <w:ind w:right="80" w:firstLine="630"/>
        <w:spacing w:after="0" w:line="263" w:lineRule="auto"/>
        <w:rPr>
          <w:sz w:val="20"/>
          <w:szCs w:val="20"/>
          <w:color w:val="auto"/>
        </w:rPr>
      </w:pPr>
      <w:r>
        <w:rPr>
          <w:rFonts w:ascii="Arial" w:cs="Arial" w:eastAsia="Arial" w:hAnsi="Arial"/>
          <w:sz w:val="17"/>
          <w:szCs w:val="17"/>
          <w:color w:val="auto"/>
        </w:rPr>
        <w:t>On February 8, 2018, the Company’s board of directors authorized a new share repurchase program of up to $50.0 million in Class A common stock and common units by March 31, 2019.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The following table contains information about the Company’s purchases of its Class A Common Stock during the nine months ended ended September 30, 2018 (in thousands, except average price paid per share):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00"/>
          </w:cols>
          <w:pgMar w:left="240" w:top="127"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Shares Purchased</w:t>
            </w: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13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as Part of Publicly</w:t>
            </w: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44"/>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8"/>
              </w:rPr>
              <w:t>Announced Plans or</w:t>
            </w: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the Plans or</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61"/>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1, 2018 - January 31,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Common stock / common units repurchases</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February 1, 2018 - February 28, 2018</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29.27</w:t>
            </w: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1, 2018 - March 31,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Common stock / common units repurchases</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April 1, 2018 - April 30, 2018</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Common stock / common units repurchases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1, 2018 - May 31,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307,391</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307,391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Class C Common stock/ common units repurchases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696,373</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29.44</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696,373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 2018 - June 30,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Common stock / common units repurchases</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July 1, 2018 - July 31, 2018</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Common stock / common units repurchases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 2018 - August 31,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480,360</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21.33</w:t>
            </w:r>
          </w:p>
        </w:tc>
        <w:tc>
          <w:tcPr>
            <w:tcW w:w="10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480,360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September 1, 2018 - September 30, 2018</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184,090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21.70</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184,090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Class C Common stock/ common units repurchases</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330,136</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330,136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Total Common stock / common units repurchases</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2,373,350</w:t>
            </w:r>
          </w:p>
        </w:tc>
        <w:tc>
          <w:tcPr>
            <w:tcW w:w="100" w:type="dxa"/>
            <w:vAlign w:val="bottom"/>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26.07</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2,373,350</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38,135,874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On July 27, 2018, the Company's board of directors authorized $100.0 million share repurchase program through September 30, 2019. Since the inception of the program in February 2018, the Company has repurchased approximately 2.37 million shares of Class A Common Stock and common units for approximately $61.9 million. The Company now has approximately $38.1 million remaining capacity for future purchases of shares of Class A Common Stock and common units under the program.</w:t>
      </w:r>
    </w:p>
    <w:p>
      <w:pPr>
        <w:spacing w:after="0" w:line="177" w:lineRule="exact"/>
        <w:rPr>
          <w:sz w:val="20"/>
          <w:szCs w:val="20"/>
          <w:color w:val="auto"/>
        </w:rPr>
      </w:pPr>
    </w:p>
    <w:p>
      <w:pPr>
        <w:ind w:right="240" w:firstLine="630"/>
        <w:spacing w:after="0" w:line="268" w:lineRule="auto"/>
        <w:rPr>
          <w:sz w:val="20"/>
          <w:szCs w:val="20"/>
          <w:color w:val="auto"/>
        </w:rPr>
      </w:pPr>
      <w:r>
        <w:rPr>
          <w:rFonts w:ascii="Arial" w:cs="Arial" w:eastAsia="Arial" w:hAnsi="Arial"/>
          <w:sz w:val="17"/>
          <w:szCs w:val="17"/>
          <w:color w:val="auto"/>
        </w:rPr>
        <w:t>Pursuant to the Exchange Agreement, on February 15, 2018, certain current and former employees elected to exchange 420,521 Virtu Financial Units (along with the corresponding shares of our Class C common stock) held directly or on their behalf on a one-for-one basis for shares of our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127"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61"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219"/>
          </w:cols>
          <w:pgMar w:left="240" w:top="127" w:right="1440"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120" w:type="dxa"/>
            <w:vAlign w:val="bottom"/>
            <w:gridSpan w:val="24"/>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5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3.1</w:t>
            </w:r>
          </w:p>
        </w:tc>
        <w:tc>
          <w:tcPr>
            <w:tcW w:w="5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040" w:type="dxa"/>
            <w:vAlign w:val="bottom"/>
            <w:tcBorders>
              <w:top w:val="single" w:sz="8" w:color="auto"/>
              <w:bottom w:val="single" w:sz="8" w:color="0000FF"/>
            </w:tcBorders>
            <w:gridSpan w:val="19"/>
          </w:tcPr>
          <w:p>
            <w:pPr>
              <w:spacing w:after="0"/>
              <w:rPr>
                <w:rFonts w:ascii="Arial" w:cs="Arial" w:eastAsia="Arial" w:hAnsi="Arial"/>
                <w:sz w:val="17"/>
                <w:szCs w:val="17"/>
                <w:color w:val="0000FF"/>
                <w:w w:val="94"/>
              </w:rPr>
            </w:pPr>
            <w:hyperlink r:id="rId18">
              <w:r>
                <w:rPr>
                  <w:rFonts w:ascii="Arial" w:cs="Arial" w:eastAsia="Arial" w:hAnsi="Arial"/>
                  <w:sz w:val="17"/>
                  <w:szCs w:val="17"/>
                  <w:color w:val="0000FF"/>
                  <w:w w:val="94"/>
                </w:rPr>
                <w:t>Amended and Restated Certificate of Incorporation of Virtu Financial, Inc. (incorporated herein by reference to Exhibit 3.1 to the</w:t>
              </w:r>
            </w:hyperlink>
          </w:p>
        </w:tc>
        <w:tc>
          <w:tcPr>
            <w:tcW w:w="280" w:type="dxa"/>
            <w:vAlign w:val="bottom"/>
            <w:tcBorders>
              <w:top w:val="single" w:sz="8" w:color="auto"/>
            </w:tcBorders>
            <w:gridSpan w:val="10"/>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0" w:type="dxa"/>
            <w:vAlign w:val="bottom"/>
            <w:tcBorders>
              <w:bottom w:val="single" w:sz="8" w:color="0000FF"/>
            </w:tcBorders>
            <w:gridSpan w:val="12"/>
          </w:tcPr>
          <w:p>
            <w:pPr>
              <w:spacing w:after="0" w:line="190" w:lineRule="exact"/>
              <w:rPr>
                <w:rFonts w:ascii="Arial" w:cs="Arial" w:eastAsia="Arial" w:hAnsi="Arial"/>
                <w:sz w:val="17"/>
                <w:szCs w:val="17"/>
                <w:color w:val="0000FF"/>
                <w:w w:val="93"/>
              </w:rPr>
            </w:pPr>
            <w:hyperlink r:id="rId18">
              <w:r>
                <w:rPr>
                  <w:rFonts w:ascii="Arial" w:cs="Arial" w:eastAsia="Arial" w:hAnsi="Arial"/>
                  <w:sz w:val="17"/>
                  <w:szCs w:val="17"/>
                  <w:color w:val="0000FF"/>
                  <w:w w:val="93"/>
                </w:rPr>
                <w:t>Company's Quarterly Report on Form 10-Q, as amended (File No. 001-37352) filed on May 29, 2015).</w:t>
              </w:r>
            </w:hyperlink>
          </w:p>
        </w:tc>
        <w:tc>
          <w:tcPr>
            <w:tcW w:w="2120" w:type="dxa"/>
            <w:vAlign w:val="bottom"/>
            <w:gridSpan w:val="17"/>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3.2</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40" w:type="dxa"/>
            <w:vAlign w:val="bottom"/>
            <w:tcBorders>
              <w:bottom w:val="single" w:sz="8" w:color="0000FF"/>
            </w:tcBorders>
            <w:gridSpan w:val="26"/>
          </w:tcPr>
          <w:p>
            <w:pPr>
              <w:spacing w:after="0"/>
              <w:rPr>
                <w:rFonts w:ascii="Arial" w:cs="Arial" w:eastAsia="Arial" w:hAnsi="Arial"/>
                <w:sz w:val="17"/>
                <w:szCs w:val="17"/>
                <w:color w:val="0000FF"/>
                <w:w w:val="93"/>
              </w:rPr>
            </w:pPr>
            <w:hyperlink r:id="rId19">
              <w:r>
                <w:rPr>
                  <w:rFonts w:ascii="Arial" w:cs="Arial" w:eastAsia="Arial" w:hAnsi="Arial"/>
                  <w:sz w:val="17"/>
                  <w:szCs w:val="17"/>
                  <w:color w:val="0000FF"/>
                  <w:w w:val="93"/>
                </w:rPr>
                <w:t>Amended and Restated By-laws of Virtu Financial, Inc. (incorporated herein by reference to Exhibit 3.2 to the Company's Quarterly</w:t>
              </w:r>
            </w:hyperlink>
          </w:p>
        </w:tc>
        <w:tc>
          <w:tcPr>
            <w:tcW w:w="80" w:type="dxa"/>
            <w:vAlign w:val="bottom"/>
            <w:gridSpan w:val="3"/>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9"/>
          </w:tcPr>
          <w:p>
            <w:pPr>
              <w:spacing w:after="0" w:line="190" w:lineRule="exact"/>
              <w:rPr>
                <w:rFonts w:ascii="Arial" w:cs="Arial" w:eastAsia="Arial" w:hAnsi="Arial"/>
                <w:sz w:val="17"/>
                <w:szCs w:val="17"/>
                <w:color w:val="0000FF"/>
              </w:rPr>
            </w:pPr>
            <w:hyperlink r:id="rId19">
              <w:r>
                <w:rPr>
                  <w:rFonts w:ascii="Arial" w:cs="Arial" w:eastAsia="Arial" w:hAnsi="Arial"/>
                  <w:sz w:val="17"/>
                  <w:szCs w:val="17"/>
                  <w:color w:val="0000FF"/>
                </w:rPr>
                <w:t>Report on Form 10-Q, as amended (File No. 001-37352), filed on May 29, 2015).</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10.1</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9"/>
          </w:tcPr>
          <w:p>
            <w:pPr>
              <w:spacing w:after="0"/>
              <w:rPr>
                <w:rFonts w:ascii="Arial" w:cs="Arial" w:eastAsia="Arial" w:hAnsi="Arial"/>
                <w:sz w:val="17"/>
                <w:szCs w:val="17"/>
                <w:color w:val="0000FF"/>
                <w:w w:val="96"/>
              </w:rPr>
            </w:pPr>
            <w:hyperlink r:id="rId20">
              <w:r>
                <w:rPr>
                  <w:rFonts w:ascii="Arial" w:cs="Arial" w:eastAsia="Arial" w:hAnsi="Arial"/>
                  <w:sz w:val="17"/>
                  <w:szCs w:val="17"/>
                  <w:color w:val="0000FF"/>
                  <w:w w:val="96"/>
                </w:rPr>
                <w:t>Amended and Restated Registration Rights Agreement, dated April 20, 2017, by and among Virtu Financial, Inc., TJMT Holdings</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100" w:type="dxa"/>
            <w:vAlign w:val="bottom"/>
            <w:tcBorders>
              <w:top w:val="single" w:sz="8" w:color="0000FF"/>
            </w:tcBorders>
            <w:gridSpan w:val="22"/>
          </w:tcPr>
          <w:p>
            <w:pPr>
              <w:spacing w:after="0" w:line="190" w:lineRule="exact"/>
              <w:rPr>
                <w:rFonts w:ascii="Arial" w:cs="Arial" w:eastAsia="Arial" w:hAnsi="Arial"/>
                <w:sz w:val="17"/>
                <w:szCs w:val="17"/>
                <w:color w:val="0000FF"/>
                <w:w w:val="95"/>
              </w:rPr>
            </w:pPr>
            <w:hyperlink r:id="rId20">
              <w:r>
                <w:rPr>
                  <w:rFonts w:ascii="Arial" w:cs="Arial" w:eastAsia="Arial" w:hAnsi="Arial"/>
                  <w:sz w:val="17"/>
                  <w:szCs w:val="17"/>
                  <w:color w:val="0000FF"/>
                  <w:w w:val="95"/>
                </w:rPr>
                <w:t>LLC, Aranda Investments Pte. Ltd., Havelock Fund Investments Pte Ltd., North Island Holdings I, LP and the additional holders</w:t>
              </w:r>
            </w:hyperlink>
          </w:p>
        </w:tc>
        <w:tc>
          <w:tcPr>
            <w:tcW w:w="220" w:type="dxa"/>
            <w:vAlign w:val="bottom"/>
            <w:gridSpan w:val="7"/>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60" w:type="dxa"/>
            <w:vAlign w:val="bottom"/>
            <w:tcBorders>
              <w:bottom w:val="single" w:sz="8" w:color="0000FF"/>
            </w:tcBorders>
            <w:gridSpan w:val="20"/>
          </w:tcPr>
          <w:p>
            <w:pPr>
              <w:spacing w:after="0" w:line="190" w:lineRule="exact"/>
              <w:rPr>
                <w:rFonts w:ascii="Arial" w:cs="Arial" w:eastAsia="Arial" w:hAnsi="Arial"/>
                <w:sz w:val="17"/>
                <w:szCs w:val="17"/>
                <w:color w:val="0000FF"/>
                <w:w w:val="93"/>
              </w:rPr>
            </w:pPr>
            <w:hyperlink r:id="rId20">
              <w:r>
                <w:rPr>
                  <w:rFonts w:ascii="Arial" w:cs="Arial" w:eastAsia="Arial" w:hAnsi="Arial"/>
                  <w:sz w:val="17"/>
                  <w:szCs w:val="17"/>
                  <w:color w:val="0000FF"/>
                  <w:w w:val="93"/>
                </w:rPr>
                <w:t>named therein (incorporated herein by reference to Exhibit 10.3 to the Company’s Quarterly Report on Form 10-Q (File No. 001-</w:t>
              </w:r>
            </w:hyperlink>
          </w:p>
        </w:tc>
        <w:tc>
          <w:tcPr>
            <w:tcW w:w="260" w:type="dxa"/>
            <w:vAlign w:val="bottom"/>
            <w:gridSpan w:val="9"/>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tcBorders>
              <w:bottom w:val="single" w:sz="8" w:color="0000FF"/>
            </w:tcBorders>
            <w:gridSpan w:val="3"/>
          </w:tcPr>
          <w:p>
            <w:pPr>
              <w:spacing w:after="0" w:line="190" w:lineRule="exact"/>
              <w:rPr>
                <w:rFonts w:ascii="Arial" w:cs="Arial" w:eastAsia="Arial" w:hAnsi="Arial"/>
                <w:sz w:val="17"/>
                <w:szCs w:val="17"/>
                <w:color w:val="0000FF"/>
                <w:w w:val="94"/>
              </w:rPr>
            </w:pPr>
            <w:hyperlink r:id="rId20">
              <w:r>
                <w:rPr>
                  <w:rFonts w:ascii="Arial" w:cs="Arial" w:eastAsia="Arial" w:hAnsi="Arial"/>
                  <w:sz w:val="17"/>
                  <w:szCs w:val="17"/>
                  <w:color w:val="0000FF"/>
                  <w:w w:val="94"/>
                </w:rPr>
                <w:t>37352)</w:t>
              </w:r>
              <w:r>
                <w:rPr>
                  <w:rFonts w:ascii="Arial" w:cs="Arial" w:eastAsia="Arial" w:hAnsi="Arial"/>
                  <w:sz w:val="17"/>
                  <w:szCs w:val="17"/>
                  <w:u w:val="single" w:color="auto"/>
                  <w:color w:val="0000FF"/>
                  <w:w w:val="94"/>
                </w:rPr>
                <w:t>,</w:t>
              </w:r>
              <w:r>
                <w:rPr>
                  <w:rFonts w:ascii="Arial" w:cs="Arial" w:eastAsia="Arial" w:hAnsi="Arial"/>
                  <w:sz w:val="17"/>
                  <w:szCs w:val="17"/>
                  <w:color w:val="0000FF"/>
                  <w:w w:val="94"/>
                </w:rPr>
                <w:t xml:space="preserve"> filed on May 10, 2017).</w:t>
              </w:r>
            </w:hyperlink>
          </w:p>
        </w:tc>
        <w:tc>
          <w:tcPr>
            <w:tcW w:w="7080" w:type="dxa"/>
            <w:vAlign w:val="bottom"/>
            <w:gridSpan w:val="26"/>
          </w:tcPr>
          <w:p>
            <w:pPr>
              <w:spacing w:after="0"/>
              <w:rPr>
                <w:sz w:val="16"/>
                <w:szCs w:val="16"/>
                <w:color w:val="auto"/>
              </w:rPr>
            </w:pPr>
          </w:p>
        </w:tc>
      </w:tr>
      <w:tr>
        <w:trPr>
          <w:trHeight w:val="452"/>
        </w:trPr>
        <w:tc>
          <w:tcPr>
            <w:tcW w:w="1500" w:type="dxa"/>
            <w:vAlign w:val="bottom"/>
          </w:tcPr>
          <w:p>
            <w:pPr>
              <w:ind w:left="40"/>
              <w:spacing w:after="0"/>
              <w:rPr>
                <w:sz w:val="20"/>
                <w:szCs w:val="20"/>
                <w:color w:val="auto"/>
              </w:rPr>
            </w:pPr>
            <w:r>
              <w:rPr>
                <w:rFonts w:ascii="Arial" w:cs="Arial" w:eastAsia="Arial" w:hAnsi="Arial"/>
                <w:sz w:val="17"/>
                <w:szCs w:val="17"/>
                <w:color w:val="auto"/>
              </w:rPr>
              <w:t>10.2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9"/>
          </w:tcPr>
          <w:p>
            <w:pPr>
              <w:spacing w:after="0"/>
              <w:rPr>
                <w:rFonts w:ascii="Arial" w:cs="Arial" w:eastAsia="Arial" w:hAnsi="Arial"/>
                <w:sz w:val="17"/>
                <w:szCs w:val="17"/>
                <w:color w:val="0000FF"/>
                <w:w w:val="98"/>
              </w:rPr>
            </w:pPr>
            <w:hyperlink r:id="rId21">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0" w:type="dxa"/>
            <w:vAlign w:val="bottom"/>
            <w:tcBorders>
              <w:bottom w:val="single" w:sz="8" w:color="0000FF"/>
            </w:tcBorders>
            <w:gridSpan w:val="24"/>
          </w:tcPr>
          <w:p>
            <w:pPr>
              <w:spacing w:after="0" w:line="190" w:lineRule="exact"/>
              <w:rPr>
                <w:rFonts w:ascii="Arial" w:cs="Arial" w:eastAsia="Arial" w:hAnsi="Arial"/>
                <w:sz w:val="17"/>
                <w:szCs w:val="17"/>
                <w:color w:val="0000FF"/>
                <w:w w:val="93"/>
              </w:rPr>
            </w:pPr>
            <w:hyperlink r:id="rId21">
              <w:r>
                <w:rPr>
                  <w:rFonts w:ascii="Arial" w:cs="Arial" w:eastAsia="Arial" w:hAnsi="Arial"/>
                  <w:sz w:val="17"/>
                  <w:szCs w:val="17"/>
                  <w:color w:val="0000FF"/>
                  <w:w w:val="93"/>
                </w:rPr>
                <w:t>dated as of January 23, 2018, by and between Virtu Financial, Inc. and Joseph Molluso (incorporated herein by reference to Exhibit</w:t>
              </w:r>
            </w:hyperlink>
          </w:p>
        </w:tc>
        <w:tc>
          <w:tcPr>
            <w:tcW w:w="120" w:type="dxa"/>
            <w:vAlign w:val="bottom"/>
            <w:gridSpan w:val="5"/>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120" w:type="dxa"/>
            <w:vAlign w:val="bottom"/>
            <w:tcBorders>
              <w:bottom w:val="single" w:sz="8" w:color="0000FF"/>
            </w:tcBorders>
            <w:gridSpan w:val="11"/>
          </w:tcPr>
          <w:p>
            <w:pPr>
              <w:spacing w:after="0" w:line="190" w:lineRule="exact"/>
              <w:rPr>
                <w:rFonts w:ascii="Arial" w:cs="Arial" w:eastAsia="Arial" w:hAnsi="Arial"/>
                <w:sz w:val="17"/>
                <w:szCs w:val="17"/>
                <w:color w:val="0000FF"/>
                <w:w w:val="94"/>
              </w:rPr>
            </w:pPr>
            <w:hyperlink r:id="rId21">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8</w:t>
              </w:r>
              <w:r>
                <w:rPr>
                  <w:rFonts w:ascii="Arial" w:cs="Arial" w:eastAsia="Arial" w:hAnsi="Arial"/>
                  <w:sz w:val="17"/>
                  <w:szCs w:val="17"/>
                  <w:color w:val="0000FF"/>
                  <w:w w:val="94"/>
                </w:rPr>
                <w:t xml:space="preserve"> to the Company’s Annual Report on Form 10-K (File No. 001-37352), filed on March 13, 2018).</w:t>
              </w:r>
            </w:hyperlink>
          </w:p>
        </w:tc>
        <w:tc>
          <w:tcPr>
            <w:tcW w:w="2200" w:type="dxa"/>
            <w:vAlign w:val="bottom"/>
            <w:gridSpan w:val="18"/>
          </w:tcPr>
          <w:p>
            <w:pPr>
              <w:spacing w:after="0"/>
              <w:rPr>
                <w:sz w:val="16"/>
                <w:szCs w:val="16"/>
                <w:color w:val="auto"/>
              </w:rPr>
            </w:pPr>
          </w:p>
        </w:tc>
      </w:tr>
      <w:tr>
        <w:trPr>
          <w:trHeight w:val="452"/>
        </w:trPr>
        <w:tc>
          <w:tcPr>
            <w:tcW w:w="1500" w:type="dxa"/>
            <w:vAlign w:val="bottom"/>
          </w:tcPr>
          <w:p>
            <w:pPr>
              <w:ind w:left="40"/>
              <w:spacing w:after="0"/>
              <w:rPr>
                <w:sz w:val="20"/>
                <w:szCs w:val="20"/>
                <w:color w:val="auto"/>
              </w:rPr>
            </w:pPr>
            <w:r>
              <w:rPr>
                <w:rFonts w:ascii="Arial" w:cs="Arial" w:eastAsia="Arial" w:hAnsi="Arial"/>
                <w:sz w:val="17"/>
                <w:szCs w:val="17"/>
                <w:color w:val="auto"/>
              </w:rPr>
              <w:t>10.3</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9"/>
          </w:tcPr>
          <w:p>
            <w:pPr>
              <w:spacing w:after="0"/>
              <w:rPr>
                <w:rFonts w:ascii="Arial" w:cs="Arial" w:eastAsia="Arial" w:hAnsi="Arial"/>
                <w:sz w:val="17"/>
                <w:szCs w:val="17"/>
                <w:color w:val="0000FF"/>
                <w:w w:val="98"/>
              </w:rPr>
            </w:pPr>
            <w:hyperlink r:id="rId22">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40" w:type="dxa"/>
            <w:vAlign w:val="bottom"/>
            <w:tcBorders>
              <w:bottom w:val="single" w:sz="8" w:color="0000FF"/>
            </w:tcBorders>
            <w:gridSpan w:val="26"/>
          </w:tcPr>
          <w:p>
            <w:pPr>
              <w:spacing w:after="0" w:line="190" w:lineRule="exact"/>
              <w:rPr>
                <w:rFonts w:ascii="Arial" w:cs="Arial" w:eastAsia="Arial" w:hAnsi="Arial"/>
                <w:sz w:val="17"/>
                <w:szCs w:val="17"/>
                <w:color w:val="0000FF"/>
                <w:w w:val="93"/>
              </w:rPr>
            </w:pPr>
            <w:hyperlink r:id="rId22">
              <w:r>
                <w:rPr>
                  <w:rFonts w:ascii="Arial" w:cs="Arial" w:eastAsia="Arial" w:hAnsi="Arial"/>
                  <w:sz w:val="17"/>
                  <w:szCs w:val="17"/>
                  <w:color w:val="0000FF"/>
                  <w:w w:val="93"/>
                </w:rPr>
                <w:t>dated as of January 23, 2018, by and between Virtu Financial, Inc. and Douglas A. Cifu (incorporated herein by reference to Exhibit</w:t>
              </w:r>
            </w:hyperlink>
          </w:p>
        </w:tc>
        <w:tc>
          <w:tcPr>
            <w:tcW w:w="80" w:type="dxa"/>
            <w:vAlign w:val="bottom"/>
            <w:gridSpan w:val="3"/>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120" w:type="dxa"/>
            <w:vAlign w:val="bottom"/>
            <w:tcBorders>
              <w:bottom w:val="single" w:sz="8" w:color="0000FF"/>
            </w:tcBorders>
            <w:gridSpan w:val="11"/>
          </w:tcPr>
          <w:p>
            <w:pPr>
              <w:spacing w:after="0" w:line="190" w:lineRule="exact"/>
              <w:rPr>
                <w:rFonts w:ascii="Arial" w:cs="Arial" w:eastAsia="Arial" w:hAnsi="Arial"/>
                <w:sz w:val="17"/>
                <w:szCs w:val="17"/>
                <w:color w:val="0000FF"/>
                <w:w w:val="94"/>
              </w:rPr>
            </w:pPr>
            <w:hyperlink r:id="rId22">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9</w:t>
              </w:r>
              <w:r>
                <w:rPr>
                  <w:rFonts w:ascii="Arial" w:cs="Arial" w:eastAsia="Arial" w:hAnsi="Arial"/>
                  <w:sz w:val="17"/>
                  <w:szCs w:val="17"/>
                  <w:color w:val="0000FF"/>
                  <w:w w:val="94"/>
                </w:rPr>
                <w:t xml:space="preserve"> to the Company’s Annual Report on Form 10-K (File No. 001-37352), filed on March 13, 2018).</w:t>
              </w:r>
            </w:hyperlink>
          </w:p>
        </w:tc>
        <w:tc>
          <w:tcPr>
            <w:tcW w:w="2200" w:type="dxa"/>
            <w:vAlign w:val="bottom"/>
            <w:gridSpan w:val="18"/>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10.4</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20" w:type="dxa"/>
            <w:vAlign w:val="bottom"/>
            <w:tcBorders>
              <w:bottom w:val="single" w:sz="8" w:color="0000FF"/>
            </w:tcBorders>
            <w:gridSpan w:val="25"/>
          </w:tcPr>
          <w:p>
            <w:pPr>
              <w:spacing w:after="0"/>
              <w:rPr>
                <w:rFonts w:ascii="Arial" w:cs="Arial" w:eastAsia="Arial" w:hAnsi="Arial"/>
                <w:sz w:val="17"/>
                <w:szCs w:val="17"/>
                <w:color w:val="0000FF"/>
                <w:w w:val="93"/>
              </w:rPr>
            </w:pPr>
            <w:hyperlink r:id="rId23">
              <w:r>
                <w:rPr>
                  <w:rFonts w:ascii="Arial" w:cs="Arial" w:eastAsia="Arial" w:hAnsi="Arial"/>
                  <w:sz w:val="17"/>
                  <w:szCs w:val="17"/>
                  <w:color w:val="0000FF"/>
                  <w:w w:val="93"/>
                </w:rPr>
                <w:t>Virtu Financial, Inc. 2015 Amended and Restated Management Incentive Plan Employee Restricted Stock Award Agreement, dated</w:t>
              </w:r>
            </w:hyperlink>
          </w:p>
        </w:tc>
        <w:tc>
          <w:tcPr>
            <w:tcW w:w="100" w:type="dxa"/>
            <w:vAlign w:val="bottom"/>
            <w:gridSpan w:val="4"/>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60" w:type="dxa"/>
            <w:vAlign w:val="bottom"/>
            <w:tcBorders>
              <w:bottom w:val="single" w:sz="8" w:color="0000FF"/>
            </w:tcBorders>
            <w:gridSpan w:val="27"/>
          </w:tcPr>
          <w:p>
            <w:pPr>
              <w:spacing w:after="0" w:line="190" w:lineRule="exact"/>
              <w:rPr>
                <w:rFonts w:ascii="Arial" w:cs="Arial" w:eastAsia="Arial" w:hAnsi="Arial"/>
                <w:sz w:val="17"/>
                <w:szCs w:val="17"/>
                <w:color w:val="0000FF"/>
                <w:w w:val="93"/>
              </w:rPr>
            </w:pPr>
            <w:hyperlink r:id="rId23">
              <w:r>
                <w:rPr>
                  <w:rFonts w:ascii="Arial" w:cs="Arial" w:eastAsia="Arial" w:hAnsi="Arial"/>
                  <w:sz w:val="17"/>
                  <w:szCs w:val="17"/>
                  <w:color w:val="0000FF"/>
                  <w:w w:val="93"/>
                </w:rPr>
                <w:t>as of February 2, 2018, by and between Virtu Financial, Inc. and Douglas A. Cifu (incorporated herein by reference to Exhibit 10.10</w:t>
              </w:r>
            </w:hyperlink>
          </w:p>
        </w:tc>
        <w:tc>
          <w:tcPr>
            <w:tcW w:w="60" w:type="dxa"/>
            <w:vAlign w:val="bottom"/>
            <w:gridSpan w:val="2"/>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9"/>
          </w:tcPr>
          <w:p>
            <w:pPr>
              <w:spacing w:after="0" w:line="190" w:lineRule="exact"/>
              <w:rPr>
                <w:rFonts w:ascii="Arial" w:cs="Arial" w:eastAsia="Arial" w:hAnsi="Arial"/>
                <w:sz w:val="17"/>
                <w:szCs w:val="17"/>
                <w:color w:val="0000FF"/>
              </w:rPr>
            </w:pPr>
            <w:hyperlink r:id="rId23">
              <w:r>
                <w:rPr>
                  <w:rFonts w:ascii="Arial" w:cs="Arial" w:eastAsia="Arial" w:hAnsi="Arial"/>
                  <w:sz w:val="17"/>
                  <w:szCs w:val="17"/>
                  <w:color w:val="0000FF"/>
                </w:rPr>
                <w:t>to the Company’s Annual Report on Form 10-K (File No. 001-37352), filed on March 13, 2018).</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10.5*</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9"/>
          </w:tcPr>
          <w:p>
            <w:pPr>
              <w:spacing w:after="0"/>
              <w:rPr>
                <w:rFonts w:ascii="Arial" w:cs="Arial" w:eastAsia="Arial" w:hAnsi="Arial"/>
                <w:sz w:val="17"/>
                <w:szCs w:val="17"/>
                <w:color w:val="0000FF"/>
                <w:w w:val="92"/>
              </w:rPr>
            </w:pPr>
            <w:hyperlink w:anchor="page91">
              <w:r>
                <w:rPr>
                  <w:rFonts w:ascii="Arial" w:cs="Arial" w:eastAsia="Arial" w:hAnsi="Arial"/>
                  <w:sz w:val="17"/>
                  <w:szCs w:val="17"/>
                  <w:color w:val="0000FF"/>
                  <w:w w:val="92"/>
                </w:rPr>
                <w:t>Amendment No. 2, dated as of September 19, 2018, to the Fourth Amended and Restated Credit Agreement, dated June 30, 2017, by</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0" w:type="dxa"/>
            <w:vAlign w:val="bottom"/>
            <w:tcBorders>
              <w:top w:val="single" w:sz="8" w:color="0000FF"/>
              <w:bottom w:val="single" w:sz="8" w:color="0000FF"/>
            </w:tcBorders>
            <w:gridSpan w:val="13"/>
          </w:tcPr>
          <w:p>
            <w:pPr>
              <w:spacing w:after="0" w:line="190" w:lineRule="exact"/>
              <w:rPr>
                <w:rFonts w:ascii="Arial" w:cs="Arial" w:eastAsia="Arial" w:hAnsi="Arial"/>
                <w:sz w:val="17"/>
                <w:szCs w:val="17"/>
                <w:color w:val="0000FF"/>
                <w:w w:val="93"/>
              </w:rPr>
            </w:pPr>
            <w:hyperlink w:anchor="page91">
              <w:r>
                <w:rPr>
                  <w:rFonts w:ascii="Arial" w:cs="Arial" w:eastAsia="Arial" w:hAnsi="Arial"/>
                  <w:sz w:val="17"/>
                  <w:szCs w:val="17"/>
                  <w:color w:val="0000FF"/>
                  <w:w w:val="93"/>
                </w:rPr>
                <w:t>and between Virtu Financial LLC, VFH Parent LLC, the lenders party thereto and JPMorgan Chase Bank, N.A.</w:t>
              </w:r>
            </w:hyperlink>
          </w:p>
        </w:tc>
        <w:tc>
          <w:tcPr>
            <w:tcW w:w="1480" w:type="dxa"/>
            <w:vAlign w:val="bottom"/>
            <w:tcBorders>
              <w:top w:val="single" w:sz="8" w:color="0000FF"/>
            </w:tcBorders>
            <w:gridSpan w:val="15"/>
          </w:tcPr>
          <w:p>
            <w:pPr>
              <w:spacing w:after="0"/>
              <w:rPr>
                <w:sz w:val="16"/>
                <w:szCs w:val="16"/>
                <w:color w:val="auto"/>
              </w:rPr>
            </w:pPr>
          </w:p>
        </w:tc>
        <w:tc>
          <w:tcPr>
            <w:tcW w:w="40" w:type="dxa"/>
            <w:vAlign w:val="bottom"/>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10.6</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60" w:type="dxa"/>
            <w:vAlign w:val="bottom"/>
            <w:tcBorders>
              <w:bottom w:val="single" w:sz="8" w:color="0000FF"/>
            </w:tcBorders>
            <w:gridSpan w:val="27"/>
          </w:tcPr>
          <w:p>
            <w:pPr>
              <w:spacing w:after="0"/>
              <w:rPr>
                <w:rFonts w:ascii="Arial" w:cs="Arial" w:eastAsia="Arial" w:hAnsi="Arial"/>
                <w:sz w:val="17"/>
                <w:szCs w:val="17"/>
                <w:color w:val="0000FF"/>
                <w:w w:val="94"/>
              </w:rPr>
            </w:pPr>
            <w:hyperlink r:id="rId24">
              <w:r>
                <w:rPr>
                  <w:rFonts w:ascii="Arial" w:cs="Arial" w:eastAsia="Arial" w:hAnsi="Arial"/>
                  <w:sz w:val="17"/>
                  <w:szCs w:val="17"/>
                  <w:color w:val="0000FF"/>
                  <w:w w:val="94"/>
                </w:rPr>
                <w:t>Third Amendment, dated as of January 5, 2018, to the Third Amended and Restated Limited Liability Company Agreement of Virtu</w:t>
              </w:r>
            </w:hyperlink>
          </w:p>
        </w:tc>
        <w:tc>
          <w:tcPr>
            <w:tcW w:w="60" w:type="dxa"/>
            <w:vAlign w:val="bottom"/>
            <w:gridSpan w:val="2"/>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9"/>
          </w:tcPr>
          <w:p>
            <w:pPr>
              <w:spacing w:after="0" w:line="190" w:lineRule="exact"/>
              <w:rPr>
                <w:rFonts w:ascii="Arial" w:cs="Arial" w:eastAsia="Arial" w:hAnsi="Arial"/>
                <w:sz w:val="17"/>
                <w:szCs w:val="17"/>
                <w:color w:val="0000FF"/>
                <w:w w:val="96"/>
              </w:rPr>
            </w:pPr>
            <w:hyperlink r:id="rId24">
              <w:r>
                <w:rPr>
                  <w:rFonts w:ascii="Arial" w:cs="Arial" w:eastAsia="Arial" w:hAnsi="Arial"/>
                  <w:sz w:val="17"/>
                  <w:szCs w:val="17"/>
                  <w:color w:val="0000FF"/>
                  <w:w w:val="96"/>
                </w:rPr>
                <w:t>Financial LLC, dated as of April 15, 2015 (incorporated herein by reference to Exhibit 10.30 to the Company’s Annual Report on</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0" w:type="dxa"/>
            <w:vAlign w:val="bottom"/>
            <w:tcBorders>
              <w:top w:val="single" w:sz="8" w:color="0000FF"/>
              <w:bottom w:val="single" w:sz="8" w:color="0000FF"/>
            </w:tcBorders>
            <w:gridSpan w:val="5"/>
          </w:tcPr>
          <w:p>
            <w:pPr>
              <w:spacing w:after="0" w:line="190" w:lineRule="exact"/>
              <w:rPr>
                <w:rFonts w:ascii="Arial" w:cs="Arial" w:eastAsia="Arial" w:hAnsi="Arial"/>
                <w:sz w:val="17"/>
                <w:szCs w:val="17"/>
                <w:color w:val="0000FF"/>
                <w:w w:val="95"/>
              </w:rPr>
            </w:pPr>
            <w:hyperlink r:id="rId24">
              <w:r>
                <w:rPr>
                  <w:rFonts w:ascii="Arial" w:cs="Arial" w:eastAsia="Arial" w:hAnsi="Arial"/>
                  <w:sz w:val="17"/>
                  <w:szCs w:val="17"/>
                  <w:color w:val="0000FF"/>
                  <w:w w:val="95"/>
                </w:rPr>
                <w:t>Form 10-K (File No. 001-37352), filed on March 13, 2018).</w:t>
              </w:r>
            </w:hyperlink>
          </w:p>
        </w:tc>
        <w:tc>
          <w:tcPr>
            <w:tcW w:w="4860" w:type="dxa"/>
            <w:vAlign w:val="bottom"/>
            <w:tcBorders>
              <w:top w:val="single" w:sz="8" w:color="0000FF"/>
            </w:tcBorders>
            <w:gridSpan w:val="15"/>
          </w:tcPr>
          <w:p>
            <w:pPr>
              <w:spacing w:after="0"/>
              <w:rPr>
                <w:sz w:val="16"/>
                <w:szCs w:val="16"/>
                <w:color w:val="auto"/>
              </w:rPr>
            </w:pPr>
          </w:p>
        </w:tc>
        <w:tc>
          <w:tcPr>
            <w:tcW w:w="260" w:type="dxa"/>
            <w:vAlign w:val="bottom"/>
            <w:gridSpan w:val="9"/>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10.7</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9"/>
          </w:tcPr>
          <w:p>
            <w:pPr>
              <w:spacing w:after="0"/>
              <w:rPr>
                <w:rFonts w:ascii="Arial" w:cs="Arial" w:eastAsia="Arial" w:hAnsi="Arial"/>
                <w:sz w:val="17"/>
                <w:szCs w:val="17"/>
                <w:color w:val="0000FF"/>
              </w:rPr>
            </w:pPr>
            <w:hyperlink w:anchor="page187">
              <w:r>
                <w:rPr>
                  <w:rFonts w:ascii="Arial" w:cs="Arial" w:eastAsia="Arial" w:hAnsi="Arial"/>
                  <w:sz w:val="17"/>
                  <w:szCs w:val="17"/>
                  <w:color w:val="0000FF"/>
                </w:rPr>
                <w:t>Employment Agreement, dated as of June 24, 2015, by and between Stephen Cavoli and Virtu Financial Operating</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9"/>
          </w:tcPr>
          <w:p>
            <w:pPr>
              <w:spacing w:after="0" w:line="190" w:lineRule="exact"/>
              <w:rPr>
                <w:rFonts w:ascii="Arial" w:cs="Arial" w:eastAsia="Arial" w:hAnsi="Arial"/>
                <w:sz w:val="17"/>
                <w:szCs w:val="17"/>
                <w:color w:val="0000FF"/>
                <w:w w:val="97"/>
              </w:rPr>
            </w:pPr>
            <w:hyperlink w:anchor="page187">
              <w:r>
                <w:rPr>
                  <w:rFonts w:ascii="Arial" w:cs="Arial" w:eastAsia="Arial" w:hAnsi="Arial"/>
                  <w:sz w:val="17"/>
                  <w:szCs w:val="17"/>
                  <w:color w:val="0000FF"/>
                  <w:w w:val="97"/>
                </w:rPr>
                <w:t xml:space="preserve">LLC </w:t>
              </w:r>
              <w:r>
                <w:rPr>
                  <w:rFonts w:ascii="Arial" w:cs="Arial" w:eastAsia="Arial" w:hAnsi="Arial"/>
                  <w:sz w:val="17"/>
                  <w:szCs w:val="17"/>
                  <w:color w:val="000000"/>
                  <w:w w:val="97"/>
                </w:rPr>
                <w:t>(incorporated by reference to Exhibit 10.7 to the Company's Quarterly Report on Form 10-Q (File No. 001-</w:t>
              </w:r>
            </w:hyperlink>
            <w:r>
              <w:rPr>
                <w:rFonts w:ascii="Arial" w:cs="Arial" w:eastAsia="Arial" w:hAnsi="Arial"/>
                <w:sz w:val="17"/>
                <w:szCs w:val="17"/>
                <w:color w:val="0000FF"/>
                <w:w w:val="97"/>
              </w:rPr>
              <w:t xml:space="preserve">37352), </w:t>
            </w:r>
            <w:r>
              <w:rPr>
                <w:rFonts w:ascii="Arial" w:cs="Arial" w:eastAsia="Arial" w:hAnsi="Arial"/>
                <w:sz w:val="17"/>
                <w:szCs w:val="17"/>
                <w:color w:val="000000"/>
                <w:w w:val="97"/>
              </w:rPr>
              <w:t>filed on</w:t>
            </w: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9"/>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9"/>
          </w:tcPr>
          <w:p>
            <w:pPr>
              <w:spacing w:after="0"/>
              <w:rPr>
                <w:sz w:val="20"/>
                <w:szCs w:val="20"/>
                <w:color w:val="auto"/>
              </w:rPr>
            </w:pPr>
            <w:r>
              <w:rPr>
                <w:rFonts w:ascii="Arial" w:cs="Arial" w:eastAsia="Arial" w:hAnsi="Arial"/>
                <w:sz w:val="17"/>
                <w:szCs w:val="17"/>
                <w:color w:val="auto"/>
              </w:rPr>
              <w:t>May 7, 2018).</w:t>
            </w:r>
          </w:p>
        </w:tc>
      </w:tr>
      <w:tr>
        <w:trPr>
          <w:trHeight w:val="224"/>
        </w:trPr>
        <w:tc>
          <w:tcPr>
            <w:tcW w:w="1500" w:type="dxa"/>
            <w:vAlign w:val="bottom"/>
          </w:tcPr>
          <w:p>
            <w:pPr>
              <w:ind w:left="40"/>
              <w:spacing w:after="0"/>
              <w:rPr>
                <w:sz w:val="20"/>
                <w:szCs w:val="20"/>
                <w:color w:val="auto"/>
              </w:rPr>
            </w:pPr>
            <w:r>
              <w:rPr>
                <w:rFonts w:ascii="Arial" w:cs="Arial" w:eastAsia="Arial" w:hAnsi="Arial"/>
                <w:sz w:val="17"/>
                <w:szCs w:val="17"/>
                <w:color w:val="auto"/>
              </w:rPr>
              <w:t>10.8</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9"/>
          </w:tcPr>
          <w:p>
            <w:pPr>
              <w:spacing w:after="0"/>
              <w:rPr>
                <w:rFonts w:ascii="Arial" w:cs="Arial" w:eastAsia="Arial" w:hAnsi="Arial"/>
                <w:sz w:val="17"/>
                <w:szCs w:val="17"/>
                <w:color w:val="0000FF"/>
                <w:w w:val="96"/>
              </w:rPr>
            </w:pPr>
            <w:hyperlink w:anchor="page190">
              <w:r>
                <w:rPr>
                  <w:rFonts w:ascii="Arial" w:cs="Arial" w:eastAsia="Arial" w:hAnsi="Arial"/>
                  <w:sz w:val="17"/>
                  <w:szCs w:val="17"/>
                  <w:color w:val="0000FF"/>
                  <w:w w:val="96"/>
                </w:rPr>
                <w:t>Virtu Financial, Inc. 2015 Management Incentive Plan Employee Restricted Stock Unit Award Agreement, dated as of August 24,</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top w:val="single" w:sz="8" w:color="0000FF"/>
            </w:tcBorders>
            <w:gridSpan w:val="21"/>
          </w:tcPr>
          <w:p>
            <w:pPr>
              <w:spacing w:after="0" w:line="190" w:lineRule="exact"/>
              <w:rPr>
                <w:rFonts w:ascii="Arial" w:cs="Arial" w:eastAsia="Arial" w:hAnsi="Arial"/>
                <w:sz w:val="17"/>
                <w:szCs w:val="17"/>
                <w:color w:val="0000FF"/>
                <w:w w:val="98"/>
              </w:rPr>
            </w:pPr>
            <w:hyperlink w:anchor="page190">
              <w:r>
                <w:rPr>
                  <w:rFonts w:ascii="Arial" w:cs="Arial" w:eastAsia="Arial" w:hAnsi="Arial"/>
                  <w:sz w:val="17"/>
                  <w:szCs w:val="17"/>
                  <w:color w:val="0000FF"/>
                  <w:w w:val="98"/>
                </w:rPr>
                <w:t xml:space="preserve">2015, by and between Virtu Financial, Inc. and Stephen Cavoli </w:t>
              </w:r>
              <w:r>
                <w:rPr>
                  <w:rFonts w:ascii="Arial" w:cs="Arial" w:eastAsia="Arial" w:hAnsi="Arial"/>
                  <w:sz w:val="17"/>
                  <w:szCs w:val="17"/>
                  <w:color w:val="000000"/>
                  <w:w w:val="98"/>
                </w:rPr>
                <w:t>(incorporated by reference to Exhibit 10.8 to the Company's</w:t>
              </w:r>
            </w:hyperlink>
          </w:p>
        </w:tc>
        <w:tc>
          <w:tcPr>
            <w:tcW w:w="240" w:type="dxa"/>
            <w:vAlign w:val="bottom"/>
            <w:gridSpan w:val="8"/>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9"/>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9"/>
          </w:tcPr>
          <w:p>
            <w:pPr>
              <w:spacing w:after="0"/>
              <w:rPr>
                <w:sz w:val="20"/>
                <w:szCs w:val="20"/>
                <w:color w:val="auto"/>
              </w:rPr>
            </w:pPr>
            <w:r>
              <w:rPr>
                <w:rFonts w:ascii="Arial" w:cs="Arial" w:eastAsia="Arial" w:hAnsi="Arial"/>
                <w:sz w:val="17"/>
                <w:szCs w:val="17"/>
                <w:color w:val="auto"/>
              </w:rPr>
              <w:t>Quarterly Report on Form 10-Q (File No. 001-37352), filed on May 7, 2018).</w:t>
            </w:r>
          </w:p>
        </w:tc>
      </w:tr>
      <w:tr>
        <w:trPr>
          <w:trHeight w:val="224"/>
        </w:trPr>
        <w:tc>
          <w:tcPr>
            <w:tcW w:w="1500" w:type="dxa"/>
            <w:vAlign w:val="bottom"/>
          </w:tcPr>
          <w:p>
            <w:pPr>
              <w:ind w:left="40"/>
              <w:spacing w:after="0"/>
              <w:rPr>
                <w:sz w:val="20"/>
                <w:szCs w:val="20"/>
                <w:color w:val="auto"/>
              </w:rPr>
            </w:pPr>
            <w:r>
              <w:rPr>
                <w:rFonts w:ascii="Arial" w:cs="Arial" w:eastAsia="Arial" w:hAnsi="Arial"/>
                <w:sz w:val="17"/>
                <w:szCs w:val="17"/>
                <w:color w:val="auto"/>
              </w:rPr>
              <w:t>10.9</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9"/>
          </w:tcPr>
          <w:p>
            <w:pPr>
              <w:spacing w:after="0"/>
              <w:rPr>
                <w:rFonts w:ascii="Arial" w:cs="Arial" w:eastAsia="Arial" w:hAnsi="Arial"/>
                <w:sz w:val="17"/>
                <w:szCs w:val="17"/>
                <w:color w:val="0000FF"/>
                <w:w w:val="98"/>
              </w:rPr>
            </w:pPr>
            <w:hyperlink w:anchor="page202">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9"/>
          </w:tcPr>
          <w:p>
            <w:pPr>
              <w:spacing w:after="0" w:line="190" w:lineRule="exact"/>
              <w:rPr>
                <w:rFonts w:ascii="Arial" w:cs="Arial" w:eastAsia="Arial" w:hAnsi="Arial"/>
                <w:sz w:val="17"/>
                <w:szCs w:val="17"/>
                <w:color w:val="0000FF"/>
                <w:w w:val="94"/>
              </w:rPr>
            </w:pPr>
            <w:hyperlink w:anchor="page202">
              <w:r>
                <w:rPr>
                  <w:rFonts w:ascii="Arial" w:cs="Arial" w:eastAsia="Arial" w:hAnsi="Arial"/>
                  <w:sz w:val="17"/>
                  <w:szCs w:val="17"/>
                  <w:color w:val="0000FF"/>
                  <w:w w:val="94"/>
                </w:rPr>
                <w:t xml:space="preserve">dated as of December 31, 2016, by and between Virtu Financial, Inc. and Stephen Cavoli </w:t>
              </w:r>
              <w:r>
                <w:rPr>
                  <w:rFonts w:ascii="Arial" w:cs="Arial" w:eastAsia="Arial" w:hAnsi="Arial"/>
                  <w:sz w:val="17"/>
                  <w:szCs w:val="17"/>
                  <w:color w:val="000000"/>
                  <w:w w:val="94"/>
                </w:rPr>
                <w:t xml:space="preserve">(incorporated by reference to Exhibit </w:t>
              </w:r>
            </w:hyperlink>
            <w:r>
              <w:rPr>
                <w:rFonts w:ascii="Arial" w:cs="Arial" w:eastAsia="Arial" w:hAnsi="Arial"/>
                <w:sz w:val="17"/>
                <w:szCs w:val="17"/>
                <w:color w:val="0000FF"/>
                <w:w w:val="94"/>
              </w:rPr>
              <w:t>10.9</w:t>
            </w: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9"/>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9"/>
          </w:tcPr>
          <w:p>
            <w:pPr>
              <w:spacing w:after="0"/>
              <w:rPr>
                <w:sz w:val="20"/>
                <w:szCs w:val="20"/>
                <w:color w:val="auto"/>
              </w:rPr>
            </w:pPr>
            <w:r>
              <w:rPr>
                <w:rFonts w:ascii="Arial" w:cs="Arial" w:eastAsia="Arial" w:hAnsi="Arial"/>
                <w:sz w:val="17"/>
                <w:szCs w:val="17"/>
                <w:color w:val="auto"/>
              </w:rPr>
              <w:t>to the Company's Quarterly Report on Form 10-Q (File No. 001-37352), filed on May 7, 2018).</w:t>
            </w:r>
          </w:p>
        </w:tc>
      </w:tr>
      <w:tr>
        <w:trPr>
          <w:trHeight w:val="434"/>
        </w:trPr>
        <w:tc>
          <w:tcPr>
            <w:tcW w:w="1500" w:type="dxa"/>
            <w:vAlign w:val="bottom"/>
          </w:tcPr>
          <w:p>
            <w:pPr>
              <w:ind w:left="40"/>
              <w:spacing w:after="0"/>
              <w:rPr>
                <w:sz w:val="20"/>
                <w:szCs w:val="20"/>
                <w:color w:val="auto"/>
              </w:rPr>
            </w:pPr>
            <w:r>
              <w:rPr>
                <w:rFonts w:ascii="Arial" w:cs="Arial" w:eastAsia="Arial" w:hAnsi="Arial"/>
                <w:sz w:val="17"/>
                <w:szCs w:val="17"/>
                <w:color w:val="auto"/>
              </w:rPr>
              <w:t>10.10</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9"/>
          </w:tcPr>
          <w:p>
            <w:pPr>
              <w:spacing w:after="0"/>
              <w:rPr>
                <w:rFonts w:ascii="Arial" w:cs="Arial" w:eastAsia="Arial" w:hAnsi="Arial"/>
                <w:sz w:val="17"/>
                <w:szCs w:val="17"/>
                <w:color w:val="0000FF"/>
                <w:w w:val="93"/>
              </w:rPr>
            </w:pPr>
            <w:hyperlink w:anchor="page87">
              <w:r>
                <w:rPr>
                  <w:rFonts w:ascii="Arial" w:cs="Arial" w:eastAsia="Arial" w:hAnsi="Arial"/>
                  <w:sz w:val="17"/>
                  <w:szCs w:val="17"/>
                  <w:color w:val="0000FF"/>
                  <w:w w:val="93"/>
                </w:rPr>
                <w:t>Virtu Financial, Inc. Amended and Restated 2015 Management Incentive Plan Employee Restricted Stock Unit Agreement, dated as</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40" w:type="dxa"/>
            <w:vAlign w:val="bottom"/>
            <w:tcBorders>
              <w:top w:val="single" w:sz="8" w:color="0000FF"/>
            </w:tcBorders>
            <w:gridSpan w:val="26"/>
          </w:tcPr>
          <w:p>
            <w:pPr>
              <w:spacing w:after="0" w:line="190" w:lineRule="exact"/>
              <w:rPr>
                <w:rFonts w:ascii="Arial" w:cs="Arial" w:eastAsia="Arial" w:hAnsi="Arial"/>
                <w:sz w:val="17"/>
                <w:szCs w:val="17"/>
                <w:color w:val="0000FF"/>
                <w:w w:val="97"/>
              </w:rPr>
            </w:pPr>
            <w:hyperlink w:anchor="page87">
              <w:r>
                <w:rPr>
                  <w:rFonts w:ascii="Arial" w:cs="Arial" w:eastAsia="Arial" w:hAnsi="Arial"/>
                  <w:sz w:val="17"/>
                  <w:szCs w:val="17"/>
                  <w:color w:val="0000FF"/>
                  <w:w w:val="97"/>
                </w:rPr>
                <w:t xml:space="preserve">of March 21, 2018, by and between Virtu Financial, Inc. and Joseph Molluso </w:t>
              </w:r>
              <w:r>
                <w:rPr>
                  <w:rFonts w:ascii="Arial" w:cs="Arial" w:eastAsia="Arial" w:hAnsi="Arial"/>
                  <w:sz w:val="17"/>
                  <w:szCs w:val="17"/>
                  <w:color w:val="000000"/>
                  <w:w w:val="97"/>
                </w:rPr>
                <w:t>(incorporated by reference to Exhibit 10.10 to the</w:t>
              </w:r>
            </w:hyperlink>
          </w:p>
        </w:tc>
        <w:tc>
          <w:tcPr>
            <w:tcW w:w="80" w:type="dxa"/>
            <w:vAlign w:val="bottom"/>
            <w:gridSpan w:val="3"/>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9"/>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9"/>
          </w:tcPr>
          <w:p>
            <w:pPr>
              <w:spacing w:after="0"/>
              <w:rPr>
                <w:sz w:val="20"/>
                <w:szCs w:val="20"/>
                <w:color w:val="auto"/>
              </w:rPr>
            </w:pPr>
            <w:r>
              <w:rPr>
                <w:rFonts w:ascii="Arial" w:cs="Arial" w:eastAsia="Arial" w:hAnsi="Arial"/>
                <w:sz w:val="17"/>
                <w:szCs w:val="17"/>
                <w:color w:val="auto"/>
              </w:rPr>
              <w:t>Company's Quarterly Report on Form 10-Q (File No. 001-373352), filed on May 7, 2018).</w:t>
            </w:r>
          </w:p>
        </w:tc>
      </w:tr>
      <w:tr>
        <w:trPr>
          <w:trHeight w:val="224"/>
        </w:trPr>
        <w:tc>
          <w:tcPr>
            <w:tcW w:w="1500" w:type="dxa"/>
            <w:vAlign w:val="bottom"/>
          </w:tcPr>
          <w:p>
            <w:pPr>
              <w:ind w:left="40"/>
              <w:spacing w:after="0"/>
              <w:rPr>
                <w:sz w:val="20"/>
                <w:szCs w:val="20"/>
                <w:color w:val="auto"/>
              </w:rPr>
            </w:pPr>
            <w:r>
              <w:rPr>
                <w:rFonts w:ascii="Arial" w:cs="Arial" w:eastAsia="Arial" w:hAnsi="Arial"/>
                <w:sz w:val="17"/>
                <w:szCs w:val="17"/>
                <w:color w:val="auto"/>
              </w:rPr>
              <w:t>10.11</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9"/>
          </w:tcPr>
          <w:p>
            <w:pPr>
              <w:spacing w:after="0"/>
              <w:rPr>
                <w:rFonts w:ascii="Arial" w:cs="Arial" w:eastAsia="Arial" w:hAnsi="Arial"/>
                <w:sz w:val="17"/>
                <w:szCs w:val="17"/>
                <w:color w:val="0000FF"/>
                <w:w w:val="98"/>
              </w:rPr>
            </w:pPr>
            <w:hyperlink r:id="rId25">
              <w:r>
                <w:rPr>
                  <w:rFonts w:ascii="Arial" w:cs="Arial" w:eastAsia="Arial" w:hAnsi="Arial"/>
                  <w:sz w:val="17"/>
                  <w:szCs w:val="17"/>
                  <w:color w:val="0000FF"/>
                  <w:w w:val="98"/>
                </w:rPr>
                <w:t>Underwriting Agreement, dated May 10, 2018, by and among Virtu Financial, Inc., Virtu Financial LLC, the selling stockholders</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340" w:type="dxa"/>
            <w:vAlign w:val="bottom"/>
            <w:gridSpan w:val="11"/>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120" w:type="dxa"/>
            <w:vAlign w:val="bottom"/>
            <w:tcBorders>
              <w:bottom w:val="single" w:sz="8" w:color="0000FF"/>
            </w:tcBorders>
            <w:gridSpan w:val="23"/>
          </w:tcPr>
          <w:p>
            <w:pPr>
              <w:spacing w:after="0" w:line="190" w:lineRule="exact"/>
              <w:rPr>
                <w:rFonts w:ascii="Arial" w:cs="Arial" w:eastAsia="Arial" w:hAnsi="Arial"/>
                <w:sz w:val="17"/>
                <w:szCs w:val="17"/>
                <w:color w:val="0000FF"/>
                <w:w w:val="93"/>
              </w:rPr>
            </w:pPr>
            <w:hyperlink r:id="rId25">
              <w:r>
                <w:rPr>
                  <w:rFonts w:ascii="Arial" w:cs="Arial" w:eastAsia="Arial" w:hAnsi="Arial"/>
                  <w:sz w:val="17"/>
                  <w:szCs w:val="17"/>
                  <w:color w:val="0000FF"/>
                  <w:w w:val="93"/>
                </w:rPr>
                <w:t>party thereto and the Underwriters (incorporated herein by reference to Exhibit 1.1 to the Company’s Current Report on Form 8-K</w:t>
              </w:r>
            </w:hyperlink>
          </w:p>
        </w:tc>
        <w:tc>
          <w:tcPr>
            <w:tcW w:w="200" w:type="dxa"/>
            <w:vAlign w:val="bottom"/>
            <w:gridSpan w:val="6"/>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40" w:type="dxa"/>
            <w:vAlign w:val="bottom"/>
            <w:tcBorders>
              <w:bottom w:val="single" w:sz="8" w:color="0000FF"/>
            </w:tcBorders>
            <w:gridSpan w:val="4"/>
          </w:tcPr>
          <w:p>
            <w:pPr>
              <w:spacing w:after="0" w:line="190" w:lineRule="exact"/>
              <w:rPr>
                <w:rFonts w:ascii="Arial" w:cs="Arial" w:eastAsia="Arial" w:hAnsi="Arial"/>
                <w:sz w:val="17"/>
                <w:szCs w:val="17"/>
                <w:color w:val="0000FF"/>
                <w:w w:val="95"/>
              </w:rPr>
            </w:pPr>
            <w:hyperlink r:id="rId25">
              <w:r>
                <w:rPr>
                  <w:rFonts w:ascii="Arial" w:cs="Arial" w:eastAsia="Arial" w:hAnsi="Arial"/>
                  <w:sz w:val="17"/>
                  <w:szCs w:val="17"/>
                  <w:color w:val="0000FF"/>
                  <w:w w:val="95"/>
                </w:rPr>
                <w:t>(File No. 001-37352), filed on May 15, 2018).</w:t>
              </w:r>
            </w:hyperlink>
          </w:p>
        </w:tc>
        <w:tc>
          <w:tcPr>
            <w:tcW w:w="6080" w:type="dxa"/>
            <w:vAlign w:val="bottom"/>
            <w:gridSpan w:val="25"/>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10.12</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tcBorders>
              <w:bottom w:val="single" w:sz="8" w:color="0000FF"/>
            </w:tcBorders>
            <w:gridSpan w:val="15"/>
          </w:tcPr>
          <w:p>
            <w:pPr>
              <w:spacing w:after="0"/>
              <w:rPr>
                <w:rFonts w:ascii="Arial" w:cs="Arial" w:eastAsia="Arial" w:hAnsi="Arial"/>
                <w:sz w:val="17"/>
                <w:szCs w:val="17"/>
                <w:color w:val="0000FF"/>
                <w:w w:val="93"/>
              </w:rPr>
            </w:pPr>
            <w:hyperlink r:id="rId26">
              <w:r>
                <w:rPr>
                  <w:rFonts w:ascii="Arial" w:cs="Arial" w:eastAsia="Arial" w:hAnsi="Arial"/>
                  <w:sz w:val="17"/>
                  <w:szCs w:val="17"/>
                  <w:color w:val="0000FF"/>
                  <w:w w:val="93"/>
                </w:rPr>
                <w:t>Amendment No. 1 to the Amended and Restated Registration Rights Agreement, dated May 10, 2018, by and among Virtu</w:t>
              </w:r>
            </w:hyperlink>
          </w:p>
        </w:tc>
        <w:tc>
          <w:tcPr>
            <w:tcW w:w="740" w:type="dxa"/>
            <w:vAlign w:val="bottom"/>
            <w:gridSpan w:val="14"/>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9"/>
          </w:tcPr>
          <w:p>
            <w:pPr>
              <w:spacing w:after="0" w:line="190" w:lineRule="exact"/>
              <w:rPr>
                <w:rFonts w:ascii="Arial" w:cs="Arial" w:eastAsia="Arial" w:hAnsi="Arial"/>
                <w:sz w:val="17"/>
                <w:szCs w:val="17"/>
                <w:color w:val="0000FF"/>
                <w:w w:val="95"/>
              </w:rPr>
            </w:pPr>
            <w:hyperlink r:id="rId26">
              <w:r>
                <w:rPr>
                  <w:rFonts w:ascii="Arial" w:cs="Arial" w:eastAsia="Arial" w:hAnsi="Arial"/>
                  <w:sz w:val="17"/>
                  <w:szCs w:val="17"/>
                  <w:color w:val="0000FF"/>
                  <w:w w:val="95"/>
                </w:rPr>
                <w:t>Financial, Inc., TJMT Holdings LLC, North Island Holdings I, LP, Havelock Fund Investments Pte Ltd and Aranda Investments Pte.</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0" w:type="dxa"/>
            <w:vAlign w:val="bottom"/>
            <w:tcBorders>
              <w:top w:val="single" w:sz="8" w:color="0000FF"/>
              <w:bottom w:val="single" w:sz="8" w:color="0000FF"/>
            </w:tcBorders>
            <w:gridSpan w:val="24"/>
          </w:tcPr>
          <w:p>
            <w:pPr>
              <w:spacing w:after="0" w:line="190" w:lineRule="exact"/>
              <w:rPr>
                <w:rFonts w:ascii="Arial" w:cs="Arial" w:eastAsia="Arial" w:hAnsi="Arial"/>
                <w:sz w:val="17"/>
                <w:szCs w:val="17"/>
                <w:color w:val="0000FF"/>
                <w:w w:val="94"/>
              </w:rPr>
            </w:pPr>
            <w:hyperlink r:id="rId26">
              <w:r>
                <w:rPr>
                  <w:rFonts w:ascii="Arial" w:cs="Arial" w:eastAsia="Arial" w:hAnsi="Arial"/>
                  <w:sz w:val="17"/>
                  <w:szCs w:val="17"/>
                  <w:color w:val="0000FF"/>
                  <w:w w:val="94"/>
                </w:rPr>
                <w:t>Ltd (incorporated herein by reference to Exhibit 10.1 to the Company’s Current Report on Form 8-K (File No. 001-37352), filed on</w:t>
              </w:r>
            </w:hyperlink>
          </w:p>
        </w:tc>
        <w:tc>
          <w:tcPr>
            <w:tcW w:w="60" w:type="dxa"/>
            <w:vAlign w:val="bottom"/>
            <w:tcBorders>
              <w:top w:val="single" w:sz="8" w:color="0000FF"/>
            </w:tcBorders>
            <w:gridSpan w:val="3"/>
          </w:tcPr>
          <w:p>
            <w:pPr>
              <w:spacing w:after="0"/>
              <w:rPr>
                <w:sz w:val="16"/>
                <w:szCs w:val="16"/>
                <w:color w:val="auto"/>
              </w:rPr>
            </w:pPr>
          </w:p>
        </w:tc>
        <w:tc>
          <w:tcPr>
            <w:tcW w:w="60" w:type="dxa"/>
            <w:vAlign w:val="bottom"/>
            <w:gridSpan w:val="2"/>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bottom w:val="single" w:sz="8" w:color="0000FF"/>
            </w:tcBorders>
            <w:gridSpan w:val="2"/>
          </w:tcPr>
          <w:p>
            <w:pPr>
              <w:spacing w:after="0" w:line="190" w:lineRule="exact"/>
              <w:rPr>
                <w:rFonts w:ascii="Arial" w:cs="Arial" w:eastAsia="Arial" w:hAnsi="Arial"/>
                <w:sz w:val="17"/>
                <w:szCs w:val="17"/>
                <w:color w:val="0000FF"/>
                <w:w w:val="93"/>
              </w:rPr>
            </w:pPr>
            <w:hyperlink r:id="rId26">
              <w:r>
                <w:rPr>
                  <w:rFonts w:ascii="Arial" w:cs="Arial" w:eastAsia="Arial" w:hAnsi="Arial"/>
                  <w:sz w:val="17"/>
                  <w:szCs w:val="17"/>
                  <w:color w:val="0000FF"/>
                  <w:w w:val="93"/>
                </w:rPr>
                <w:t>May 15, 2018).</w:t>
              </w:r>
            </w:hyperlink>
          </w:p>
        </w:tc>
        <w:tc>
          <w:tcPr>
            <w:tcW w:w="8240" w:type="dxa"/>
            <w:vAlign w:val="bottom"/>
            <w:gridSpan w:val="27"/>
          </w:tcPr>
          <w:p>
            <w:pPr>
              <w:spacing w:after="0"/>
              <w:rPr>
                <w:sz w:val="16"/>
                <w:szCs w:val="16"/>
                <w:color w:val="auto"/>
              </w:rPr>
            </w:pPr>
          </w:p>
        </w:tc>
      </w:tr>
      <w:tr>
        <w:trPr>
          <w:trHeight w:val="491"/>
        </w:trPr>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40" w:type="dxa"/>
            <w:vAlign w:val="bottom"/>
            <w:gridSpan w:val="6"/>
          </w:tcPr>
          <w:p>
            <w:pPr>
              <w:jc w:val="right"/>
              <w:ind w:right="500"/>
              <w:spacing w:after="0"/>
              <w:rPr>
                <w:sz w:val="20"/>
                <w:szCs w:val="20"/>
                <w:color w:val="auto"/>
              </w:rPr>
            </w:pPr>
            <w:r>
              <w:rPr>
                <w:rFonts w:ascii="Arial" w:cs="Arial" w:eastAsia="Arial" w:hAnsi="Arial"/>
                <w:sz w:val="17"/>
                <w:szCs w:val="17"/>
                <w:color w:val="auto"/>
              </w:rPr>
              <w:t>82</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EE"/>
            </w:tcBorders>
          </w:tcPr>
          <w:p>
            <w:pPr>
              <w:spacing w:after="0"/>
              <w:rPr>
                <w:rFonts w:ascii="Arial" w:cs="Arial" w:eastAsia="Arial" w:hAnsi="Arial"/>
                <w:sz w:val="17"/>
                <w:szCs w:val="17"/>
                <w:color w:val="0000EE"/>
                <w:w w:val="90"/>
              </w:rPr>
            </w:pPr>
            <w:hyperlink w:anchor="page2">
              <w:r>
                <w:rPr>
                  <w:rFonts w:ascii="Arial" w:cs="Arial" w:eastAsia="Arial" w:hAnsi="Arial"/>
                  <w:sz w:val="17"/>
                  <w:szCs w:val="17"/>
                  <w:color w:val="0000EE"/>
                  <w:w w:val="90"/>
                </w:rPr>
                <w:t>Table of Contents</w:t>
              </w:r>
            </w:hyperlink>
          </w:p>
        </w:tc>
        <w:tc>
          <w:tcPr>
            <w:tcW w:w="8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4"/>
        </w:trPr>
        <w:tc>
          <w:tcPr>
            <w:tcW w:w="1240" w:type="dxa"/>
            <w:vAlign w:val="bottom"/>
          </w:tcPr>
          <w:p>
            <w:pPr>
              <w:ind w:left="40"/>
              <w:spacing w:after="0"/>
              <w:rPr>
                <w:sz w:val="20"/>
                <w:szCs w:val="20"/>
                <w:color w:val="auto"/>
              </w:rPr>
            </w:pPr>
            <w:r>
              <w:rPr>
                <w:rFonts w:ascii="Arial" w:cs="Arial" w:eastAsia="Arial" w:hAnsi="Arial"/>
                <w:sz w:val="17"/>
                <w:szCs w:val="17"/>
                <w:color w:val="auto"/>
              </w:rPr>
              <w:t>10.13</w:t>
            </w:r>
          </w:p>
        </w:tc>
        <w:tc>
          <w:tcPr>
            <w:tcW w:w="860" w:type="dxa"/>
            <w:vAlign w:val="bottom"/>
          </w:tcPr>
          <w:p>
            <w:pPr>
              <w:spacing w:after="0"/>
              <w:rPr>
                <w:sz w:val="24"/>
                <w:szCs w:val="24"/>
                <w:color w:val="auto"/>
              </w:rPr>
            </w:pPr>
          </w:p>
        </w:tc>
        <w:tc>
          <w:tcPr>
            <w:tcW w:w="9260" w:type="dxa"/>
            <w:vAlign w:val="bottom"/>
            <w:tcBorders>
              <w:bottom w:val="single" w:sz="8" w:color="0000FF"/>
            </w:tcBorders>
            <w:gridSpan w:val="19"/>
          </w:tcPr>
          <w:p>
            <w:pPr>
              <w:spacing w:after="0"/>
              <w:rPr>
                <w:rFonts w:ascii="Arial" w:cs="Arial" w:eastAsia="Arial" w:hAnsi="Arial"/>
                <w:sz w:val="17"/>
                <w:szCs w:val="17"/>
                <w:color w:val="0000FF"/>
                <w:w w:val="93"/>
              </w:rPr>
            </w:pPr>
            <w:hyperlink r:id="rId27">
              <w:r>
                <w:rPr>
                  <w:rFonts w:ascii="Arial" w:cs="Arial" w:eastAsia="Arial" w:hAnsi="Arial"/>
                  <w:sz w:val="17"/>
                  <w:szCs w:val="17"/>
                  <w:color w:val="0000FF"/>
                  <w:w w:val="93"/>
                </w:rPr>
                <w:t>Amendment No. 1 to Amended and Restated Lock-up Waivers Agreement, dated May 10, 2018, by and among Virtu Financial, Inc.,</w:t>
              </w:r>
            </w:hyperlink>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40" w:type="dxa"/>
            <w:vAlign w:val="bottom"/>
            <w:tcBorders>
              <w:bottom w:val="single" w:sz="8" w:color="0000FF"/>
            </w:tcBorders>
            <w:gridSpan w:val="18"/>
          </w:tcPr>
          <w:p>
            <w:pPr>
              <w:spacing w:after="0" w:line="190" w:lineRule="exact"/>
              <w:rPr>
                <w:rFonts w:ascii="Arial" w:cs="Arial" w:eastAsia="Arial" w:hAnsi="Arial"/>
                <w:sz w:val="17"/>
                <w:szCs w:val="17"/>
                <w:color w:val="0000FF"/>
                <w:w w:val="95"/>
              </w:rPr>
            </w:pPr>
            <w:hyperlink r:id="rId27">
              <w:r>
                <w:rPr>
                  <w:rFonts w:ascii="Arial" w:cs="Arial" w:eastAsia="Arial" w:hAnsi="Arial"/>
                  <w:sz w:val="17"/>
                  <w:szCs w:val="17"/>
                  <w:color w:val="0000FF"/>
                  <w:w w:val="95"/>
                </w:rPr>
                <w:t>TJMT Holdings LLC, Mr. Vincent Viola, Havelock Fund Investments Pte Ltd, Aranda Investments Pte. Ltd., North Island Holdings</w:t>
              </w:r>
            </w:hyperlink>
          </w:p>
        </w:tc>
        <w:tc>
          <w:tcPr>
            <w:tcW w:w="20" w:type="dxa"/>
            <w:vAlign w:val="bottom"/>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60" w:type="dxa"/>
            <w:vAlign w:val="bottom"/>
            <w:gridSpan w:val="19"/>
          </w:tcPr>
          <w:p>
            <w:pPr>
              <w:spacing w:after="0" w:line="190" w:lineRule="exact"/>
              <w:rPr>
                <w:rFonts w:ascii="Arial" w:cs="Arial" w:eastAsia="Arial" w:hAnsi="Arial"/>
                <w:sz w:val="17"/>
                <w:szCs w:val="17"/>
                <w:color w:val="0000FF"/>
                <w:w w:val="98"/>
              </w:rPr>
            </w:pPr>
            <w:hyperlink r:id="rId27">
              <w:r>
                <w:rPr>
                  <w:rFonts w:ascii="Arial" w:cs="Arial" w:eastAsia="Arial" w:hAnsi="Arial"/>
                  <w:sz w:val="17"/>
                  <w:szCs w:val="17"/>
                  <w:color w:val="0000FF"/>
                  <w:w w:val="98"/>
                </w:rPr>
                <w:t>I, LP and the stockholders named therein (incorporated herein by reference to Exhibit 99.8 to the Report on Schedule 13D of</w:t>
              </w:r>
            </w:hyperlink>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720" w:type="dxa"/>
            <w:vAlign w:val="bottom"/>
            <w:tcBorders>
              <w:top w:val="single" w:sz="8" w:color="0000FF"/>
            </w:tcBorders>
            <w:gridSpan w:val="10"/>
          </w:tcPr>
          <w:p>
            <w:pPr>
              <w:spacing w:after="0" w:line="190" w:lineRule="exact"/>
              <w:rPr>
                <w:rFonts w:ascii="Arial" w:cs="Arial" w:eastAsia="Arial" w:hAnsi="Arial"/>
                <w:sz w:val="17"/>
                <w:szCs w:val="17"/>
                <w:color w:val="0000FF"/>
              </w:rPr>
            </w:pPr>
            <w:hyperlink r:id="rId27">
              <w:r>
                <w:rPr>
                  <w:rFonts w:ascii="Arial" w:cs="Arial" w:eastAsia="Arial" w:hAnsi="Arial"/>
                  <w:sz w:val="17"/>
                  <w:szCs w:val="17"/>
                  <w:color w:val="0000FF"/>
                </w:rPr>
                <w:t>Vincent Viola (File No. 005-89306), filed on May 15, 2018).</w:t>
              </w:r>
            </w:hyperlink>
          </w:p>
        </w:tc>
        <w:tc>
          <w:tcPr>
            <w:tcW w:w="540" w:type="dxa"/>
            <w:vAlign w:val="bottom"/>
            <w:gridSpan w:val="9"/>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10.14</w:t>
            </w:r>
          </w:p>
        </w:tc>
        <w:tc>
          <w:tcPr>
            <w:tcW w:w="860" w:type="dxa"/>
            <w:vAlign w:val="bottom"/>
          </w:tcPr>
          <w:p>
            <w:pPr>
              <w:spacing w:after="0"/>
              <w:rPr>
                <w:sz w:val="21"/>
                <w:szCs w:val="21"/>
                <w:color w:val="auto"/>
              </w:rPr>
            </w:pPr>
          </w:p>
        </w:tc>
        <w:tc>
          <w:tcPr>
            <w:tcW w:w="9000" w:type="dxa"/>
            <w:vAlign w:val="bottom"/>
            <w:tcBorders>
              <w:bottom w:val="single" w:sz="8" w:color="0000FF"/>
            </w:tcBorders>
            <w:gridSpan w:val="14"/>
          </w:tcPr>
          <w:p>
            <w:pPr>
              <w:spacing w:after="0"/>
              <w:rPr>
                <w:rFonts w:ascii="Arial" w:cs="Arial" w:eastAsia="Arial" w:hAnsi="Arial"/>
                <w:sz w:val="17"/>
                <w:szCs w:val="17"/>
                <w:color w:val="0000FF"/>
                <w:w w:val="94"/>
              </w:rPr>
            </w:pPr>
            <w:hyperlink r:id="rId28">
              <w:r>
                <w:rPr>
                  <w:rFonts w:ascii="Arial" w:cs="Arial" w:eastAsia="Arial" w:hAnsi="Arial"/>
                  <w:sz w:val="17"/>
                  <w:szCs w:val="17"/>
                  <w:color w:val="0000FF"/>
                  <w:w w:val="94"/>
                </w:rPr>
                <w:t>Purchase Agreement, dated May 10, 2018, by and among Virtu Financial, Inc. and TJMT Holdings LLC (incorporated herein by</w:t>
              </w:r>
            </w:hyperlink>
          </w:p>
        </w:tc>
        <w:tc>
          <w:tcPr>
            <w:tcW w:w="260" w:type="dxa"/>
            <w:vAlign w:val="bottom"/>
            <w:gridSpan w:val="5"/>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60" w:type="dxa"/>
            <w:vAlign w:val="bottom"/>
            <w:gridSpan w:val="19"/>
          </w:tcPr>
          <w:p>
            <w:pPr>
              <w:spacing w:after="0" w:line="190" w:lineRule="exact"/>
              <w:rPr>
                <w:rFonts w:ascii="Arial" w:cs="Arial" w:eastAsia="Arial" w:hAnsi="Arial"/>
                <w:sz w:val="17"/>
                <w:szCs w:val="17"/>
                <w:color w:val="0000FF"/>
              </w:rPr>
            </w:pPr>
            <w:hyperlink r:id="rId28">
              <w:r>
                <w:rPr>
                  <w:rFonts w:ascii="Arial" w:cs="Arial" w:eastAsia="Arial" w:hAnsi="Arial"/>
                  <w:sz w:val="17"/>
                  <w:szCs w:val="17"/>
                  <w:color w:val="0000FF"/>
                </w:rPr>
                <w:t>reference to Exhibit 10.2 to the Company’s Current Report on Form 8-K (File No. 001-37352), filed on May 15, 2018).</w:t>
              </w:r>
            </w:hyperlink>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10.15</w:t>
            </w:r>
          </w:p>
        </w:tc>
        <w:tc>
          <w:tcPr>
            <w:tcW w:w="860" w:type="dxa"/>
            <w:vAlign w:val="bottom"/>
          </w:tcPr>
          <w:p>
            <w:pPr>
              <w:spacing w:after="0"/>
              <w:rPr>
                <w:sz w:val="21"/>
                <w:szCs w:val="21"/>
                <w:color w:val="auto"/>
              </w:rPr>
            </w:pPr>
          </w:p>
        </w:tc>
        <w:tc>
          <w:tcPr>
            <w:tcW w:w="9260" w:type="dxa"/>
            <w:vAlign w:val="bottom"/>
            <w:gridSpan w:val="19"/>
          </w:tcPr>
          <w:p>
            <w:pPr>
              <w:spacing w:after="0"/>
              <w:rPr>
                <w:rFonts w:ascii="Arial" w:cs="Arial" w:eastAsia="Arial" w:hAnsi="Arial"/>
                <w:sz w:val="17"/>
                <w:szCs w:val="17"/>
                <w:color w:val="0000FF"/>
                <w:w w:val="97"/>
              </w:rPr>
            </w:pPr>
            <w:hyperlink r:id="rId29">
              <w:r>
                <w:rPr>
                  <w:rFonts w:ascii="Arial" w:cs="Arial" w:eastAsia="Arial" w:hAnsi="Arial"/>
                  <w:sz w:val="17"/>
                  <w:szCs w:val="17"/>
                  <w:color w:val="0000FF"/>
                  <w:w w:val="97"/>
                </w:rPr>
                <w:t>Lock-up Agreement, dated May 10, 2018, entered into by Vincent Viola (incorporated herein by reference to Exhibit 99.2 to the</w:t>
              </w:r>
            </w:hyperlink>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0" w:type="dxa"/>
            <w:vAlign w:val="bottom"/>
            <w:tcBorders>
              <w:top w:val="single" w:sz="8" w:color="0000FF"/>
              <w:bottom w:val="single" w:sz="8" w:color="0000FF"/>
            </w:tcBorders>
            <w:gridSpan w:val="5"/>
          </w:tcPr>
          <w:p>
            <w:pPr>
              <w:spacing w:after="0" w:line="190" w:lineRule="exact"/>
              <w:rPr>
                <w:rFonts w:ascii="Arial" w:cs="Arial" w:eastAsia="Arial" w:hAnsi="Arial"/>
                <w:sz w:val="17"/>
                <w:szCs w:val="17"/>
                <w:color w:val="0000FF"/>
                <w:w w:val="94"/>
              </w:rPr>
            </w:pPr>
            <w:hyperlink r:id="rId29">
              <w:r>
                <w:rPr>
                  <w:rFonts w:ascii="Arial" w:cs="Arial" w:eastAsia="Arial" w:hAnsi="Arial"/>
                  <w:sz w:val="17"/>
                  <w:szCs w:val="17"/>
                  <w:color w:val="0000FF"/>
                  <w:w w:val="94"/>
                </w:rPr>
                <w:t>Report on Schedule 13D of Vincent Viola (File No. 005-89306), filed on May 15, 2018).</w:t>
              </w:r>
            </w:hyperlink>
          </w:p>
        </w:tc>
        <w:tc>
          <w:tcPr>
            <w:tcW w:w="2740" w:type="dxa"/>
            <w:vAlign w:val="bottom"/>
            <w:tcBorders>
              <w:top w:val="single" w:sz="8" w:color="0000FF"/>
            </w:tcBorders>
            <w:gridSpan w:val="7"/>
          </w:tcPr>
          <w:p>
            <w:pPr>
              <w:spacing w:after="0"/>
              <w:rPr>
                <w:sz w:val="16"/>
                <w:szCs w:val="16"/>
                <w:color w:val="auto"/>
              </w:rPr>
            </w:pPr>
          </w:p>
        </w:tc>
        <w:tc>
          <w:tcPr>
            <w:tcW w:w="320" w:type="dxa"/>
            <w:vAlign w:val="bottom"/>
            <w:gridSpan w:val="7"/>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10.16</w:t>
            </w:r>
          </w:p>
        </w:tc>
        <w:tc>
          <w:tcPr>
            <w:tcW w:w="860" w:type="dxa"/>
            <w:vAlign w:val="bottom"/>
          </w:tcPr>
          <w:p>
            <w:pPr>
              <w:spacing w:after="0"/>
              <w:rPr>
                <w:sz w:val="21"/>
                <w:szCs w:val="21"/>
                <w:color w:val="auto"/>
              </w:rPr>
            </w:pPr>
          </w:p>
        </w:tc>
        <w:tc>
          <w:tcPr>
            <w:tcW w:w="9160" w:type="dxa"/>
            <w:vAlign w:val="bottom"/>
            <w:tcBorders>
              <w:bottom w:val="single" w:sz="8" w:color="0000FF"/>
            </w:tcBorders>
            <w:gridSpan w:val="16"/>
          </w:tcPr>
          <w:p>
            <w:pPr>
              <w:spacing w:after="0"/>
              <w:rPr>
                <w:rFonts w:ascii="Arial" w:cs="Arial" w:eastAsia="Arial" w:hAnsi="Arial"/>
                <w:sz w:val="17"/>
                <w:szCs w:val="17"/>
                <w:color w:val="0000FF"/>
                <w:w w:val="94"/>
              </w:rPr>
            </w:pPr>
            <w:hyperlink r:id="rId30">
              <w:r>
                <w:rPr>
                  <w:rFonts w:ascii="Arial" w:cs="Arial" w:eastAsia="Arial" w:hAnsi="Arial"/>
                  <w:sz w:val="17"/>
                  <w:szCs w:val="17"/>
                  <w:color w:val="0000FF"/>
                  <w:w w:val="94"/>
                </w:rPr>
                <w:t>Lock-up Agreement, dated May 10, 2018, entered into by Michael T. Viola (incorporated herein by reference to Exhibit 99.3 to the</w:t>
              </w:r>
            </w:hyperlink>
          </w:p>
        </w:tc>
        <w:tc>
          <w:tcPr>
            <w:tcW w:w="100" w:type="dxa"/>
            <w:vAlign w:val="bottom"/>
            <w:gridSpan w:val="3"/>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0" w:type="dxa"/>
            <w:vAlign w:val="bottom"/>
            <w:tcBorders>
              <w:bottom w:val="single" w:sz="8" w:color="0000FF"/>
            </w:tcBorders>
            <w:gridSpan w:val="5"/>
          </w:tcPr>
          <w:p>
            <w:pPr>
              <w:spacing w:after="0" w:line="190" w:lineRule="exact"/>
              <w:rPr>
                <w:rFonts w:ascii="Arial" w:cs="Arial" w:eastAsia="Arial" w:hAnsi="Arial"/>
                <w:sz w:val="17"/>
                <w:szCs w:val="17"/>
                <w:color w:val="0000FF"/>
                <w:w w:val="94"/>
              </w:rPr>
            </w:pPr>
            <w:hyperlink r:id="rId30">
              <w:r>
                <w:rPr>
                  <w:rFonts w:ascii="Arial" w:cs="Arial" w:eastAsia="Arial" w:hAnsi="Arial"/>
                  <w:sz w:val="17"/>
                  <w:szCs w:val="17"/>
                  <w:color w:val="0000FF"/>
                  <w:w w:val="94"/>
                </w:rPr>
                <w:t>Report on Schedule 13D of Vincent Viola (File No. 005-89306), filed on May 15, 2018).</w:t>
              </w:r>
            </w:hyperlink>
          </w:p>
        </w:tc>
        <w:tc>
          <w:tcPr>
            <w:tcW w:w="3060" w:type="dxa"/>
            <w:vAlign w:val="bottom"/>
            <w:gridSpan w:val="14"/>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10.17</w:t>
            </w:r>
          </w:p>
        </w:tc>
        <w:tc>
          <w:tcPr>
            <w:tcW w:w="860" w:type="dxa"/>
            <w:vAlign w:val="bottom"/>
          </w:tcPr>
          <w:p>
            <w:pPr>
              <w:spacing w:after="0"/>
              <w:rPr>
                <w:sz w:val="21"/>
                <w:szCs w:val="21"/>
                <w:color w:val="auto"/>
              </w:rPr>
            </w:pPr>
          </w:p>
        </w:tc>
        <w:tc>
          <w:tcPr>
            <w:tcW w:w="9220" w:type="dxa"/>
            <w:vAlign w:val="bottom"/>
            <w:tcBorders>
              <w:bottom w:val="single" w:sz="8" w:color="0000FF"/>
            </w:tcBorders>
            <w:gridSpan w:val="17"/>
          </w:tcPr>
          <w:p>
            <w:pPr>
              <w:spacing w:after="0"/>
              <w:rPr>
                <w:rFonts w:ascii="Arial" w:cs="Arial" w:eastAsia="Arial" w:hAnsi="Arial"/>
                <w:sz w:val="17"/>
                <w:szCs w:val="17"/>
                <w:color w:val="0000FF"/>
                <w:w w:val="94"/>
              </w:rPr>
            </w:pPr>
            <w:hyperlink r:id="rId31">
              <w:r>
                <w:rPr>
                  <w:rFonts w:ascii="Arial" w:cs="Arial" w:eastAsia="Arial" w:hAnsi="Arial"/>
                  <w:sz w:val="17"/>
                  <w:szCs w:val="17"/>
                  <w:color w:val="0000FF"/>
                  <w:w w:val="94"/>
                </w:rPr>
                <w:t>Lock-up Agreement, dated May 10, 2018, entered into by TJMT Holdings LLC (incorporated herein by reference to Exhibit 99.4 to</w:t>
              </w:r>
            </w:hyperlink>
          </w:p>
        </w:tc>
        <w:tc>
          <w:tcPr>
            <w:tcW w:w="40" w:type="dxa"/>
            <w:vAlign w:val="bottom"/>
            <w:gridSpan w:val="2"/>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60" w:type="dxa"/>
            <w:vAlign w:val="bottom"/>
            <w:tcBorders>
              <w:bottom w:val="single" w:sz="8" w:color="0000FF"/>
            </w:tcBorders>
            <w:gridSpan w:val="6"/>
          </w:tcPr>
          <w:p>
            <w:pPr>
              <w:spacing w:after="0" w:line="190" w:lineRule="exact"/>
              <w:rPr>
                <w:rFonts w:ascii="Arial" w:cs="Arial" w:eastAsia="Arial" w:hAnsi="Arial"/>
                <w:sz w:val="17"/>
                <w:szCs w:val="17"/>
                <w:color w:val="0000FF"/>
                <w:w w:val="94"/>
              </w:rPr>
            </w:pPr>
            <w:hyperlink r:id="rId31">
              <w:r>
                <w:rPr>
                  <w:rFonts w:ascii="Arial" w:cs="Arial" w:eastAsia="Arial" w:hAnsi="Arial"/>
                  <w:sz w:val="17"/>
                  <w:szCs w:val="17"/>
                  <w:color w:val="0000FF"/>
                  <w:w w:val="94"/>
                </w:rPr>
                <w:t>the Report on Schedule 13D of Vincent Viola (File No. 005-89306), filed on May 15, 2018).</w:t>
              </w:r>
            </w:hyperlink>
          </w:p>
        </w:tc>
        <w:tc>
          <w:tcPr>
            <w:tcW w:w="2800" w:type="dxa"/>
            <w:vAlign w:val="bottom"/>
            <w:gridSpan w:val="13"/>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10.18</w:t>
            </w:r>
          </w:p>
        </w:tc>
        <w:tc>
          <w:tcPr>
            <w:tcW w:w="860" w:type="dxa"/>
            <w:vAlign w:val="bottom"/>
          </w:tcPr>
          <w:p>
            <w:pPr>
              <w:spacing w:after="0"/>
              <w:rPr>
                <w:sz w:val="21"/>
                <w:szCs w:val="21"/>
                <w:color w:val="auto"/>
              </w:rPr>
            </w:pPr>
          </w:p>
        </w:tc>
        <w:tc>
          <w:tcPr>
            <w:tcW w:w="9240" w:type="dxa"/>
            <w:vAlign w:val="bottom"/>
            <w:tcBorders>
              <w:bottom w:val="single" w:sz="8" w:color="0000FF"/>
            </w:tcBorders>
            <w:gridSpan w:val="18"/>
          </w:tcPr>
          <w:p>
            <w:pPr>
              <w:spacing w:after="0"/>
              <w:rPr>
                <w:rFonts w:ascii="Arial" w:cs="Arial" w:eastAsia="Arial" w:hAnsi="Arial"/>
                <w:sz w:val="17"/>
                <w:szCs w:val="17"/>
                <w:color w:val="0000FF"/>
                <w:w w:val="94"/>
              </w:rPr>
            </w:pPr>
            <w:hyperlink r:id="rId32">
              <w:r>
                <w:rPr>
                  <w:rFonts w:ascii="Arial" w:cs="Arial" w:eastAsia="Arial" w:hAnsi="Arial"/>
                  <w:sz w:val="17"/>
                  <w:szCs w:val="17"/>
                  <w:color w:val="0000FF"/>
                  <w:w w:val="94"/>
                </w:rPr>
                <w:t>Lock-up Agreement, dated May 10, 2018, entered into by Virtu Employee Holdco LLC (incorporated herein by reference to Exhibit</w:t>
              </w:r>
            </w:hyperlink>
          </w:p>
        </w:tc>
        <w:tc>
          <w:tcPr>
            <w:tcW w:w="20" w:type="dxa"/>
            <w:vAlign w:val="bottom"/>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60" w:type="dxa"/>
            <w:vAlign w:val="bottom"/>
            <w:gridSpan w:val="19"/>
          </w:tcPr>
          <w:p>
            <w:pPr>
              <w:spacing w:after="0" w:line="190" w:lineRule="exact"/>
              <w:rPr>
                <w:rFonts w:ascii="Arial" w:cs="Arial" w:eastAsia="Arial" w:hAnsi="Arial"/>
                <w:sz w:val="17"/>
                <w:szCs w:val="17"/>
                <w:color w:val="0000FF"/>
              </w:rPr>
            </w:pPr>
            <w:hyperlink r:id="rId32">
              <w:r>
                <w:rPr>
                  <w:rFonts w:ascii="Arial" w:cs="Arial" w:eastAsia="Arial" w:hAnsi="Arial"/>
                  <w:sz w:val="17"/>
                  <w:szCs w:val="17"/>
                  <w:color w:val="0000FF"/>
                </w:rPr>
                <w:t>99.</w:t>
              </w:r>
              <w:r>
                <w:rPr>
                  <w:rFonts w:ascii="Arial" w:cs="Arial" w:eastAsia="Arial" w:hAnsi="Arial"/>
                  <w:sz w:val="17"/>
                  <w:szCs w:val="17"/>
                  <w:u w:val="single" w:color="auto"/>
                  <w:color w:val="0000FF"/>
                </w:rPr>
                <w:t>5</w:t>
              </w:r>
              <w:r>
                <w:rPr>
                  <w:rFonts w:ascii="Arial" w:cs="Arial" w:eastAsia="Arial" w:hAnsi="Arial"/>
                  <w:sz w:val="17"/>
                  <w:szCs w:val="17"/>
                  <w:color w:val="0000FF"/>
                </w:rPr>
                <w:t xml:space="preserve"> to the Report on Schedule 13D of Vincent Viola (File No. 005-89306), filed on May 15, 2018).</w:t>
              </w:r>
            </w:hyperlink>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31.1*</w:t>
            </w:r>
          </w:p>
        </w:tc>
        <w:tc>
          <w:tcPr>
            <w:tcW w:w="860" w:type="dxa"/>
            <w:vAlign w:val="bottom"/>
          </w:tcPr>
          <w:p>
            <w:pPr>
              <w:spacing w:after="0"/>
              <w:rPr>
                <w:sz w:val="21"/>
                <w:szCs w:val="21"/>
                <w:color w:val="auto"/>
              </w:rPr>
            </w:pPr>
          </w:p>
        </w:tc>
        <w:tc>
          <w:tcPr>
            <w:tcW w:w="9260" w:type="dxa"/>
            <w:vAlign w:val="bottom"/>
            <w:gridSpan w:val="19"/>
          </w:tcPr>
          <w:p>
            <w:pPr>
              <w:spacing w:after="0"/>
              <w:rPr>
                <w:rFonts w:ascii="Arial" w:cs="Arial" w:eastAsia="Arial" w:hAnsi="Arial"/>
                <w:sz w:val="17"/>
                <w:szCs w:val="17"/>
                <w:color w:val="0000FF"/>
                <w:w w:val="99"/>
              </w:rPr>
            </w:pPr>
            <w:hyperlink w:anchor="page214">
              <w:r>
                <w:rPr>
                  <w:rFonts w:ascii="Arial" w:cs="Arial" w:eastAsia="Arial" w:hAnsi="Arial"/>
                  <w:sz w:val="17"/>
                  <w:szCs w:val="17"/>
                  <w:color w:val="0000FF"/>
                  <w:w w:val="99"/>
                </w:rPr>
                <w:t>Certification of Chief Executive Officer required by Rule 13a-14(a)/15d-14(a) under the Securities Exchange Act of 1934, as</w:t>
              </w:r>
            </w:hyperlink>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740" w:type="dxa"/>
            <w:vAlign w:val="bottom"/>
            <w:tcBorders>
              <w:top w:val="single" w:sz="8" w:color="0000FF"/>
            </w:tcBorders>
            <w:gridSpan w:val="11"/>
          </w:tcPr>
          <w:p>
            <w:pPr>
              <w:spacing w:after="0" w:line="190" w:lineRule="exact"/>
              <w:rPr>
                <w:rFonts w:ascii="Arial" w:cs="Arial" w:eastAsia="Arial" w:hAnsi="Arial"/>
                <w:sz w:val="17"/>
                <w:szCs w:val="17"/>
                <w:color w:val="0000FF"/>
              </w:rPr>
            </w:pPr>
            <w:hyperlink w:anchor="page214">
              <w:r>
                <w:rPr>
                  <w:rFonts w:ascii="Arial" w:cs="Arial" w:eastAsia="Arial" w:hAnsi="Arial"/>
                  <w:sz w:val="17"/>
                  <w:szCs w:val="17"/>
                  <w:color w:val="0000FF"/>
                </w:rPr>
                <w:t>amended, as adopted pursuant to Section 302 of the Sarbanes-Oxley Act of 2002.</w:t>
              </w:r>
            </w:hyperlink>
          </w:p>
        </w:tc>
        <w:tc>
          <w:tcPr>
            <w:tcW w:w="520" w:type="dxa"/>
            <w:vAlign w:val="bottom"/>
            <w:gridSpan w:val="8"/>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31.2*</w:t>
            </w:r>
          </w:p>
        </w:tc>
        <w:tc>
          <w:tcPr>
            <w:tcW w:w="860" w:type="dxa"/>
            <w:vAlign w:val="bottom"/>
          </w:tcPr>
          <w:p>
            <w:pPr>
              <w:spacing w:after="0"/>
              <w:rPr>
                <w:sz w:val="21"/>
                <w:szCs w:val="21"/>
                <w:color w:val="auto"/>
              </w:rPr>
            </w:pPr>
          </w:p>
        </w:tc>
        <w:tc>
          <w:tcPr>
            <w:tcW w:w="8700" w:type="dxa"/>
            <w:vAlign w:val="bottom"/>
            <w:tcBorders>
              <w:bottom w:val="single" w:sz="8" w:color="0000FF"/>
            </w:tcBorders>
            <w:gridSpan w:val="9"/>
          </w:tcPr>
          <w:p>
            <w:pPr>
              <w:spacing w:after="0"/>
              <w:rPr>
                <w:rFonts w:ascii="Arial" w:cs="Arial" w:eastAsia="Arial" w:hAnsi="Arial"/>
                <w:sz w:val="17"/>
                <w:szCs w:val="17"/>
                <w:color w:val="0000FF"/>
                <w:w w:val="94"/>
              </w:rPr>
            </w:pPr>
            <w:hyperlink w:anchor="page215">
              <w:r>
                <w:rPr>
                  <w:rFonts w:ascii="Arial" w:cs="Arial" w:eastAsia="Arial" w:hAnsi="Arial"/>
                  <w:sz w:val="17"/>
                  <w:szCs w:val="17"/>
                  <w:color w:val="0000FF"/>
                  <w:w w:val="94"/>
                </w:rPr>
                <w:t>Certification of Chief Financial Officer required by Rule 13a-14(a)/15d-14(a) under the Securities Exchange Act of 1934, as</w:t>
              </w:r>
            </w:hyperlink>
          </w:p>
        </w:tc>
        <w:tc>
          <w:tcPr>
            <w:tcW w:w="560" w:type="dxa"/>
            <w:vAlign w:val="bottom"/>
            <w:gridSpan w:val="10"/>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60" w:type="dxa"/>
            <w:vAlign w:val="bottom"/>
            <w:gridSpan w:val="19"/>
          </w:tcPr>
          <w:p>
            <w:pPr>
              <w:spacing w:after="0" w:line="190" w:lineRule="exact"/>
              <w:rPr>
                <w:rFonts w:ascii="Arial" w:cs="Arial" w:eastAsia="Arial" w:hAnsi="Arial"/>
                <w:sz w:val="17"/>
                <w:szCs w:val="17"/>
                <w:color w:val="0000FF"/>
              </w:rPr>
            </w:pPr>
            <w:hyperlink w:anchor="page215">
              <w:r>
                <w:rPr>
                  <w:rFonts w:ascii="Arial" w:cs="Arial" w:eastAsia="Arial" w:hAnsi="Arial"/>
                  <w:sz w:val="17"/>
                  <w:szCs w:val="17"/>
                  <w:color w:val="0000FF"/>
                </w:rPr>
                <w:t>amended, as adopted pursuant to Section 302 of the Sarbanes-Oxley Act of 2002.</w:t>
              </w:r>
            </w:hyperlink>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32.1*</w:t>
            </w:r>
          </w:p>
        </w:tc>
        <w:tc>
          <w:tcPr>
            <w:tcW w:w="860" w:type="dxa"/>
            <w:vAlign w:val="bottom"/>
          </w:tcPr>
          <w:p>
            <w:pPr>
              <w:spacing w:after="0"/>
              <w:rPr>
                <w:sz w:val="21"/>
                <w:szCs w:val="21"/>
                <w:color w:val="auto"/>
              </w:rPr>
            </w:pPr>
          </w:p>
        </w:tc>
        <w:tc>
          <w:tcPr>
            <w:tcW w:w="9020" w:type="dxa"/>
            <w:vAlign w:val="bottom"/>
            <w:tcBorders>
              <w:bottom w:val="single" w:sz="8" w:color="0000FF"/>
            </w:tcBorders>
            <w:gridSpan w:val="15"/>
          </w:tcPr>
          <w:p>
            <w:pPr>
              <w:spacing w:after="0"/>
              <w:rPr>
                <w:rFonts w:ascii="Arial" w:cs="Arial" w:eastAsia="Arial" w:hAnsi="Arial"/>
                <w:sz w:val="17"/>
                <w:szCs w:val="17"/>
                <w:color w:val="0000FF"/>
                <w:w w:val="93"/>
              </w:rPr>
            </w:pPr>
            <w:hyperlink w:anchor="page216">
              <w:r>
                <w:rPr>
                  <w:rFonts w:ascii="Arial" w:cs="Arial" w:eastAsia="Arial" w:hAnsi="Arial"/>
                  <w:sz w:val="17"/>
                  <w:szCs w:val="17"/>
                  <w:color w:val="0000FF"/>
                  <w:w w:val="93"/>
                </w:rPr>
                <w:t>Certification of Chief Executive Officer pursuant to 18 U.S.C. Section 1350, as adopted pursuant to Section 906 of the Sarbanes-</w:t>
              </w:r>
            </w:hyperlink>
          </w:p>
        </w:tc>
        <w:tc>
          <w:tcPr>
            <w:tcW w:w="240" w:type="dxa"/>
            <w:vAlign w:val="bottom"/>
            <w:gridSpan w:val="4"/>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40" w:type="dxa"/>
            <w:vAlign w:val="bottom"/>
            <w:tcBorders>
              <w:bottom w:val="single" w:sz="8" w:color="0000FF"/>
            </w:tcBorders>
            <w:gridSpan w:val="2"/>
          </w:tcPr>
          <w:p>
            <w:pPr>
              <w:spacing w:after="0" w:line="190" w:lineRule="exact"/>
              <w:rPr>
                <w:rFonts w:ascii="Arial" w:cs="Arial" w:eastAsia="Arial" w:hAnsi="Arial"/>
                <w:sz w:val="17"/>
                <w:szCs w:val="17"/>
                <w:color w:val="0000FF"/>
                <w:w w:val="95"/>
              </w:rPr>
            </w:pPr>
            <w:hyperlink w:anchor="page216">
              <w:r>
                <w:rPr>
                  <w:rFonts w:ascii="Arial" w:cs="Arial" w:eastAsia="Arial" w:hAnsi="Arial"/>
                  <w:sz w:val="17"/>
                  <w:szCs w:val="17"/>
                  <w:color w:val="0000FF"/>
                  <w:w w:val="95"/>
                </w:rPr>
                <w:t>Oxley Act of 2002 (furnished herewith).</w:t>
              </w:r>
            </w:hyperlink>
          </w:p>
        </w:tc>
        <w:tc>
          <w:tcPr>
            <w:tcW w:w="6420" w:type="dxa"/>
            <w:vAlign w:val="bottom"/>
            <w:gridSpan w:val="17"/>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32.2*</w:t>
            </w:r>
          </w:p>
        </w:tc>
        <w:tc>
          <w:tcPr>
            <w:tcW w:w="860" w:type="dxa"/>
            <w:vAlign w:val="bottom"/>
          </w:tcPr>
          <w:p>
            <w:pPr>
              <w:spacing w:after="0"/>
              <w:rPr>
                <w:sz w:val="21"/>
                <w:szCs w:val="21"/>
                <w:color w:val="auto"/>
              </w:rPr>
            </w:pPr>
          </w:p>
        </w:tc>
        <w:tc>
          <w:tcPr>
            <w:tcW w:w="8980" w:type="dxa"/>
            <w:vAlign w:val="bottom"/>
            <w:tcBorders>
              <w:bottom w:val="single" w:sz="8" w:color="0000FF"/>
            </w:tcBorders>
            <w:gridSpan w:val="13"/>
          </w:tcPr>
          <w:p>
            <w:pPr>
              <w:spacing w:after="0"/>
              <w:rPr>
                <w:rFonts w:ascii="Arial" w:cs="Arial" w:eastAsia="Arial" w:hAnsi="Arial"/>
                <w:sz w:val="17"/>
                <w:szCs w:val="17"/>
                <w:color w:val="0000FF"/>
                <w:w w:val="93"/>
              </w:rPr>
            </w:pPr>
            <w:hyperlink w:anchor="page217">
              <w:r>
                <w:rPr>
                  <w:rFonts w:ascii="Arial" w:cs="Arial" w:eastAsia="Arial" w:hAnsi="Arial"/>
                  <w:sz w:val="17"/>
                  <w:szCs w:val="17"/>
                  <w:color w:val="0000FF"/>
                  <w:w w:val="93"/>
                </w:rPr>
                <w:t>Certification of Chief Financial Officer pursuant to 18 U.S.C. Section 1350, as adopted pursuant to Section 906 of the Sarbanes-</w:t>
              </w:r>
            </w:hyperlink>
          </w:p>
        </w:tc>
        <w:tc>
          <w:tcPr>
            <w:tcW w:w="280" w:type="dxa"/>
            <w:vAlign w:val="bottom"/>
            <w:gridSpan w:val="6"/>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20" w:type="dxa"/>
            <w:vAlign w:val="bottom"/>
            <w:tcBorders>
              <w:bottom w:val="single" w:sz="8" w:color="0000FF"/>
            </w:tcBorders>
          </w:tcPr>
          <w:p>
            <w:pPr>
              <w:spacing w:after="0" w:line="190" w:lineRule="exact"/>
              <w:rPr>
                <w:rFonts w:ascii="Arial" w:cs="Arial" w:eastAsia="Arial" w:hAnsi="Arial"/>
                <w:sz w:val="17"/>
                <w:szCs w:val="17"/>
                <w:color w:val="0000FF"/>
                <w:w w:val="95"/>
              </w:rPr>
            </w:pPr>
            <w:hyperlink w:anchor="page217">
              <w:r>
                <w:rPr>
                  <w:rFonts w:ascii="Arial" w:cs="Arial" w:eastAsia="Arial" w:hAnsi="Arial"/>
                  <w:sz w:val="17"/>
                  <w:szCs w:val="17"/>
                  <w:color w:val="0000FF"/>
                  <w:w w:val="95"/>
                </w:rPr>
                <w:t>Oxley Act of 2002 (furnished herewith).</w:t>
              </w:r>
            </w:hyperlink>
          </w:p>
        </w:tc>
        <w:tc>
          <w:tcPr>
            <w:tcW w:w="6440" w:type="dxa"/>
            <w:vAlign w:val="bottom"/>
            <w:gridSpan w:val="18"/>
          </w:tcPr>
          <w:p>
            <w:pPr>
              <w:spacing w:after="0"/>
              <w:rPr>
                <w:sz w:val="16"/>
                <w:szCs w:val="16"/>
                <w:color w:val="auto"/>
              </w:rPr>
            </w:pPr>
          </w:p>
        </w:tc>
      </w:tr>
      <w:tr>
        <w:trPr>
          <w:trHeight w:val="281"/>
        </w:trPr>
        <w:tc>
          <w:tcPr>
            <w:tcW w:w="1240" w:type="dxa"/>
            <w:vAlign w:val="bottom"/>
          </w:tcPr>
          <w:p>
            <w:pPr>
              <w:ind w:left="40"/>
              <w:spacing w:after="0"/>
              <w:rPr>
                <w:sz w:val="20"/>
                <w:szCs w:val="20"/>
                <w:color w:val="auto"/>
              </w:rPr>
            </w:pPr>
            <w:r>
              <w:rPr>
                <w:rFonts w:ascii="Arial" w:cs="Arial" w:eastAsia="Arial" w:hAnsi="Arial"/>
                <w:sz w:val="17"/>
                <w:szCs w:val="17"/>
                <w:color w:val="auto"/>
              </w:rPr>
              <w:t>101.INS</w:t>
            </w:r>
          </w:p>
        </w:tc>
        <w:tc>
          <w:tcPr>
            <w:tcW w:w="860" w:type="dxa"/>
            <w:vAlign w:val="bottom"/>
          </w:tcPr>
          <w:p>
            <w:pPr>
              <w:spacing w:after="0"/>
              <w:rPr>
                <w:sz w:val="24"/>
                <w:szCs w:val="24"/>
                <w:color w:val="auto"/>
              </w:rPr>
            </w:pPr>
          </w:p>
        </w:tc>
        <w:tc>
          <w:tcPr>
            <w:tcW w:w="9260" w:type="dxa"/>
            <w:vAlign w:val="bottom"/>
            <w:gridSpan w:val="19"/>
          </w:tcPr>
          <w:p>
            <w:pPr>
              <w:spacing w:after="0"/>
              <w:rPr>
                <w:sz w:val="20"/>
                <w:szCs w:val="20"/>
                <w:color w:val="auto"/>
              </w:rPr>
            </w:pPr>
            <w:r>
              <w:rPr>
                <w:rFonts w:ascii="Arial" w:cs="Arial" w:eastAsia="Arial" w:hAnsi="Arial"/>
                <w:sz w:val="17"/>
                <w:szCs w:val="17"/>
                <w:color w:val="auto"/>
              </w:rPr>
              <w:t>XBRL Instance Document</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101.SCH</w:t>
            </w:r>
          </w:p>
        </w:tc>
        <w:tc>
          <w:tcPr>
            <w:tcW w:w="860" w:type="dxa"/>
            <w:vAlign w:val="bottom"/>
          </w:tcPr>
          <w:p>
            <w:pPr>
              <w:spacing w:after="0"/>
              <w:rPr>
                <w:sz w:val="22"/>
                <w:szCs w:val="22"/>
                <w:color w:val="auto"/>
              </w:rPr>
            </w:pPr>
          </w:p>
        </w:tc>
        <w:tc>
          <w:tcPr>
            <w:tcW w:w="9260" w:type="dxa"/>
            <w:vAlign w:val="bottom"/>
            <w:gridSpan w:val="19"/>
          </w:tcPr>
          <w:p>
            <w:pPr>
              <w:spacing w:after="0"/>
              <w:rPr>
                <w:sz w:val="20"/>
                <w:szCs w:val="20"/>
                <w:color w:val="auto"/>
              </w:rPr>
            </w:pPr>
            <w:r>
              <w:rPr>
                <w:rFonts w:ascii="Arial" w:cs="Arial" w:eastAsia="Arial" w:hAnsi="Arial"/>
                <w:sz w:val="17"/>
                <w:szCs w:val="17"/>
                <w:color w:val="auto"/>
              </w:rPr>
              <w:t>XBRL Taxonomy Extension Schema</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101.CAL</w:t>
            </w:r>
          </w:p>
        </w:tc>
        <w:tc>
          <w:tcPr>
            <w:tcW w:w="860" w:type="dxa"/>
            <w:vAlign w:val="bottom"/>
          </w:tcPr>
          <w:p>
            <w:pPr>
              <w:spacing w:after="0"/>
              <w:rPr>
                <w:sz w:val="22"/>
                <w:szCs w:val="22"/>
                <w:color w:val="auto"/>
              </w:rPr>
            </w:pPr>
          </w:p>
        </w:tc>
        <w:tc>
          <w:tcPr>
            <w:tcW w:w="9260" w:type="dxa"/>
            <w:vAlign w:val="bottom"/>
            <w:gridSpan w:val="19"/>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101.LAB</w:t>
            </w:r>
          </w:p>
        </w:tc>
        <w:tc>
          <w:tcPr>
            <w:tcW w:w="860" w:type="dxa"/>
            <w:vAlign w:val="bottom"/>
          </w:tcPr>
          <w:p>
            <w:pPr>
              <w:spacing w:after="0"/>
              <w:rPr>
                <w:sz w:val="22"/>
                <w:szCs w:val="22"/>
                <w:color w:val="auto"/>
              </w:rPr>
            </w:pPr>
          </w:p>
        </w:tc>
        <w:tc>
          <w:tcPr>
            <w:tcW w:w="9260" w:type="dxa"/>
            <w:vAlign w:val="bottom"/>
            <w:gridSpan w:val="19"/>
          </w:tcPr>
          <w:p>
            <w:pPr>
              <w:spacing w:after="0"/>
              <w:rPr>
                <w:sz w:val="20"/>
                <w:szCs w:val="20"/>
                <w:color w:val="auto"/>
              </w:rPr>
            </w:pPr>
            <w:r>
              <w:rPr>
                <w:rFonts w:ascii="Arial" w:cs="Arial" w:eastAsia="Arial" w:hAnsi="Arial"/>
                <w:sz w:val="17"/>
                <w:szCs w:val="17"/>
                <w:color w:val="auto"/>
              </w:rPr>
              <w:t>XBRL Taxonomy Extension Label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101.PRE</w:t>
            </w:r>
          </w:p>
        </w:tc>
        <w:tc>
          <w:tcPr>
            <w:tcW w:w="860" w:type="dxa"/>
            <w:vAlign w:val="bottom"/>
          </w:tcPr>
          <w:p>
            <w:pPr>
              <w:spacing w:after="0"/>
              <w:rPr>
                <w:sz w:val="22"/>
                <w:szCs w:val="22"/>
                <w:color w:val="auto"/>
              </w:rPr>
            </w:pPr>
          </w:p>
        </w:tc>
        <w:tc>
          <w:tcPr>
            <w:tcW w:w="9260" w:type="dxa"/>
            <w:vAlign w:val="bottom"/>
            <w:gridSpan w:val="19"/>
          </w:tcPr>
          <w:p>
            <w:pPr>
              <w:spacing w:after="0"/>
              <w:rPr>
                <w:sz w:val="20"/>
                <w:szCs w:val="20"/>
                <w:color w:val="auto"/>
              </w:rPr>
            </w:pPr>
            <w:r>
              <w:rPr>
                <w:rFonts w:ascii="Arial" w:cs="Arial" w:eastAsia="Arial" w:hAnsi="Arial"/>
                <w:sz w:val="17"/>
                <w:szCs w:val="17"/>
                <w:color w:val="auto"/>
              </w:rPr>
              <w:t>XBRL Taxonomy Extension Presentation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101.DEF</w:t>
            </w:r>
          </w:p>
        </w:tc>
        <w:tc>
          <w:tcPr>
            <w:tcW w:w="860" w:type="dxa"/>
            <w:vAlign w:val="bottom"/>
          </w:tcPr>
          <w:p>
            <w:pPr>
              <w:spacing w:after="0"/>
              <w:rPr>
                <w:sz w:val="22"/>
                <w:szCs w:val="22"/>
                <w:color w:val="auto"/>
              </w:rPr>
            </w:pPr>
          </w:p>
        </w:tc>
        <w:tc>
          <w:tcPr>
            <w:tcW w:w="9260" w:type="dxa"/>
            <w:vAlign w:val="bottom"/>
            <w:gridSpan w:val="19"/>
          </w:tcPr>
          <w:p>
            <w:pPr>
              <w:spacing w:after="0"/>
              <w:rPr>
                <w:sz w:val="20"/>
                <w:szCs w:val="20"/>
                <w:color w:val="auto"/>
              </w:rPr>
            </w:pPr>
            <w:r>
              <w:rPr>
                <w:rFonts w:ascii="Arial" w:cs="Arial" w:eastAsia="Arial" w:hAnsi="Arial"/>
                <w:sz w:val="17"/>
                <w:szCs w:val="17"/>
                <w:color w:val="auto"/>
              </w:rPr>
              <w:t>XBRL Taxonomy Extension Definition Document</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360"/>
          </w:cols>
          <w:pgMar w:left="240" w:top="115" w:right="29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2980"/>
              <w:spacing w:after="0"/>
              <w:rPr>
                <w:sz w:val="20"/>
                <w:szCs w:val="20"/>
                <w:color w:val="auto"/>
              </w:rPr>
            </w:pPr>
            <w:r>
              <w:rPr>
                <w:rFonts w:ascii="Arial" w:cs="Arial" w:eastAsia="Arial" w:hAnsi="Arial"/>
                <w:sz w:val="17"/>
                <w:szCs w:val="17"/>
                <w:b w:val="1"/>
                <w:bCs w:val="1"/>
                <w:color w:val="auto"/>
              </w:rPr>
              <w:t>EXHIBIT INDEX</w:t>
            </w:r>
          </w:p>
        </w:tc>
      </w:tr>
      <w:tr>
        <w:trPr>
          <w:trHeight w:val="560"/>
        </w:trPr>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9360" w:type="dxa"/>
            <w:vAlign w:val="bottom"/>
          </w:tcPr>
          <w:p>
            <w:pPr>
              <w:ind w:left="4340"/>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15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3.1</w:t>
            </w:r>
          </w:p>
        </w:tc>
        <w:tc>
          <w:tcPr>
            <w:tcW w:w="560" w:type="dxa"/>
            <w:vAlign w:val="bottom"/>
          </w:tcPr>
          <w:p>
            <w:pPr>
              <w:spacing w:after="0"/>
              <w:rPr>
                <w:sz w:val="19"/>
                <w:szCs w:val="19"/>
                <w:color w:val="auto"/>
              </w:rPr>
            </w:pPr>
          </w:p>
        </w:tc>
        <w:tc>
          <w:tcPr>
            <w:tcW w:w="9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w w:val="97"/>
              </w:rPr>
              <w:t>Amended and Restated Certificate of Incorporation of Virtu Financial, Inc. (incorporated herein by reference to Exhibit 3.1 to the</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Company's Quarterly Report on Form 10-Q, as amended (File No. 001-37352) filed on May 29, 2015).</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3.2</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Amended and Restated By-laws of Virtu Financial, Inc. (incorporated herein by reference to Exhibit 3.2 to the Company's Quarterly</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Report on Form 10-Q, as amended (File No. 001-37352), filed on May 29, 2015).</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10.1</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Amended and Restated Registration Rights Agreement, dated April 20, 2017, by and among Virtu Financial, Inc., TJMT Holdings</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7"/>
              </w:rPr>
              <w:t>LLC, Aranda Investments Pte. Ltd., Havelock Fund Investments Pte Ltd., North Island Holdings I, LP and the additional holders</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named therein (incorporated herein by reference to Exhibit 10.3 to the Company’s Quarterly Report on Form 10-Q (File No. 001-</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37352), filed on May 10, 2017).</w:t>
            </w:r>
          </w:p>
        </w:tc>
      </w:tr>
      <w:tr>
        <w:trPr>
          <w:trHeight w:val="461"/>
        </w:trPr>
        <w:tc>
          <w:tcPr>
            <w:tcW w:w="1500" w:type="dxa"/>
            <w:vAlign w:val="bottom"/>
          </w:tcPr>
          <w:p>
            <w:pPr>
              <w:ind w:left="40"/>
              <w:spacing w:after="0"/>
              <w:rPr>
                <w:sz w:val="20"/>
                <w:szCs w:val="20"/>
                <w:color w:val="auto"/>
              </w:rPr>
            </w:pPr>
            <w:r>
              <w:rPr>
                <w:rFonts w:ascii="Arial" w:cs="Arial" w:eastAsia="Arial" w:hAnsi="Arial"/>
                <w:sz w:val="17"/>
                <w:szCs w:val="17"/>
                <w:color w:val="auto"/>
              </w:rPr>
              <w:t>10.2</w:t>
            </w:r>
          </w:p>
        </w:tc>
        <w:tc>
          <w:tcPr>
            <w:tcW w:w="560" w:type="dxa"/>
            <w:vAlign w:val="bottom"/>
          </w:tcPr>
          <w:p>
            <w:pPr>
              <w:spacing w:after="0"/>
              <w:rPr>
                <w:sz w:val="24"/>
                <w:szCs w:val="24"/>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Virtu Financial, Inc. 2015 Management Incentive Plan Employee Restricted Stock Unit and Common Stock Award Agreement,</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dated as of January 23, 2018, by and between Virtu Financial, Inc. and Joseph Molluso (incorporated herein by reference to Exhibit</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10.8 to the Company’s Annual Report on Form 10-K (File No. 001-37352), filed on March 13, 2018).</w:t>
            </w:r>
          </w:p>
        </w:tc>
      </w:tr>
      <w:tr>
        <w:trPr>
          <w:trHeight w:val="461"/>
        </w:trPr>
        <w:tc>
          <w:tcPr>
            <w:tcW w:w="1500" w:type="dxa"/>
            <w:vAlign w:val="bottom"/>
          </w:tcPr>
          <w:p>
            <w:pPr>
              <w:ind w:left="40"/>
              <w:spacing w:after="0"/>
              <w:rPr>
                <w:sz w:val="20"/>
                <w:szCs w:val="20"/>
                <w:color w:val="auto"/>
              </w:rPr>
            </w:pPr>
            <w:r>
              <w:rPr>
                <w:rFonts w:ascii="Arial" w:cs="Arial" w:eastAsia="Arial" w:hAnsi="Arial"/>
                <w:sz w:val="17"/>
                <w:szCs w:val="17"/>
                <w:color w:val="auto"/>
              </w:rPr>
              <w:t>10.3</w:t>
            </w:r>
          </w:p>
        </w:tc>
        <w:tc>
          <w:tcPr>
            <w:tcW w:w="560" w:type="dxa"/>
            <w:vAlign w:val="bottom"/>
          </w:tcPr>
          <w:p>
            <w:pPr>
              <w:spacing w:after="0"/>
              <w:rPr>
                <w:sz w:val="24"/>
                <w:szCs w:val="24"/>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Virtu Financial, Inc. 2015 Management Incentive Plan Employee Restricted Stock Unit and Common Stock Award Agreement,</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dated as of January 23, 2018, by and between Virtu Financial, Inc. and Douglas A. Cifu (incorporated herein by reference to Exhibit</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10.9 to the Company’s Annual Report on Form 10-K (File No. 001-37352), filed on March 13,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10.4</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Virtu Financial, Inc. 2015 Amended and Restated Management Incentive Plan Employee Restricted Stock Award Agreement, dated</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as of February 2, 2018, by and between Virtu Financial, Inc. and Douglas A. Cifu (incorporated herein by reference to Exhibit 10.10</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to the Company’s Annual Report on Form 10-K (File No. 001-37352), filed on March 13,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10.5*</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2"/>
              </w:rPr>
              <w:t>Amendment No. 2, dated as of September 19, 2018, to the Fourth Amended and Restated Credit Agreement, dated June 30, 2017, by</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and between Virtu Financial LLC, VFH Parent LLC, the lenders party thereto and JPMorgan Chase Bank, N.A.</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10.6</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Third Amendment, dated as of January 5, 2018, to the Third Amended and Restated Limited Liability Company Agreement of Virtu</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Financial LLC, dated as of April 15, 2015 (incorporated herein by reference to Exhibit 10.30 to the Company’s Annual Report on</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Form 10-K (File No. 001-37352), filed on March 13,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10.7</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Employment Agreement, dated as of June 24, 2015, by and between Stephen Cavoli and Virtu Financial Operating LLC</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5"/>
              </w:rPr>
              <w:t>(incorporated by reference to Exhibit 10.7 to the Company’s Quarterly Report on Form 10-Q (File No. 001-37352), filed on May 7,</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10.8</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Virtu Financial, Inc. 2015 Management Incentive Plan Employee Restricted Stock Unit Award Agreement, dated as of August 24,</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2015, by and between Virtu Financial, Inc. and Stephen Cavoli (incorporated by reference to Exhibit 10.8 to the Company’s</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Quarterly Report on Form 10-Q (File No. 001-37352), filed on May 7,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10.9</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Virtu Financial, Inc. 2015 Management Incentive Plan Employee Restricted Stock Unit and Common Stock Award Agreement,</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dated as of December 31, 2016, by and between Virtu Financial, Inc. and Stephen Cavoli (incorporated by reference to Exhibit 10.9</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to the Company’s Quarterly Report on Form 10-Q (File No. 001-37352), filed on May 7,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10.10</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3"/>
              </w:rPr>
              <w:t>Virtu Financial, Inc. Amended and Restated 2015 Management Incentive Plan Employee Restricted Stock Unit Agreement, dated as</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of March 21, 2018, by and between Virtu Financial, Inc. and Joseph Molluso (incorporated by reference to Exhibit 10.10 to the</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Company’s Quarterly Report on Form 10-Q (File No. 001-37352), filed on May 7,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10.11</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Underwriting Agreement, dated May 10, 2018, by and among Virtu Financial, Inc., Virtu Financial LLC, the selling stockholders</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5"/>
              </w:rPr>
              <w:t>party thereto and the Underwriters (incorporated herein by reference to Exhibit 1.1 to the Company’s Current Report on Form 8-K</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(File No. 001-37352), filed on May 15,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10.12</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Amendment No. 1 to the Amended and Restated Registration Rights Agreement, dated May 10, 2018, by and among Virtu</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5"/>
              </w:rPr>
              <w:t>Financial, Inc., TJMT Holdings LLC, North Island Holdings I, LP, Havelock Fund Investments Pte Ltd and Aranda Investments Pte.</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5"/>
              </w:rPr>
              <w:t>Ltd (incorporated herein by reference to Exhibit 10.1 to the Company’s Current Report on Form 8-K (File No. 001-37352), filed on</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May 15, 2018).</w:t>
            </w:r>
          </w:p>
        </w:tc>
      </w:tr>
      <w:tr>
        <w:trPr>
          <w:trHeight w:val="472"/>
        </w:trPr>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60" w:type="dxa"/>
            <w:vAlign w:val="bottom"/>
          </w:tcPr>
          <w:p>
            <w:pPr>
              <w:ind w:left="3560"/>
              <w:spacing w:after="0"/>
              <w:rPr>
                <w:sz w:val="20"/>
                <w:szCs w:val="20"/>
                <w:color w:val="auto"/>
              </w:rPr>
            </w:pPr>
            <w:r>
              <w:rPr>
                <w:rFonts w:ascii="Arial" w:cs="Arial" w:eastAsia="Arial" w:hAnsi="Arial"/>
                <w:sz w:val="17"/>
                <w:szCs w:val="17"/>
                <w:color w:val="auto"/>
              </w:rPr>
              <w:t>84</w:t>
            </w:r>
          </w:p>
        </w:tc>
      </w:tr>
    </w:tbl>
    <w:p>
      <w:pPr>
        <w:sectPr>
          <w:pgSz w:w="11900" w:h="16838" w:orient="portrait"/>
          <w:cols w:equalWidth="0" w:num="1">
            <w:col w:w="11420"/>
          </w:cols>
          <w:pgMar w:left="240" w:top="127"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EE"/>
            </w:tcBorders>
          </w:tcPr>
          <w:p>
            <w:pPr>
              <w:spacing w:after="0"/>
              <w:rPr>
                <w:rFonts w:ascii="Arial" w:cs="Arial" w:eastAsia="Arial" w:hAnsi="Arial"/>
                <w:sz w:val="17"/>
                <w:szCs w:val="17"/>
                <w:color w:val="0000EE"/>
                <w:w w:val="90"/>
              </w:rPr>
            </w:pPr>
            <w:hyperlink w:anchor="page2">
              <w:r>
                <w:rPr>
                  <w:rFonts w:ascii="Arial" w:cs="Arial" w:eastAsia="Arial" w:hAnsi="Arial"/>
                  <w:sz w:val="17"/>
                  <w:szCs w:val="17"/>
                  <w:color w:val="0000EE"/>
                  <w:w w:val="90"/>
                </w:rPr>
                <w:t>Table of Contents</w:t>
              </w:r>
            </w:hyperlink>
          </w:p>
        </w:tc>
        <w:tc>
          <w:tcPr>
            <w:tcW w:w="10120" w:type="dxa"/>
            <w:vAlign w:val="bottom"/>
          </w:tcPr>
          <w:p>
            <w:pPr>
              <w:spacing w:after="0"/>
              <w:rPr>
                <w:sz w:val="16"/>
                <w:szCs w:val="16"/>
                <w:color w:val="auto"/>
              </w:rPr>
            </w:pPr>
          </w:p>
        </w:tc>
      </w:tr>
      <w:tr>
        <w:trPr>
          <w:trHeight w:val="611"/>
        </w:trPr>
        <w:tc>
          <w:tcPr>
            <w:tcW w:w="1240" w:type="dxa"/>
            <w:vAlign w:val="bottom"/>
          </w:tcPr>
          <w:p>
            <w:pPr>
              <w:ind w:left="40"/>
              <w:spacing w:after="0"/>
              <w:rPr>
                <w:sz w:val="20"/>
                <w:szCs w:val="20"/>
                <w:color w:val="auto"/>
              </w:rPr>
            </w:pPr>
            <w:r>
              <w:rPr>
                <w:rFonts w:ascii="Arial" w:cs="Arial" w:eastAsia="Arial" w:hAnsi="Arial"/>
                <w:sz w:val="17"/>
                <w:szCs w:val="17"/>
                <w:color w:val="auto"/>
              </w:rPr>
              <w:t>10.13</w:t>
            </w:r>
          </w:p>
        </w:tc>
        <w:tc>
          <w:tcPr>
            <w:tcW w:w="10120" w:type="dxa"/>
            <w:vAlign w:val="bottom"/>
          </w:tcPr>
          <w:p>
            <w:pPr>
              <w:ind w:left="860"/>
              <w:spacing w:after="0"/>
              <w:rPr>
                <w:sz w:val="20"/>
                <w:szCs w:val="20"/>
                <w:color w:val="auto"/>
              </w:rPr>
            </w:pPr>
            <w:r>
              <w:rPr>
                <w:rFonts w:ascii="Arial" w:cs="Arial" w:eastAsia="Arial" w:hAnsi="Arial"/>
                <w:sz w:val="17"/>
                <w:szCs w:val="17"/>
                <w:color w:val="auto"/>
                <w:w w:val="93"/>
              </w:rPr>
              <w:t>Amendment No. 1 to Amended and Restated Lock-up Waivers Agreement, dated May 10, 2018, by and among Virtu Financial, Inc.,</w:t>
            </w:r>
          </w:p>
        </w:tc>
      </w:tr>
      <w:tr>
        <w:trPr>
          <w:trHeight w:val="210"/>
        </w:trPr>
        <w:tc>
          <w:tcPr>
            <w:tcW w:w="1240" w:type="dxa"/>
            <w:vAlign w:val="bottom"/>
          </w:tcPr>
          <w:p>
            <w:pPr>
              <w:spacing w:after="0"/>
              <w:rPr>
                <w:sz w:val="18"/>
                <w:szCs w:val="18"/>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w w:val="95"/>
              </w:rPr>
              <w:t>TJMT Holdings LLC, Mr. Vincent Viola, Havelock Fund Investments Pte Ltd, Aranda Investments Pte. Ltd., North Island Holdings</w:t>
            </w:r>
          </w:p>
        </w:tc>
      </w:tr>
      <w:tr>
        <w:trPr>
          <w:trHeight w:val="210"/>
        </w:trPr>
        <w:tc>
          <w:tcPr>
            <w:tcW w:w="1240" w:type="dxa"/>
            <w:vAlign w:val="bottom"/>
          </w:tcPr>
          <w:p>
            <w:pPr>
              <w:spacing w:after="0"/>
              <w:rPr>
                <w:sz w:val="18"/>
                <w:szCs w:val="18"/>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w w:val="98"/>
              </w:rPr>
              <w:t>I, LP and the stockholders named therein (incorporated herein by reference to Exhibit 99.8 to the Report on Schedule 13D of</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Vincent Viola (File No. 005-89306),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10.14</w:t>
            </w:r>
          </w:p>
        </w:tc>
        <w:tc>
          <w:tcPr>
            <w:tcW w:w="10120" w:type="dxa"/>
            <w:vAlign w:val="bottom"/>
          </w:tcPr>
          <w:p>
            <w:pPr>
              <w:ind w:left="860"/>
              <w:spacing w:after="0"/>
              <w:rPr>
                <w:sz w:val="20"/>
                <w:szCs w:val="20"/>
                <w:color w:val="auto"/>
              </w:rPr>
            </w:pPr>
            <w:r>
              <w:rPr>
                <w:rFonts w:ascii="Arial" w:cs="Arial" w:eastAsia="Arial" w:hAnsi="Arial"/>
                <w:sz w:val="17"/>
                <w:szCs w:val="17"/>
                <w:color w:val="auto"/>
                <w:w w:val="96"/>
              </w:rPr>
              <w:t>Purchase Agreement, dated May 10, 2018, by and among Virtu Financial, Inc. and TJMT Holdings LLC (incorporated herein by</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reference to Exhibit 10.2 to the Company’s Current Report on Form 8-K (File No. 001-37352),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10.15</w:t>
            </w:r>
          </w:p>
        </w:tc>
        <w:tc>
          <w:tcPr>
            <w:tcW w:w="10120" w:type="dxa"/>
            <w:vAlign w:val="bottom"/>
          </w:tcPr>
          <w:p>
            <w:pPr>
              <w:ind w:left="860"/>
              <w:spacing w:after="0"/>
              <w:rPr>
                <w:sz w:val="20"/>
                <w:szCs w:val="20"/>
                <w:color w:val="auto"/>
              </w:rPr>
            </w:pPr>
            <w:r>
              <w:rPr>
                <w:rFonts w:ascii="Arial" w:cs="Arial" w:eastAsia="Arial" w:hAnsi="Arial"/>
                <w:sz w:val="17"/>
                <w:szCs w:val="17"/>
                <w:color w:val="auto"/>
                <w:w w:val="97"/>
              </w:rPr>
              <w:t>Lock-up Agreement, dated May 10, 2018, entered into by Vincent Viola (incorporated herein by reference to Exhibit 99.2 to the</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Report on Schedule 13D of Vincent Viola (File No. 005-89306),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10.16</w:t>
            </w:r>
          </w:p>
        </w:tc>
        <w:tc>
          <w:tcPr>
            <w:tcW w:w="10120" w:type="dxa"/>
            <w:vAlign w:val="bottom"/>
          </w:tcPr>
          <w:p>
            <w:pPr>
              <w:ind w:left="860"/>
              <w:spacing w:after="0"/>
              <w:rPr>
                <w:sz w:val="20"/>
                <w:szCs w:val="20"/>
                <w:color w:val="auto"/>
              </w:rPr>
            </w:pPr>
            <w:r>
              <w:rPr>
                <w:rFonts w:ascii="Arial" w:cs="Arial" w:eastAsia="Arial" w:hAnsi="Arial"/>
                <w:sz w:val="17"/>
                <w:szCs w:val="17"/>
                <w:color w:val="auto"/>
                <w:w w:val="95"/>
              </w:rPr>
              <w:t>Lock-up Agreement, dated May 10, 2018, entered into by Michael T. Viola (incorporated herein by reference to Exhibit 99.3 to the</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Report on Schedule 13D of Vincent Viola (File No. 005-89306),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10.17</w:t>
            </w:r>
          </w:p>
        </w:tc>
        <w:tc>
          <w:tcPr>
            <w:tcW w:w="10120" w:type="dxa"/>
            <w:vAlign w:val="bottom"/>
          </w:tcPr>
          <w:p>
            <w:pPr>
              <w:ind w:left="860"/>
              <w:spacing w:after="0"/>
              <w:rPr>
                <w:sz w:val="20"/>
                <w:szCs w:val="20"/>
                <w:color w:val="auto"/>
              </w:rPr>
            </w:pPr>
            <w:r>
              <w:rPr>
                <w:rFonts w:ascii="Arial" w:cs="Arial" w:eastAsia="Arial" w:hAnsi="Arial"/>
                <w:sz w:val="17"/>
                <w:szCs w:val="17"/>
                <w:color w:val="auto"/>
                <w:w w:val="95"/>
              </w:rPr>
              <w:t>Lock-up Agreement, dated May 10, 2018, entered into by TJMT Holdings LLC (incorporated herein by reference to Exhibit 99.4 to</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the Report on Schedule 13D of Vincent Viola (File No. 005-89306),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10.18</w:t>
            </w:r>
          </w:p>
        </w:tc>
        <w:tc>
          <w:tcPr>
            <w:tcW w:w="10120" w:type="dxa"/>
            <w:vAlign w:val="bottom"/>
          </w:tcPr>
          <w:p>
            <w:pPr>
              <w:ind w:left="860"/>
              <w:spacing w:after="0"/>
              <w:rPr>
                <w:sz w:val="20"/>
                <w:szCs w:val="20"/>
                <w:color w:val="auto"/>
              </w:rPr>
            </w:pPr>
            <w:r>
              <w:rPr>
                <w:rFonts w:ascii="Arial" w:cs="Arial" w:eastAsia="Arial" w:hAnsi="Arial"/>
                <w:sz w:val="17"/>
                <w:szCs w:val="17"/>
                <w:color w:val="auto"/>
                <w:w w:val="94"/>
              </w:rPr>
              <w:t>Lock-up Agreement, dated May 10, 2018, entered into by Virtu Employee Holdco LLC (incorporated herein by reference to Exhibit</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99.5 to the Report on Schedule 13D of Vincent Viola (File No. 005-89306),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31.1*</w:t>
            </w:r>
          </w:p>
        </w:tc>
        <w:tc>
          <w:tcPr>
            <w:tcW w:w="10120" w:type="dxa"/>
            <w:vAlign w:val="bottom"/>
          </w:tcPr>
          <w:p>
            <w:pPr>
              <w:ind w:left="860"/>
              <w:spacing w:after="0"/>
              <w:rPr>
                <w:sz w:val="20"/>
                <w:szCs w:val="20"/>
                <w:color w:val="auto"/>
              </w:rPr>
            </w:pPr>
            <w:r>
              <w:rPr>
                <w:rFonts w:ascii="Arial" w:cs="Arial" w:eastAsia="Arial" w:hAnsi="Arial"/>
                <w:sz w:val="17"/>
                <w:szCs w:val="17"/>
                <w:color w:val="auto"/>
                <w:w w:val="99"/>
              </w:rPr>
              <w:t>Certification of Chief Executive Officer required by Rule 13a-14(a)/15d-14(a) under the Securities Exchange Act of 1934, as</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amended, as adopted pursuant to Section 302 of the Sarbanes-Oxley Act of 2002.</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31.2*</w:t>
            </w:r>
          </w:p>
        </w:tc>
        <w:tc>
          <w:tcPr>
            <w:tcW w:w="10120" w:type="dxa"/>
            <w:vAlign w:val="bottom"/>
          </w:tcPr>
          <w:p>
            <w:pPr>
              <w:ind w:left="860"/>
              <w:spacing w:after="0"/>
              <w:rPr>
                <w:sz w:val="20"/>
                <w:szCs w:val="20"/>
                <w:color w:val="auto"/>
              </w:rPr>
            </w:pPr>
            <w:r>
              <w:rPr>
                <w:rFonts w:ascii="Arial" w:cs="Arial" w:eastAsia="Arial" w:hAnsi="Arial"/>
                <w:sz w:val="17"/>
                <w:szCs w:val="17"/>
                <w:color w:val="auto"/>
              </w:rPr>
              <w:t>Certification of Chief Financial Officer required by Rule 13a-14(a)/15d-14(a) under the Securities Exchange Act of 1934, as</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amended, as adopted pursuant to Section 302 of the Sarbanes-Oxley Act of 2002.</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32.1*</w:t>
            </w:r>
          </w:p>
        </w:tc>
        <w:tc>
          <w:tcPr>
            <w:tcW w:w="10120" w:type="dxa"/>
            <w:vAlign w:val="bottom"/>
          </w:tcPr>
          <w:p>
            <w:pPr>
              <w:ind w:left="860"/>
              <w:spacing w:after="0"/>
              <w:rPr>
                <w:sz w:val="20"/>
                <w:szCs w:val="20"/>
                <w:color w:val="auto"/>
              </w:rPr>
            </w:pPr>
            <w:r>
              <w:rPr>
                <w:rFonts w:ascii="Arial" w:cs="Arial" w:eastAsia="Arial" w:hAnsi="Arial"/>
                <w:sz w:val="17"/>
                <w:szCs w:val="17"/>
                <w:color w:val="auto"/>
                <w:w w:val="95"/>
              </w:rPr>
              <w:t>Certification of Chief Executive Officer pursuant to 18 U.S.C. Section 1350, as adopted pursuant to Section 906 of the Sarbanes-</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Oxley Act of 2002 (furnished herewith).</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32.2*</w:t>
            </w:r>
          </w:p>
        </w:tc>
        <w:tc>
          <w:tcPr>
            <w:tcW w:w="10120" w:type="dxa"/>
            <w:vAlign w:val="bottom"/>
          </w:tcPr>
          <w:p>
            <w:pPr>
              <w:ind w:left="860"/>
              <w:spacing w:after="0"/>
              <w:rPr>
                <w:sz w:val="20"/>
                <w:szCs w:val="20"/>
                <w:color w:val="auto"/>
              </w:rPr>
            </w:pPr>
            <w:r>
              <w:rPr>
                <w:rFonts w:ascii="Arial" w:cs="Arial" w:eastAsia="Arial" w:hAnsi="Arial"/>
                <w:sz w:val="17"/>
                <w:szCs w:val="17"/>
                <w:color w:val="auto"/>
                <w:w w:val="96"/>
              </w:rPr>
              <w:t>Certification of Chief Financial Officer pursuant to 18 U.S.C. Section 1350, as adopted pursuant to Section 906 of the Sarbanes-</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Oxley Act of 2002 (furnished herewith).</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101.INS</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Instance Document</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101.SCH</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Taxonomy Extension Schema</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101.CAL</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Taxonomy Extension Calculation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101.LAB</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Taxonomy Extension Label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101.PRE</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Taxonomy Extension Presentation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101.DEF</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Taxonomy Extension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360"/>
          </w:cols>
          <w:pgMar w:left="240" w:top="115" w:right="29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320" w:type="dxa"/>
            <w:vAlign w:val="bottom"/>
            <w:gridSpan w:val="2"/>
          </w:tcPr>
          <w:p>
            <w:pPr>
              <w:ind w:left="480"/>
              <w:spacing w:after="0"/>
              <w:rPr>
                <w:sz w:val="20"/>
                <w:szCs w:val="20"/>
                <w:color w:val="auto"/>
              </w:rPr>
            </w:pPr>
            <w:r>
              <w:rPr>
                <w:rFonts w:ascii="Arial" w:cs="Arial" w:eastAsia="Arial" w:hAnsi="Arial"/>
                <w:sz w:val="17"/>
                <w:szCs w:val="17"/>
                <w:color w:val="auto"/>
              </w:rPr>
              <w:t>Virtu Financial, Inc.</w:t>
            </w:r>
          </w:p>
        </w:tc>
      </w:tr>
      <w:tr>
        <w:trPr>
          <w:trHeight w:val="787"/>
        </w:trPr>
        <w:tc>
          <w:tcPr>
            <w:tcW w:w="860" w:type="dxa"/>
            <w:vAlign w:val="bottom"/>
          </w:tcPr>
          <w:p>
            <w:pPr>
              <w:spacing w:after="0"/>
              <w:rPr>
                <w:sz w:val="20"/>
                <w:szCs w:val="20"/>
                <w:color w:val="auto"/>
              </w:rPr>
            </w:pPr>
            <w:r>
              <w:rPr>
                <w:rFonts w:ascii="Arial" w:cs="Arial" w:eastAsia="Arial" w:hAnsi="Arial"/>
                <w:sz w:val="17"/>
                <w:szCs w:val="17"/>
                <w:color w:val="auto"/>
              </w:rPr>
              <w:t>DATE:</w:t>
            </w:r>
          </w:p>
        </w:tc>
        <w:tc>
          <w:tcPr>
            <w:tcW w:w="2200" w:type="dxa"/>
            <w:vAlign w:val="bottom"/>
          </w:tcPr>
          <w:p>
            <w:pPr>
              <w:ind w:left="400"/>
              <w:spacing w:after="0"/>
              <w:rPr>
                <w:sz w:val="20"/>
                <w:szCs w:val="20"/>
                <w:color w:val="auto"/>
              </w:rPr>
            </w:pPr>
            <w:r>
              <w:rPr>
                <w:rFonts w:ascii="Arial" w:cs="Arial" w:eastAsia="Arial" w:hAnsi="Arial"/>
                <w:sz w:val="17"/>
                <w:szCs w:val="17"/>
                <w:color w:val="auto"/>
              </w:rPr>
              <w:t>November 8, 2018</w:t>
            </w:r>
          </w:p>
        </w:tc>
        <w:tc>
          <w:tcPr>
            <w:tcW w:w="1020" w:type="dxa"/>
            <w:vAlign w:val="bottom"/>
          </w:tcPr>
          <w:p>
            <w:pPr>
              <w:ind w:left="480"/>
              <w:spacing w:after="0"/>
              <w:rPr>
                <w:sz w:val="20"/>
                <w:szCs w:val="20"/>
                <w:color w:val="auto"/>
              </w:rPr>
            </w:pPr>
            <w:r>
              <w:rPr>
                <w:rFonts w:ascii="Arial" w:cs="Arial" w:eastAsia="Arial" w:hAnsi="Arial"/>
                <w:sz w:val="17"/>
                <w:szCs w:val="17"/>
                <w:color w:val="auto"/>
              </w:rPr>
              <w:t>By:</w:t>
            </w:r>
          </w:p>
        </w:tc>
        <w:tc>
          <w:tcPr>
            <w:tcW w:w="7300" w:type="dxa"/>
            <w:vAlign w:val="bottom"/>
          </w:tcPr>
          <w:p>
            <w:pPr>
              <w:ind w:left="40"/>
              <w:spacing w:after="0"/>
              <w:rPr>
                <w:sz w:val="20"/>
                <w:szCs w:val="20"/>
                <w:color w:val="auto"/>
              </w:rPr>
            </w:pPr>
            <w:r>
              <w:rPr>
                <w:rFonts w:ascii="Arial" w:cs="Arial" w:eastAsia="Arial" w:hAnsi="Arial"/>
                <w:sz w:val="17"/>
                <w:szCs w:val="17"/>
                <w:color w:val="auto"/>
              </w:rPr>
              <w:t>/s/ Douglas A. Cifu</w:t>
            </w:r>
          </w:p>
        </w:tc>
      </w:tr>
      <w:tr>
        <w:trPr>
          <w:trHeight w:val="27"/>
        </w:trPr>
        <w:tc>
          <w:tcPr>
            <w:tcW w:w="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r>
      <w:tr>
        <w:trPr>
          <w:trHeight w:val="229"/>
        </w:trPr>
        <w:tc>
          <w:tcPr>
            <w:tcW w:w="8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Douglas A. Cifu</w:t>
            </w:r>
          </w:p>
        </w:tc>
      </w:tr>
      <w:tr>
        <w:trPr>
          <w:trHeight w:val="262"/>
        </w:trPr>
        <w:tc>
          <w:tcPr>
            <w:tcW w:w="8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r>
        <w:trPr>
          <w:trHeight w:val="787"/>
        </w:trPr>
        <w:tc>
          <w:tcPr>
            <w:tcW w:w="860" w:type="dxa"/>
            <w:vAlign w:val="bottom"/>
          </w:tcPr>
          <w:p>
            <w:pPr>
              <w:spacing w:after="0"/>
              <w:rPr>
                <w:sz w:val="20"/>
                <w:szCs w:val="20"/>
                <w:color w:val="auto"/>
              </w:rPr>
            </w:pPr>
            <w:r>
              <w:rPr>
                <w:rFonts w:ascii="Arial" w:cs="Arial" w:eastAsia="Arial" w:hAnsi="Arial"/>
                <w:sz w:val="17"/>
                <w:szCs w:val="17"/>
                <w:color w:val="auto"/>
              </w:rPr>
              <w:t>DATE:</w:t>
            </w:r>
          </w:p>
        </w:tc>
        <w:tc>
          <w:tcPr>
            <w:tcW w:w="2200" w:type="dxa"/>
            <w:vAlign w:val="bottom"/>
          </w:tcPr>
          <w:p>
            <w:pPr>
              <w:ind w:left="400"/>
              <w:spacing w:after="0"/>
              <w:rPr>
                <w:sz w:val="20"/>
                <w:szCs w:val="20"/>
                <w:color w:val="auto"/>
              </w:rPr>
            </w:pPr>
            <w:r>
              <w:rPr>
                <w:rFonts w:ascii="Arial" w:cs="Arial" w:eastAsia="Arial" w:hAnsi="Arial"/>
                <w:sz w:val="17"/>
                <w:szCs w:val="17"/>
                <w:color w:val="auto"/>
              </w:rPr>
              <w:t>November 8, 2018</w:t>
            </w:r>
          </w:p>
        </w:tc>
        <w:tc>
          <w:tcPr>
            <w:tcW w:w="1020" w:type="dxa"/>
            <w:vAlign w:val="bottom"/>
          </w:tcPr>
          <w:p>
            <w:pPr>
              <w:ind w:left="480"/>
              <w:spacing w:after="0"/>
              <w:rPr>
                <w:sz w:val="20"/>
                <w:szCs w:val="20"/>
                <w:color w:val="auto"/>
              </w:rPr>
            </w:pPr>
            <w:r>
              <w:rPr>
                <w:rFonts w:ascii="Arial" w:cs="Arial" w:eastAsia="Arial" w:hAnsi="Arial"/>
                <w:sz w:val="17"/>
                <w:szCs w:val="17"/>
                <w:color w:val="auto"/>
              </w:rPr>
              <w:t>By:</w:t>
            </w:r>
          </w:p>
        </w:tc>
        <w:tc>
          <w:tcPr>
            <w:tcW w:w="7300" w:type="dxa"/>
            <w:vAlign w:val="bottom"/>
          </w:tcPr>
          <w:p>
            <w:pPr>
              <w:ind w:left="40"/>
              <w:spacing w:after="0"/>
              <w:rPr>
                <w:sz w:val="20"/>
                <w:szCs w:val="20"/>
                <w:color w:val="auto"/>
              </w:rPr>
            </w:pPr>
            <w:r>
              <w:rPr>
                <w:rFonts w:ascii="Arial" w:cs="Arial" w:eastAsia="Arial" w:hAnsi="Arial"/>
                <w:sz w:val="17"/>
                <w:szCs w:val="17"/>
                <w:color w:val="auto"/>
              </w:rPr>
              <w:t>/s/ Joseph Molluso</w:t>
            </w:r>
          </w:p>
        </w:tc>
      </w:tr>
      <w:tr>
        <w:trPr>
          <w:trHeight w:val="27"/>
        </w:trPr>
        <w:tc>
          <w:tcPr>
            <w:tcW w:w="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r>
      <w:tr>
        <w:trPr>
          <w:trHeight w:val="229"/>
        </w:trPr>
        <w:tc>
          <w:tcPr>
            <w:tcW w:w="8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Joseph Molluso</w:t>
            </w:r>
          </w:p>
        </w:tc>
      </w:tr>
      <w:tr>
        <w:trPr>
          <w:trHeight w:val="262"/>
        </w:trPr>
        <w:tc>
          <w:tcPr>
            <w:tcW w:w="8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r>
        <w:trPr>
          <w:trHeight w:val="472"/>
        </w:trPr>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00" w:type="dxa"/>
            <w:vAlign w:val="bottom"/>
          </w:tcPr>
          <w:p>
            <w:pPr>
              <w:ind w:left="1500"/>
              <w:spacing w:after="0"/>
              <w:rPr>
                <w:sz w:val="20"/>
                <w:szCs w:val="20"/>
                <w:color w:val="auto"/>
              </w:rPr>
            </w:pPr>
            <w:r>
              <w:rPr>
                <w:rFonts w:ascii="Arial" w:cs="Arial" w:eastAsia="Arial" w:hAnsi="Arial"/>
                <w:sz w:val="17"/>
                <w:szCs w:val="17"/>
                <w:color w:val="auto"/>
              </w:rPr>
              <w:t>86</w:t>
            </w:r>
          </w:p>
        </w:tc>
      </w:tr>
    </w:tbl>
    <w:p>
      <w:pPr>
        <w:sectPr>
          <w:pgSz w:w="11900" w:h="16838" w:orient="portrait"/>
          <w:cols w:equalWidth="0" w:num="1">
            <w:col w:w="11420"/>
          </w:cols>
          <w:pgMar w:left="240" w:top="127" w:right="239" w:bottom="1440" w:gutter="0" w:footer="0" w:header="0"/>
        </w:sectPr>
      </w:pPr>
    </w:p>
    <w:bookmarkStart w:id="86" w:name="page87"/>
    <w:bookmarkEnd w:id="86"/>
    <w:p>
      <w:pPr>
        <w:ind w:left="4580"/>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9"/>
          <w:szCs w:val="19"/>
          <w:b w:val="1"/>
          <w:bCs w:val="1"/>
          <w:color w:val="auto"/>
        </w:rPr>
        <w:t>AMENDED AND RESTATED</w:t>
      </w:r>
    </w:p>
    <w:p>
      <w:pPr>
        <w:spacing w:after="0" w:line="5" w:lineRule="exact"/>
        <w:rPr>
          <w:sz w:val="20"/>
          <w:szCs w:val="20"/>
          <w:color w:val="auto"/>
        </w:rPr>
      </w:pPr>
    </w:p>
    <w:p>
      <w:pPr>
        <w:ind w:left="3920"/>
        <w:spacing w:after="0"/>
        <w:rPr>
          <w:sz w:val="20"/>
          <w:szCs w:val="20"/>
          <w:color w:val="auto"/>
        </w:rPr>
      </w:pPr>
      <w:r>
        <w:rPr>
          <w:rFonts w:ascii="Arial" w:cs="Arial" w:eastAsia="Arial" w:hAnsi="Arial"/>
          <w:sz w:val="19"/>
          <w:szCs w:val="19"/>
          <w:b w:val="1"/>
          <w:bCs w:val="1"/>
          <w:color w:val="auto"/>
        </w:rPr>
        <w:t>2015 MANAGEMENT INCENTIVE PLAN</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EMPLOYEE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9"/>
          <w:szCs w:val="19"/>
          <w:b w:val="1"/>
          <w:bCs w:val="1"/>
          <w:u w:val="single" w:color="auto"/>
          <w:color w:val="auto"/>
        </w:rPr>
        <w:t>RESTRICTED STOCK UNIT AGREEMENT</w:t>
      </w:r>
    </w:p>
    <w:p>
      <w:pPr>
        <w:spacing w:after="0" w:line="146" w:lineRule="exact"/>
        <w:rPr>
          <w:sz w:val="20"/>
          <w:szCs w:val="20"/>
          <w:color w:val="auto"/>
        </w:rPr>
      </w:pPr>
    </w:p>
    <w:p>
      <w:pPr>
        <w:ind w:right="580" w:firstLine="630"/>
        <w:spacing w:after="0" w:line="303" w:lineRule="auto"/>
        <w:rPr>
          <w:sz w:val="20"/>
          <w:szCs w:val="20"/>
          <w:color w:val="auto"/>
        </w:rPr>
      </w:pPr>
      <w:r>
        <w:rPr>
          <w:rFonts w:ascii="Arial" w:cs="Arial" w:eastAsia="Arial" w:hAnsi="Arial"/>
          <w:sz w:val="18"/>
          <w:szCs w:val="18"/>
          <w:color w:val="auto"/>
        </w:rPr>
        <w:t>THIS RESTRICTED STOCK UNIT AWARD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21, 2018 (the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w:t>
      </w:r>
      <w:r>
        <w:rPr>
          <w:rFonts w:ascii="Arial" w:cs="Arial" w:eastAsia="Arial" w:hAnsi="Arial"/>
          <w:sz w:val="18"/>
          <w:szCs w:val="18"/>
          <w:color w:val="auto"/>
        </w:rPr>
        <w:t>”), by and between Virtu Financial,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Joseph Molluso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81" w:lineRule="exact"/>
        <w:rPr>
          <w:sz w:val="20"/>
          <w:szCs w:val="20"/>
          <w:color w:val="auto"/>
        </w:rPr>
      </w:pPr>
    </w:p>
    <w:p>
      <w:pPr>
        <w:ind w:right="400" w:firstLine="630"/>
        <w:spacing w:after="0" w:line="274"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may be granted; and</w:t>
      </w:r>
    </w:p>
    <w:p>
      <w:pPr>
        <w:spacing w:after="0" w:line="105" w:lineRule="exact"/>
        <w:rPr>
          <w:sz w:val="20"/>
          <w:szCs w:val="20"/>
          <w:color w:val="auto"/>
        </w:rPr>
      </w:pPr>
    </w:p>
    <w:p>
      <w:pPr>
        <w:ind w:right="280" w:firstLine="630"/>
        <w:spacing w:after="0" w:line="303" w:lineRule="auto"/>
        <w:rPr>
          <w:sz w:val="20"/>
          <w:szCs w:val="20"/>
          <w:color w:val="auto"/>
        </w:rPr>
      </w:pPr>
      <w:r>
        <w:rPr>
          <w:rFonts w:ascii="Arial" w:cs="Arial" w:eastAsia="Arial" w:hAnsi="Arial"/>
          <w:sz w:val="18"/>
          <w:szCs w:val="18"/>
          <w:color w:val="auto"/>
        </w:rPr>
        <w:t>WHEREAS, the Compensation Committee of the Board of Directors of the Company has determined that it is in the best interests of the Company and its stockholders to grant the RSUs provided for herein to the Participant subject to the terms set forth herein.</w:t>
      </w:r>
    </w:p>
    <w:p>
      <w:pPr>
        <w:spacing w:after="0" w:line="81" w:lineRule="exact"/>
        <w:rPr>
          <w:sz w:val="20"/>
          <w:szCs w:val="20"/>
          <w:color w:val="auto"/>
        </w:rPr>
      </w:pPr>
    </w:p>
    <w:p>
      <w:pPr>
        <w:ind w:right="20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6" w:lineRule="exact"/>
        <w:rPr>
          <w:sz w:val="20"/>
          <w:szCs w:val="20"/>
          <w:color w:val="auto"/>
        </w:rPr>
      </w:pPr>
    </w:p>
    <w:p>
      <w:pPr>
        <w:ind w:left="640" w:hanging="635"/>
        <w:spacing w:after="0"/>
        <w:tabs>
          <w:tab w:leader="none" w:pos="64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Stock Units.</w:t>
      </w:r>
    </w:p>
    <w:p>
      <w:pPr>
        <w:spacing w:after="0" w:line="220" w:lineRule="exact"/>
        <w:rPr>
          <w:rFonts w:ascii="Arial" w:cs="Arial" w:eastAsia="Arial" w:hAnsi="Arial"/>
          <w:sz w:val="19"/>
          <w:szCs w:val="19"/>
          <w:b w:val="1"/>
          <w:bCs w:val="1"/>
          <w:color w:val="auto"/>
        </w:rPr>
      </w:pPr>
    </w:p>
    <w:p>
      <w:pPr>
        <w:ind w:right="120" w:firstLine="635"/>
        <w:spacing w:after="0" w:line="259" w:lineRule="auto"/>
        <w:tabs>
          <w:tab w:leader="none" w:pos="1036"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 total of 120,000 RSUs on the terms and conditions set forth in this Agreement and as otherwise provided in the Plan. The RSUs shall be credited to a separate book-entry account maintained for the Participant on the books of the Company, which may be maintained by a third party.</w:t>
      </w:r>
    </w:p>
    <w:p>
      <w:pPr>
        <w:spacing w:after="0" w:line="171" w:lineRule="exact"/>
        <w:rPr>
          <w:rFonts w:ascii="Arial" w:cs="Arial" w:eastAsia="Arial" w:hAnsi="Arial"/>
          <w:sz w:val="19"/>
          <w:szCs w:val="19"/>
          <w:color w:val="auto"/>
        </w:rPr>
      </w:pPr>
    </w:p>
    <w:p>
      <w:pPr>
        <w:ind w:firstLine="635"/>
        <w:spacing w:after="0" w:line="266" w:lineRule="auto"/>
        <w:tabs>
          <w:tab w:leader="none" w:pos="104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9" w:lineRule="exact"/>
        <w:rPr>
          <w:rFonts w:ascii="Arial" w:cs="Arial" w:eastAsia="Arial" w:hAnsi="Arial"/>
          <w:sz w:val="18"/>
          <w:szCs w:val="18"/>
          <w:color w:val="auto"/>
        </w:rPr>
      </w:pPr>
    </w:p>
    <w:p>
      <w:pPr>
        <w:ind w:left="640" w:hanging="635"/>
        <w:spacing w:after="0"/>
        <w:tabs>
          <w:tab w:leader="none" w:pos="64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Vesting and Settlement.</w:t>
      </w:r>
    </w:p>
    <w:p>
      <w:pPr>
        <w:spacing w:after="0" w:line="220" w:lineRule="exact"/>
        <w:rPr>
          <w:rFonts w:ascii="Arial" w:cs="Arial" w:eastAsia="Arial" w:hAnsi="Arial"/>
          <w:sz w:val="19"/>
          <w:szCs w:val="19"/>
          <w:b w:val="1"/>
          <w:bCs w:val="1"/>
          <w:color w:val="auto"/>
        </w:rPr>
      </w:pPr>
    </w:p>
    <w:p>
      <w:pPr>
        <w:ind w:right="40" w:firstLine="635"/>
        <w:spacing w:after="0" w:line="269" w:lineRule="auto"/>
        <w:tabs>
          <w:tab w:leader="none" w:pos="10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66" w:lineRule="exact"/>
        <w:rPr>
          <w:sz w:val="20"/>
          <w:szCs w:val="20"/>
          <w:color w:val="auto"/>
        </w:rPr>
      </w:pPr>
    </w:p>
    <w:p>
      <w:pPr>
        <w:ind w:right="220" w:firstLine="635"/>
        <w:spacing w:after="0" w:line="274" w:lineRule="auto"/>
        <w:tabs>
          <w:tab w:leader="none" w:pos="1032" w:val="left"/>
        </w:tabs>
        <w:numPr>
          <w:ilvl w:val="1"/>
          <w:numId w:val="20"/>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51" w:lineRule="exact"/>
        <w:rPr>
          <w:rFonts w:ascii="Arial" w:cs="Arial" w:eastAsia="Arial" w:hAnsi="Arial"/>
          <w:sz w:val="19"/>
          <w:szCs w:val="19"/>
          <w:color w:val="auto"/>
        </w:rPr>
      </w:pPr>
    </w:p>
    <w:p>
      <w:pPr>
        <w:ind w:right="40" w:firstLine="5"/>
        <w:spacing w:after="0" w:line="308" w:lineRule="auto"/>
        <w:tabs>
          <w:tab w:leader="none" w:pos="337"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In the event of any issuance of a cash dividend on the shares of Class A Common Stock (a “</w:t>
      </w:r>
      <w:r>
        <w:rPr>
          <w:rFonts w:ascii="Arial" w:cs="Arial" w:eastAsia="Arial" w:hAnsi="Arial"/>
          <w:sz w:val="17"/>
          <w:szCs w:val="17"/>
          <w:u w:val="single" w:color="auto"/>
          <w:color w:val="auto"/>
        </w:rPr>
        <w:t>Dividend</w:t>
      </w:r>
      <w:r>
        <w:rPr>
          <w:rFonts w:ascii="Arial" w:cs="Arial" w:eastAsia="Arial" w:hAnsi="Arial"/>
          <w:sz w:val="17"/>
          <w:szCs w:val="17"/>
          <w:color w:val="auto"/>
        </w:rPr>
        <w:t>”),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26" w:lineRule="exact"/>
        <w:rPr>
          <w:rFonts w:ascii="Arial" w:cs="Arial" w:eastAsia="Arial" w:hAnsi="Arial"/>
          <w:sz w:val="17"/>
          <w:szCs w:val="17"/>
          <w:b w:val="1"/>
          <w:bCs w:val="1"/>
          <w:color w:val="auto"/>
        </w:rPr>
      </w:pPr>
    </w:p>
    <w:p>
      <w:pPr>
        <w:ind w:right="100" w:firstLine="5"/>
        <w:spacing w:after="0" w:line="280" w:lineRule="auto"/>
        <w:tabs>
          <w:tab w:leader="none" w:pos="333"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is terminated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prior to the third and final Vesting Date (i) by the Company without Cause, (ii) due to death or Disability or (iii) by Participant for Good Reason, a number of RSUs equal to (a) 40,000 multiplied by a fraction, the numerator of which is the number of calendar days the Participant was employed since the later of (x) the Date of Grant or (y) the most recent anniversary of the Date of Grant, and the denominator of which is 365, plus</w:t>
      </w:r>
    </w:p>
    <w:p>
      <w:pPr>
        <w:spacing w:after="0" w:line="2" w:lineRule="exact"/>
        <w:rPr>
          <w:rFonts w:ascii="Arial" w:cs="Arial" w:eastAsia="Arial" w:hAnsi="Arial"/>
          <w:sz w:val="17"/>
          <w:szCs w:val="17"/>
          <w:b w:val="1"/>
          <w:bCs w:val="1"/>
          <w:color w:val="auto"/>
        </w:rPr>
      </w:pPr>
    </w:p>
    <w:p>
      <w:pPr>
        <w:ind w:right="100"/>
        <w:spacing w:after="0" w:line="249" w:lineRule="auto"/>
        <w:rPr>
          <w:rFonts w:ascii="Arial" w:cs="Arial" w:eastAsia="Arial" w:hAnsi="Arial"/>
          <w:sz w:val="17"/>
          <w:szCs w:val="17"/>
          <w:b w:val="1"/>
          <w:bCs w:val="1"/>
          <w:color w:val="auto"/>
        </w:rPr>
      </w:pPr>
      <w:r>
        <w:rPr>
          <w:rFonts w:ascii="Arial" w:cs="Arial" w:eastAsia="Arial" w:hAnsi="Arial"/>
          <w:sz w:val="19"/>
          <w:szCs w:val="19"/>
          <w:color w:val="auto"/>
        </w:rPr>
        <w:t>(b) in the event that such termination occurs prior to second Vesting Date, the number of RSUs otherwise scheduled to vest on the next anniversary of the Date of Grant, shall be deemed vested immediately. Except as otherwise provided in this Section 4, upon the Participant’s termination of employment or service with the Company and its Affiliates, all unvested RSUs shall be cancelled immediately and the Participant shall not be entitled to receive any payments with respect thereto.</w:t>
      </w:r>
    </w:p>
    <w:p>
      <w:pPr>
        <w:spacing w:after="0" w:line="193" w:lineRule="exact"/>
        <w:rPr>
          <w:sz w:val="20"/>
          <w:szCs w:val="20"/>
          <w:color w:val="auto"/>
        </w:rPr>
      </w:pPr>
    </w:p>
    <w:p>
      <w:pPr>
        <w:ind w:right="40" w:firstLine="630"/>
        <w:spacing w:after="0" w:line="262" w:lineRule="auto"/>
        <w:rPr>
          <w:sz w:val="20"/>
          <w:szCs w:val="20"/>
          <w:color w:val="auto"/>
        </w:rPr>
      </w:pPr>
      <w:r>
        <w:rPr>
          <w:rFonts w:ascii="Arial" w:cs="Arial" w:eastAsia="Arial" w:hAnsi="Arial"/>
          <w:sz w:val="18"/>
          <w:szCs w:val="18"/>
          <w:color w:val="auto"/>
        </w:rPr>
        <w:t>For purposes of this Section 3, “Good Reason” shall mean the termination of Participant’s employment at his initiative after, without Participant’s prior written consent, one (1) or more of the following events: (i) a reduction in the Participant’s base salary; (ii) any material diminution or adverse change in the duties, authority, responsibilities, or positions of Participant at present; (iii) requiring Participant to report to an officer or employee other than the Company’s Chief Executive Officer; (iv) the Company’s requiring Participant to be based at a location in excess of fifty (50) miles from the location of Executive’s principal job location, except for required travel on the Company’s business to an extent substantially consistent with Participant’s position; or (v) the failure of the Company to obtain the assumption in writing of its obligation to perform this Agreement by any successor to all or substantially all of the assets or business of the Company after a merger, consolidation, sale, or similar transaction; provided, however, that prior to resigning for Good Reason, Participant shall give written notice to the Company of the facts and circumstances claimed to provide a basis for such resignation not more than sixty (60) days following his knowledge of such facts and circumstances, and the Company shall have thirty (30) days after receipt of such notice to cure such facts and circumstances (and if so cured then Participant shall not be permitted to resign for Good Reason in respect thereof). Any termination of employment by Executive for Good Reason shall be communicated to the Company by written notice, which shall include Executive’s date of termination of employment (which, except as set forth in the preceding sentence, shall be a date not later than thirty (30) days after delivery of such notice).</w:t>
      </w:r>
    </w:p>
    <w:p>
      <w:pPr>
        <w:spacing w:after="0" w:line="180" w:lineRule="exact"/>
        <w:rPr>
          <w:sz w:val="20"/>
          <w:szCs w:val="20"/>
          <w:color w:val="auto"/>
        </w:rPr>
      </w:pPr>
    </w:p>
    <w:p>
      <w:pPr>
        <w:ind w:right="380" w:firstLine="5"/>
        <w:spacing w:after="0" w:line="342" w:lineRule="auto"/>
        <w:tabs>
          <w:tab w:leader="none" w:pos="337"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The Participant shall not be deemed for any purpose to be the owner of any shares of Class A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underlying the RSUs unless, until and to the extent that (i) the Company shall have issued and delivered to the Participant the shares of Class A</w:t>
      </w:r>
    </w:p>
    <w:p>
      <w:pPr>
        <w:sectPr>
          <w:pgSz w:w="11900" w:h="16838" w:orient="portrait"/>
          <w:cols w:equalWidth="0" w:num="1">
            <w:col w:w="11420"/>
          </w:cols>
          <w:pgMar w:left="240" w:top="602" w:right="239" w:bottom="0" w:gutter="0" w:footer="0" w:header="0"/>
        </w:sectPr>
      </w:pPr>
    </w:p>
    <w:bookmarkStart w:id="87" w:name="page88"/>
    <w:bookmarkEnd w:id="87"/>
    <w:p>
      <w:pPr>
        <w:spacing w:after="0" w:line="147"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color w:val="auto"/>
        </w:rPr>
        <w:t>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47" w:lineRule="exact"/>
        <w:rPr>
          <w:sz w:val="20"/>
          <w:szCs w:val="20"/>
          <w:color w:val="auto"/>
        </w:rPr>
      </w:pPr>
    </w:p>
    <w:p>
      <w:pPr>
        <w:ind w:left="640" w:hanging="635"/>
        <w:spacing w:after="0"/>
        <w:tabs>
          <w:tab w:leader="none" w:pos="64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0" w:lineRule="exact"/>
        <w:rPr>
          <w:rFonts w:ascii="Arial" w:cs="Arial" w:eastAsia="Arial" w:hAnsi="Arial"/>
          <w:sz w:val="19"/>
          <w:szCs w:val="19"/>
          <w:b w:val="1"/>
          <w:bCs w:val="1"/>
          <w:color w:val="auto"/>
        </w:rPr>
      </w:pPr>
    </w:p>
    <w:p>
      <w:pPr>
        <w:ind w:right="40" w:firstLine="635"/>
        <w:spacing w:after="0" w:line="252" w:lineRule="auto"/>
        <w:tabs>
          <w:tab w:leader="none" w:pos="1036"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8" w:lineRule="exact"/>
        <w:rPr>
          <w:rFonts w:ascii="Arial" w:cs="Arial" w:eastAsia="Arial" w:hAnsi="Arial"/>
          <w:sz w:val="19"/>
          <w:szCs w:val="19"/>
          <w:color w:val="auto"/>
        </w:rPr>
      </w:pPr>
    </w:p>
    <w:p>
      <w:pPr>
        <w:ind w:right="160" w:firstLine="635"/>
        <w:spacing w:after="0" w:line="248" w:lineRule="auto"/>
        <w:tabs>
          <w:tab w:leader="none" w:pos="1046"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80" w:lineRule="exact"/>
        <w:rPr>
          <w:rFonts w:ascii="Arial" w:cs="Arial" w:eastAsia="Arial" w:hAnsi="Arial"/>
          <w:sz w:val="19"/>
          <w:szCs w:val="19"/>
          <w:color w:val="auto"/>
        </w:rPr>
      </w:pPr>
    </w:p>
    <w:p>
      <w:pPr>
        <w:ind w:right="60" w:firstLine="5"/>
        <w:spacing w:after="0" w:line="262" w:lineRule="auto"/>
        <w:tabs>
          <w:tab w:leader="none" w:pos="337"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Notwithstanding anything to the contrary contained herein, the Committee may cancel the RSU award if the Participant,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thereafter on the vesting or settlement of the RSUs, the sale or other transfer of the RSUs, or the sale of shares of Class A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2" w:lineRule="exact"/>
        <w:rPr>
          <w:rFonts w:ascii="Arial" w:cs="Arial" w:eastAsia="Arial" w:hAnsi="Arial"/>
          <w:sz w:val="18"/>
          <w:szCs w:val="18"/>
          <w:b w:val="1"/>
          <w:bCs w:val="1"/>
          <w:color w:val="auto"/>
        </w:rPr>
      </w:pPr>
    </w:p>
    <w:p>
      <w:pPr>
        <w:ind w:left="640" w:hanging="635"/>
        <w:spacing w:after="0"/>
        <w:tabs>
          <w:tab w:leader="none" w:pos="64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Contractual Obligations.</w:t>
      </w:r>
    </w:p>
    <w:p>
      <w:pPr>
        <w:spacing w:after="0" w:line="220" w:lineRule="exact"/>
        <w:rPr>
          <w:rFonts w:ascii="Arial" w:cs="Arial" w:eastAsia="Arial" w:hAnsi="Arial"/>
          <w:sz w:val="19"/>
          <w:szCs w:val="19"/>
          <w:b w:val="1"/>
          <w:bCs w:val="1"/>
          <w:color w:val="auto"/>
        </w:rPr>
      </w:pPr>
    </w:p>
    <w:p>
      <w:pPr>
        <w:jc w:val="both"/>
        <w:ind w:right="40" w:firstLine="635"/>
        <w:spacing w:after="0" w:line="259" w:lineRule="auto"/>
        <w:tabs>
          <w:tab w:leader="none" w:pos="1036"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9"/>
          <w:szCs w:val="19"/>
          <w:i w:val="1"/>
          <w:iCs w:val="1"/>
          <w:u w:val="single" w:color="auto"/>
          <w:color w:val="auto"/>
        </w:rPr>
        <w:t>any</w:t>
      </w:r>
      <w:r>
        <w:rPr>
          <w:rFonts w:ascii="Arial" w:cs="Arial" w:eastAsia="Arial" w:hAnsi="Arial"/>
          <w:sz w:val="19"/>
          <w:szCs w:val="19"/>
          <w:color w:val="auto"/>
        </w:rPr>
        <w:t xml:space="preserve"> employment agreement, offer letter, prior equity award agreement or any other agreement or contract with the Company or its Affiliates.</w:t>
      </w:r>
    </w:p>
    <w:p>
      <w:pPr>
        <w:spacing w:after="0" w:line="171" w:lineRule="exact"/>
        <w:rPr>
          <w:rFonts w:ascii="Arial" w:cs="Arial" w:eastAsia="Arial" w:hAnsi="Arial"/>
          <w:sz w:val="19"/>
          <w:szCs w:val="19"/>
          <w:color w:val="auto"/>
        </w:rPr>
      </w:pPr>
    </w:p>
    <w:p>
      <w:pPr>
        <w:ind w:firstLine="635"/>
        <w:spacing w:after="0" w:line="252" w:lineRule="auto"/>
        <w:tabs>
          <w:tab w:leader="none" w:pos="1047" w:val="left"/>
        </w:tabs>
        <w:numPr>
          <w:ilvl w:val="1"/>
          <w:numId w:val="23"/>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2" w:lineRule="exact"/>
        <w:rPr>
          <w:rFonts w:ascii="Arial" w:cs="Arial" w:eastAsia="Arial" w:hAnsi="Arial"/>
          <w:sz w:val="19"/>
          <w:szCs w:val="19"/>
          <w:color w:val="auto"/>
        </w:rPr>
      </w:pPr>
    </w:p>
    <w:p>
      <w:pPr>
        <w:ind w:left="640" w:hanging="635"/>
        <w:spacing w:after="0"/>
        <w:tabs>
          <w:tab w:leader="none" w:pos="64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20" w:lineRule="exact"/>
        <w:rPr>
          <w:rFonts w:ascii="Arial" w:cs="Arial" w:eastAsia="Arial" w:hAnsi="Arial"/>
          <w:sz w:val="19"/>
          <w:szCs w:val="19"/>
          <w:b w:val="1"/>
          <w:bCs w:val="1"/>
          <w:color w:val="auto"/>
        </w:rPr>
      </w:pPr>
    </w:p>
    <w:p>
      <w:pPr>
        <w:ind w:left="1040" w:hanging="405"/>
        <w:spacing w:after="0"/>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w:t>
      </w:r>
    </w:p>
    <w:p>
      <w:pPr>
        <w:spacing w:after="0" w:line="32" w:lineRule="exact"/>
        <w:rPr>
          <w:sz w:val="20"/>
          <w:szCs w:val="20"/>
          <w:color w:val="auto"/>
        </w:rPr>
      </w:pPr>
    </w:p>
    <w:p>
      <w:pPr>
        <w:jc w:val="both"/>
        <w:ind w:right="32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78" w:lineRule="exact"/>
        <w:rPr>
          <w:sz w:val="20"/>
          <w:szCs w:val="20"/>
          <w:color w:val="auto"/>
        </w:rPr>
      </w:pPr>
    </w:p>
    <w:p>
      <w:pPr>
        <w:jc w:val="both"/>
        <w:ind w:right="40" w:firstLine="635"/>
        <w:spacing w:after="0" w:line="254" w:lineRule="auto"/>
        <w:tabs>
          <w:tab w:leader="none" w:pos="1046"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7" w:lineRule="exact"/>
        <w:rPr>
          <w:rFonts w:ascii="Arial" w:cs="Arial" w:eastAsia="Arial" w:hAnsi="Arial"/>
          <w:sz w:val="19"/>
          <w:szCs w:val="19"/>
          <w:color w:val="auto"/>
        </w:rPr>
      </w:pPr>
    </w:p>
    <w:p>
      <w:pPr>
        <w:ind w:right="20" w:firstLine="635"/>
        <w:spacing w:after="0" w:line="265" w:lineRule="auto"/>
        <w:tabs>
          <w:tab w:leader="none" w:pos="103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66" w:lineRule="exact"/>
        <w:rPr>
          <w:rFonts w:ascii="Arial" w:cs="Arial" w:eastAsia="Arial" w:hAnsi="Arial"/>
          <w:sz w:val="18"/>
          <w:szCs w:val="18"/>
          <w:color w:val="auto"/>
        </w:rPr>
      </w:pPr>
    </w:p>
    <w:p>
      <w:pPr>
        <w:ind w:right="340" w:firstLine="635"/>
        <w:spacing w:after="0" w:line="259" w:lineRule="auto"/>
        <w:tabs>
          <w:tab w:leader="none" w:pos="1046"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1" w:lineRule="exact"/>
        <w:rPr>
          <w:rFonts w:ascii="Arial" w:cs="Arial" w:eastAsia="Arial" w:hAnsi="Arial"/>
          <w:sz w:val="19"/>
          <w:szCs w:val="19"/>
          <w:color w:val="auto"/>
        </w:rPr>
      </w:pPr>
    </w:p>
    <w:p>
      <w:pPr>
        <w:ind w:right="240" w:firstLine="635"/>
        <w:spacing w:after="0" w:line="335" w:lineRule="auto"/>
        <w:tabs>
          <w:tab w:leader="none" w:pos="1036"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w:t>
      </w:r>
    </w:p>
    <w:p>
      <w:pPr>
        <w:sectPr>
          <w:pgSz w:w="11900" w:h="16985" w:orient="portrait"/>
          <w:cols w:equalWidth="0" w:num="1">
            <w:col w:w="11400"/>
          </w:cols>
          <w:pgMar w:left="240" w:top="121" w:right="259" w:bottom="0" w:gutter="0" w:footer="0" w:header="0"/>
        </w:sectPr>
      </w:pPr>
    </w:p>
    <w:bookmarkStart w:id="88" w:name="page89"/>
    <w:bookmarkEnd w:id="88"/>
    <w:p>
      <w:pPr>
        <w:ind w:right="100"/>
        <w:spacing w:after="0" w:line="260" w:lineRule="auto"/>
        <w:rPr>
          <w:sz w:val="20"/>
          <w:szCs w:val="20"/>
          <w:color w:val="auto"/>
        </w:rPr>
      </w:pPr>
      <w:r>
        <w:rPr>
          <w:rFonts w:ascii="Arial" w:cs="Arial" w:eastAsia="Arial" w:hAnsi="Arial"/>
          <w:sz w:val="19"/>
          <w:szCs w:val="19"/>
          <w:color w:val="auto"/>
        </w:rPr>
        <w:t>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0" w:lineRule="exact"/>
        <w:rPr>
          <w:sz w:val="20"/>
          <w:szCs w:val="20"/>
          <w:color w:val="auto"/>
        </w:rPr>
      </w:pPr>
    </w:p>
    <w:p>
      <w:pPr>
        <w:ind w:right="40" w:firstLine="635"/>
        <w:spacing w:after="0" w:line="335" w:lineRule="auto"/>
        <w:tabs>
          <w:tab w:leader="none" w:pos="1014"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Arial" w:cs="Arial" w:eastAsia="Arial" w:hAnsi="Arial"/>
          <w:sz w:val="17"/>
          <w:szCs w:val="17"/>
          <w:color w:val="auto"/>
        </w:rPr>
      </w:pPr>
    </w:p>
    <w:p>
      <w:pPr>
        <w:ind w:right="20" w:firstLine="635"/>
        <w:spacing w:after="0" w:line="254" w:lineRule="auto"/>
        <w:tabs>
          <w:tab w:leader="none" w:pos="104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7" w:lineRule="exact"/>
        <w:rPr>
          <w:rFonts w:ascii="Arial" w:cs="Arial" w:eastAsia="Arial" w:hAnsi="Arial"/>
          <w:sz w:val="19"/>
          <w:szCs w:val="19"/>
          <w:color w:val="auto"/>
        </w:rPr>
      </w:pPr>
    </w:p>
    <w:p>
      <w:pPr>
        <w:ind w:firstLine="635"/>
        <w:spacing w:after="0" w:line="259" w:lineRule="auto"/>
        <w:tabs>
          <w:tab w:leader="none" w:pos="104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171" w:lineRule="exact"/>
        <w:rPr>
          <w:rFonts w:ascii="Arial" w:cs="Arial" w:eastAsia="Arial" w:hAnsi="Arial"/>
          <w:sz w:val="19"/>
          <w:szCs w:val="19"/>
          <w:color w:val="auto"/>
        </w:rPr>
      </w:pPr>
    </w:p>
    <w:p>
      <w:pPr>
        <w:ind w:right="80" w:firstLine="635"/>
        <w:spacing w:after="0" w:line="274" w:lineRule="auto"/>
        <w:tabs>
          <w:tab w:leader="none" w:pos="100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7" w:lineRule="exact"/>
        <w:rPr>
          <w:rFonts w:ascii="Arial" w:cs="Arial" w:eastAsia="Arial" w:hAnsi="Arial"/>
          <w:sz w:val="19"/>
          <w:szCs w:val="19"/>
          <w:color w:val="auto"/>
        </w:rPr>
      </w:pPr>
    </w:p>
    <w:p>
      <w:pPr>
        <w:ind w:right="20" w:firstLine="635"/>
        <w:spacing w:after="0" w:line="274" w:lineRule="auto"/>
        <w:tabs>
          <w:tab w:leader="none" w:pos="100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7" w:lineRule="exact"/>
        <w:rPr>
          <w:rFonts w:ascii="Arial" w:cs="Arial" w:eastAsia="Arial" w:hAnsi="Arial"/>
          <w:sz w:val="19"/>
          <w:szCs w:val="19"/>
          <w:color w:val="auto"/>
        </w:rPr>
      </w:pPr>
    </w:p>
    <w:p>
      <w:pPr>
        <w:jc w:val="both"/>
        <w:ind w:right="160" w:firstLine="635"/>
        <w:spacing w:after="0" w:line="273" w:lineRule="auto"/>
        <w:tabs>
          <w:tab w:leader="none" w:pos="104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60" w:lineRule="exact"/>
        <w:rPr>
          <w:rFonts w:ascii="Arial" w:cs="Arial" w:eastAsia="Arial" w:hAnsi="Arial"/>
          <w:sz w:val="18"/>
          <w:szCs w:val="18"/>
          <w:color w:val="auto"/>
        </w:rPr>
      </w:pPr>
    </w:p>
    <w:p>
      <w:pPr>
        <w:ind w:firstLine="635"/>
        <w:spacing w:after="0" w:line="259" w:lineRule="auto"/>
        <w:tabs>
          <w:tab w:leader="none" w:pos="100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1" w:lineRule="exact"/>
        <w:rPr>
          <w:rFonts w:ascii="Arial" w:cs="Arial" w:eastAsia="Arial" w:hAnsi="Arial"/>
          <w:sz w:val="19"/>
          <w:szCs w:val="19"/>
          <w:color w:val="auto"/>
        </w:rPr>
      </w:pPr>
    </w:p>
    <w:p>
      <w:pPr>
        <w:ind w:left="640" w:right="100" w:firstLine="625"/>
        <w:spacing w:after="0" w:line="264" w:lineRule="auto"/>
        <w:tabs>
          <w:tab w:leader="none" w:pos="1644"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68" w:lineRule="exact"/>
        <w:rPr>
          <w:rFonts w:ascii="Arial" w:cs="Arial" w:eastAsia="Arial" w:hAnsi="Arial"/>
          <w:sz w:val="18"/>
          <w:szCs w:val="18"/>
          <w:color w:val="auto"/>
        </w:rPr>
      </w:pPr>
    </w:p>
    <w:p>
      <w:pPr>
        <w:ind w:left="640" w:right="20" w:firstLine="625"/>
        <w:spacing w:after="0" w:line="250" w:lineRule="auto"/>
        <w:tabs>
          <w:tab w:leader="none" w:pos="1697"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rFonts w:ascii="Arial" w:cs="Arial" w:eastAsia="Arial" w:hAnsi="Arial"/>
          <w:sz w:val="19"/>
          <w:szCs w:val="19"/>
          <w:color w:val="auto"/>
        </w:rPr>
      </w:pPr>
    </w:p>
    <w:p>
      <w:pPr>
        <w:ind w:right="340" w:firstLine="635"/>
        <w:spacing w:after="0" w:line="259" w:lineRule="auto"/>
        <w:tabs>
          <w:tab w:leader="none" w:pos="110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1" w:lineRule="exact"/>
        <w:rPr>
          <w:rFonts w:ascii="Arial" w:cs="Arial" w:eastAsia="Arial" w:hAnsi="Arial"/>
          <w:sz w:val="19"/>
          <w:szCs w:val="19"/>
          <w:color w:val="auto"/>
        </w:rPr>
      </w:pPr>
    </w:p>
    <w:p>
      <w:pPr>
        <w:ind w:right="40" w:firstLine="635"/>
        <w:spacing w:after="0" w:line="259" w:lineRule="auto"/>
        <w:tabs>
          <w:tab w:leader="none" w:pos="104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9"/>
          <w:szCs w:val="19"/>
          <w:color w:val="auto"/>
        </w:rPr>
      </w:pPr>
    </w:p>
    <w:p>
      <w:pPr>
        <w:ind w:right="40" w:firstLine="635"/>
        <w:spacing w:after="0" w:line="252" w:lineRule="auto"/>
        <w:tabs>
          <w:tab w:leader="none" w:pos="104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Electronic Signature and Delivery</w:t>
      </w:r>
      <w:r>
        <w:rPr>
          <w:rFonts w:ascii="Arial" w:cs="Arial" w:eastAsia="Arial" w:hAnsi="Arial"/>
          <w:sz w:val="19"/>
          <w:szCs w:val="19"/>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78" w:lineRule="exact"/>
        <w:rPr>
          <w:rFonts w:ascii="Arial" w:cs="Arial" w:eastAsia="Arial" w:hAnsi="Arial"/>
          <w:sz w:val="19"/>
          <w:szCs w:val="19"/>
          <w:color w:val="auto"/>
        </w:rPr>
      </w:pPr>
    </w:p>
    <w:p>
      <w:pPr>
        <w:ind w:right="80" w:firstLine="635"/>
        <w:spacing w:after="0" w:line="254" w:lineRule="auto"/>
        <w:tabs>
          <w:tab w:leader="none" w:pos="104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WITNESS WHEREOF, this Agreement has been executed by the Company and the Participant as of the day first written above.</w:t>
      </w:r>
    </w:p>
    <w:p>
      <w:pPr>
        <w:spacing w:after="0" w:line="26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VIRTU FINANCIAL, INC.</w:t>
      </w:r>
    </w:p>
    <w:p>
      <w:pPr>
        <w:sectPr>
          <w:pgSz w:w="11900" w:h="16838" w:orient="portrait"/>
          <w:cols w:equalWidth="0" w:num="1">
            <w:col w:w="11400"/>
          </w:cols>
          <w:pgMar w:left="240" w:top="122" w:right="259" w:bottom="0" w:gutter="0" w:footer="0" w:header="0"/>
        </w:sectPr>
      </w:pPr>
    </w:p>
    <w:bookmarkStart w:id="89" w:name="page90"/>
    <w:bookmarkEnd w:id="89"/>
    <w:p>
      <w:pPr>
        <w:ind w:left="25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-10795</wp:posOffset>
            </wp:positionV>
            <wp:extent cx="121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7"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Name: Douglas A. Cifu</w:t>
      </w:r>
    </w:p>
    <w:p>
      <w:pPr>
        <w:spacing w:after="0" w:line="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6441440</wp:posOffset>
            </wp:positionH>
            <wp:positionV relativeFrom="paragraph">
              <wp:posOffset>835660</wp:posOffset>
            </wp:positionV>
            <wp:extent cx="111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Joseph Molluso</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9019"/>
          </w:cols>
          <w:pgMar w:left="1440" w:top="319" w:right="1440" w:bottom="1440" w:gutter="0" w:footer="0" w:header="0"/>
        </w:sectPr>
      </w:pPr>
    </w:p>
    <w:bookmarkStart w:id="90" w:name="page91"/>
    <w:bookmarkEnd w:id="90"/>
    <w:p>
      <w:pPr>
        <w:spacing w:after="0" w:line="35" w:lineRule="exact"/>
        <w:rPr>
          <w:sz w:val="20"/>
          <w:szCs w:val="20"/>
          <w:color w:val="auto"/>
        </w:rPr>
      </w:pPr>
    </w:p>
    <w:p>
      <w:pPr>
        <w:ind w:left="98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328" w:lineRule="exact"/>
        <w:rPr>
          <w:sz w:val="20"/>
          <w:szCs w:val="20"/>
          <w:color w:val="auto"/>
        </w:rPr>
      </w:pPr>
    </w:p>
    <w:p>
      <w:pPr>
        <w:jc w:val="both"/>
        <w:ind w:firstLine="1260"/>
        <w:spacing w:after="0" w:line="266" w:lineRule="auto"/>
        <w:rPr>
          <w:sz w:val="20"/>
          <w:szCs w:val="20"/>
          <w:color w:val="auto"/>
        </w:rPr>
      </w:pPr>
      <w:r>
        <w:rPr>
          <w:rFonts w:ascii="Arial" w:cs="Arial" w:eastAsia="Arial" w:hAnsi="Arial"/>
          <w:sz w:val="20"/>
          <w:szCs w:val="20"/>
          <w:color w:val="auto"/>
        </w:rPr>
        <w:t>AMENDMENT NO. 2, dated as of September 19, 2018 (this “</w:t>
      </w:r>
      <w:r>
        <w:rPr>
          <w:rFonts w:ascii="Arial" w:cs="Arial" w:eastAsia="Arial" w:hAnsi="Arial"/>
          <w:sz w:val="20"/>
          <w:szCs w:val="20"/>
          <w:u w:val="single" w:color="auto"/>
          <w:color w:val="auto"/>
        </w:rPr>
        <w:t>Amendment</w:t>
      </w:r>
      <w:r>
        <w:rPr>
          <w:rFonts w:ascii="Arial" w:cs="Arial" w:eastAsia="Arial" w:hAnsi="Arial"/>
          <w:sz w:val="20"/>
          <w:szCs w:val="20"/>
          <w:color w:val="auto"/>
        </w:rPr>
        <w:t>”), to the Fourth Amended and Restated Credit Agreement, dated as of June 30, 2017 (as amended by Amendment No. 1, dated as of January 2, 2018, and as further amended, restated, modified or otherwise supplemented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VIRTU FINANCIAL LLC, a Delaware limited liability company (“</w:t>
      </w:r>
      <w:r>
        <w:rPr>
          <w:rFonts w:ascii="Arial" w:cs="Arial" w:eastAsia="Arial" w:hAnsi="Arial"/>
          <w:sz w:val="20"/>
          <w:szCs w:val="20"/>
          <w:u w:val="single" w:color="auto"/>
          <w:color w:val="auto"/>
        </w:rPr>
        <w:t>Holdings</w:t>
      </w:r>
      <w:r>
        <w:rPr>
          <w:rFonts w:ascii="Arial" w:cs="Arial" w:eastAsia="Arial" w:hAnsi="Arial"/>
          <w:sz w:val="20"/>
          <w:szCs w:val="20"/>
          <w:color w:val="auto"/>
        </w:rPr>
        <w:t>”), VFH PARENT LLC, a Delaware limited liability company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thereto from time to time and JPMORGAN CHASE BANK, N.A., as administrative agent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 and as collateral agent (the “</w:t>
      </w:r>
      <w:r>
        <w:rPr>
          <w:rFonts w:ascii="Arial" w:cs="Arial" w:eastAsia="Arial" w:hAnsi="Arial"/>
          <w:sz w:val="20"/>
          <w:szCs w:val="20"/>
          <w:u w:val="single" w:color="auto"/>
          <w:color w:val="auto"/>
        </w:rPr>
        <w:t>Collateral Agent</w:t>
      </w:r>
      <w:r>
        <w:rPr>
          <w:rFonts w:ascii="Arial" w:cs="Arial" w:eastAsia="Arial" w:hAnsi="Arial"/>
          <w:sz w:val="20"/>
          <w:szCs w:val="20"/>
          <w:color w:val="auto"/>
        </w:rPr>
        <w:t>”). Capitalized terms used but not defined herein shall have the meanings assigned to such terms in the Credit Agreement as amended by this Amendment.</w:t>
      </w:r>
    </w:p>
    <w:p>
      <w:pPr>
        <w:spacing w:after="0" w:line="171" w:lineRule="exact"/>
        <w:rPr>
          <w:sz w:val="20"/>
          <w:szCs w:val="20"/>
          <w:color w:val="auto"/>
        </w:rPr>
      </w:pPr>
    </w:p>
    <w:p>
      <w:pPr>
        <w:jc w:val="both"/>
        <w:ind w:firstLine="1260"/>
        <w:spacing w:after="0" w:line="273" w:lineRule="auto"/>
        <w:rPr>
          <w:sz w:val="20"/>
          <w:szCs w:val="20"/>
          <w:color w:val="auto"/>
        </w:rPr>
      </w:pPr>
      <w:r>
        <w:rPr>
          <w:rFonts w:ascii="Arial" w:cs="Arial" w:eastAsia="Arial" w:hAnsi="Arial"/>
          <w:sz w:val="21"/>
          <w:szCs w:val="21"/>
          <w:color w:val="auto"/>
        </w:rPr>
        <w:t>WHEREAS, the Borrower wishes to replace all Term B-1 Loans with Term B-2 Loans and to make certain other amendments to the Credit Agreement;</w:t>
      </w:r>
    </w:p>
    <w:p>
      <w:pPr>
        <w:spacing w:after="0" w:line="159" w:lineRule="exact"/>
        <w:rPr>
          <w:sz w:val="20"/>
          <w:szCs w:val="20"/>
          <w:color w:val="auto"/>
        </w:rPr>
      </w:pPr>
    </w:p>
    <w:p>
      <w:pPr>
        <w:jc w:val="both"/>
        <w:ind w:firstLine="1260"/>
        <w:spacing w:after="0" w:line="273" w:lineRule="auto"/>
        <w:rPr>
          <w:sz w:val="20"/>
          <w:szCs w:val="20"/>
          <w:color w:val="auto"/>
        </w:rPr>
      </w:pPr>
      <w:r>
        <w:rPr>
          <w:rFonts w:ascii="Arial" w:cs="Arial" w:eastAsia="Arial" w:hAnsi="Arial"/>
          <w:sz w:val="21"/>
          <w:szCs w:val="21"/>
          <w:color w:val="auto"/>
        </w:rPr>
        <w:t xml:space="preserve">WHEREAS, the Required Lenders and each Lender with a Converted Term B-1 Loan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have agreed to the amendments contemplated above;</w:t>
      </w:r>
    </w:p>
    <w:p>
      <w:pPr>
        <w:spacing w:after="0" w:line="159" w:lineRule="exact"/>
        <w:rPr>
          <w:sz w:val="20"/>
          <w:szCs w:val="20"/>
          <w:color w:val="auto"/>
        </w:rPr>
      </w:pPr>
    </w:p>
    <w:p>
      <w:pPr>
        <w:jc w:val="both"/>
        <w:ind w:firstLine="1260"/>
        <w:spacing w:after="0" w:line="273" w:lineRule="auto"/>
        <w:rPr>
          <w:sz w:val="20"/>
          <w:szCs w:val="20"/>
          <w:color w:val="auto"/>
        </w:rPr>
      </w:pPr>
      <w:r>
        <w:rPr>
          <w:rFonts w:ascii="Arial" w:cs="Arial" w:eastAsia="Arial" w:hAnsi="Arial"/>
          <w:sz w:val="21"/>
          <w:szCs w:val="21"/>
          <w:color w:val="auto"/>
        </w:rPr>
        <w:t>WHEREAS, JPMorgan Chase Bank, N.A. (in such capacity, the “</w:t>
      </w:r>
      <w:r>
        <w:rPr>
          <w:rFonts w:ascii="Arial" w:cs="Arial" w:eastAsia="Arial" w:hAnsi="Arial"/>
          <w:sz w:val="21"/>
          <w:szCs w:val="21"/>
          <w:u w:val="single" w:color="auto"/>
          <w:color w:val="auto"/>
        </w:rPr>
        <w:t>Term B-2 Lender</w:t>
      </w:r>
      <w:r>
        <w:rPr>
          <w:rFonts w:ascii="Arial" w:cs="Arial" w:eastAsia="Arial" w:hAnsi="Arial"/>
          <w:sz w:val="21"/>
          <w:szCs w:val="21"/>
          <w:color w:val="auto"/>
        </w:rPr>
        <w:t xml:space="preserve">”) has agreed to provide the Term B-2 Commitment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and</w:t>
      </w:r>
    </w:p>
    <w:p>
      <w:pPr>
        <w:spacing w:after="0" w:line="159" w:lineRule="exact"/>
        <w:rPr>
          <w:sz w:val="20"/>
          <w:szCs w:val="20"/>
          <w:color w:val="auto"/>
        </w:rPr>
      </w:pPr>
    </w:p>
    <w:p>
      <w:pPr>
        <w:jc w:val="both"/>
        <w:ind w:firstLine="1260"/>
        <w:spacing w:after="0" w:line="300" w:lineRule="auto"/>
        <w:rPr>
          <w:sz w:val="20"/>
          <w:szCs w:val="20"/>
          <w:color w:val="auto"/>
        </w:rPr>
      </w:pPr>
      <w:r>
        <w:rPr>
          <w:rFonts w:ascii="Arial" w:cs="Arial" w:eastAsia="Arial" w:hAnsi="Arial"/>
          <w:sz w:val="19"/>
          <w:szCs w:val="19"/>
          <w:color w:val="auto"/>
        </w:rPr>
        <w:t>WHEREAS, each Lender with outstanding Term B-1 Loans that has executed a signature page to this Amendment has, to the extent set forth on such signature page, agreed to convert all of such Term B-1 Loans to Term B-2 Loans (or such lesser amount as may be notified to such Lender by the Administrative Agent prior to the Amendment No. 2 Effective Date (as defined below)).</w:t>
      </w:r>
    </w:p>
    <w:p>
      <w:pPr>
        <w:spacing w:after="0" w:line="139" w:lineRule="exact"/>
        <w:rPr>
          <w:sz w:val="20"/>
          <w:szCs w:val="20"/>
          <w:color w:val="auto"/>
        </w:rPr>
      </w:pPr>
    </w:p>
    <w:p>
      <w:pPr>
        <w:jc w:val="both"/>
        <w:ind w:firstLine="1260"/>
        <w:spacing w:after="0" w:line="260" w:lineRule="auto"/>
        <w:rPr>
          <w:sz w:val="20"/>
          <w:szCs w:val="20"/>
          <w:color w:val="auto"/>
        </w:rPr>
      </w:pPr>
      <w:r>
        <w:rPr>
          <w:rFonts w:ascii="Arial" w:cs="Arial" w:eastAsia="Arial" w:hAnsi="Arial"/>
          <w:sz w:val="21"/>
          <w:szCs w:val="21"/>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73" w:lineRule="exact"/>
        <w:rPr>
          <w:sz w:val="20"/>
          <w:szCs w:val="20"/>
          <w:color w:val="auto"/>
        </w:rPr>
      </w:pPr>
    </w:p>
    <w:p>
      <w:pPr>
        <w:jc w:val="both"/>
        <w:ind w:firstLine="1260"/>
        <w:spacing w:after="0" w:line="256"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Amendment of the Credit Agreement</w:t>
      </w:r>
      <w:r>
        <w:rPr>
          <w:rFonts w:ascii="Arial" w:cs="Arial" w:eastAsia="Arial" w:hAnsi="Arial"/>
          <w:sz w:val="21"/>
          <w:szCs w:val="21"/>
          <w:color w:val="auto"/>
        </w:rPr>
        <w:t xml:space="preserve">. The Credit Agreement is, effective as of the Amendment No. 2 Effective Date, hereby amended to delete the stricken text (indicated textually in the same manner as the following example: </w:t>
      </w:r>
      <w:r>
        <w:rPr>
          <w:rFonts w:ascii="Arial" w:cs="Arial" w:eastAsia="Arial" w:hAnsi="Arial"/>
          <w:sz w:val="21"/>
          <w:szCs w:val="21"/>
          <w:color w:val="FF0000"/>
          <w:strike w:val="1"/>
        </w:rPr>
        <w:t>stricken text</w:t>
      </w:r>
      <w:r>
        <w:rPr>
          <w:rFonts w:ascii="Arial" w:cs="Arial" w:eastAsia="Arial" w:hAnsi="Arial"/>
          <w:sz w:val="21"/>
          <w:szCs w:val="21"/>
          <w:color w:val="auto"/>
        </w:rPr>
        <w:t xml:space="preserve">) and to add the double-underlined text (indicated textually in the same manner as the following example: </w:t>
      </w:r>
      <w:r>
        <w:rPr>
          <w:rFonts w:ascii="Arial" w:cs="Arial" w:eastAsia="Arial" w:hAnsi="Arial"/>
          <w:sz w:val="21"/>
          <w:szCs w:val="21"/>
          <w:u w:val="single" w:color="auto"/>
          <w:color w:val="0000FF"/>
        </w:rPr>
        <w:t>double-underlined text</w:t>
      </w:r>
      <w:r>
        <w:rPr>
          <w:rFonts w:ascii="Arial" w:cs="Arial" w:eastAsia="Arial" w:hAnsi="Arial"/>
          <w:sz w:val="21"/>
          <w:szCs w:val="21"/>
          <w:color w:val="000000"/>
        </w:rPr>
        <w:t>) as set forth in the pages of the Credit Agreement attached as</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Exhibit A</w:t>
      </w:r>
      <w:r>
        <w:rPr>
          <w:rFonts w:ascii="Arial" w:cs="Arial" w:eastAsia="Arial" w:hAnsi="Arial"/>
          <w:sz w:val="21"/>
          <w:szCs w:val="21"/>
          <w:color w:val="0000FF"/>
        </w:rPr>
        <w:t xml:space="preserve"> </w:t>
      </w:r>
      <w:r>
        <w:rPr>
          <w:rFonts w:ascii="Arial" w:cs="Arial" w:eastAsia="Arial" w:hAnsi="Arial"/>
          <w:sz w:val="21"/>
          <w:szCs w:val="21"/>
          <w:color w:val="000000"/>
        </w:rPr>
        <w:t>hereto.</w:t>
      </w:r>
    </w:p>
    <w:p>
      <w:pPr>
        <w:spacing w:after="0" w:line="177" w:lineRule="exact"/>
        <w:rPr>
          <w:sz w:val="20"/>
          <w:szCs w:val="20"/>
          <w:color w:val="auto"/>
        </w:rPr>
      </w:pPr>
    </w:p>
    <w:p>
      <w:pPr>
        <w:jc w:val="both"/>
        <w:ind w:firstLine="1260"/>
        <w:spacing w:after="0" w:line="32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Effectiveness</w:t>
      </w:r>
      <w:r>
        <w:rPr>
          <w:rFonts w:ascii="Arial" w:cs="Arial" w:eastAsia="Arial" w:hAnsi="Arial"/>
          <w:sz w:val="19"/>
          <w:szCs w:val="19"/>
          <w:color w:val="auto"/>
        </w:rPr>
        <w:t>. This Amendment shall become effective on the date (such date and time of effectiveness, the “</w:t>
      </w:r>
      <w:r>
        <w:rPr>
          <w:rFonts w:ascii="Arial" w:cs="Arial" w:eastAsia="Arial" w:hAnsi="Arial"/>
          <w:sz w:val="19"/>
          <w:szCs w:val="19"/>
          <w:u w:val="single" w:color="auto"/>
          <w:color w:val="auto"/>
        </w:rPr>
        <w:t>Amendment No. 2 Effective Date</w:t>
      </w:r>
      <w:r>
        <w:rPr>
          <w:rFonts w:ascii="Arial" w:cs="Arial" w:eastAsia="Arial" w:hAnsi="Arial"/>
          <w:sz w:val="19"/>
          <w:szCs w:val="19"/>
          <w:color w:val="auto"/>
        </w:rPr>
        <w:t>”) that each of the conditions precedent set forth below shall have been satisfied:</w:t>
      </w:r>
    </w:p>
    <w:p>
      <w:pPr>
        <w:spacing w:after="0" w:line="113" w:lineRule="exact"/>
        <w:rPr>
          <w:sz w:val="20"/>
          <w:szCs w:val="20"/>
          <w:color w:val="auto"/>
        </w:rPr>
      </w:pPr>
    </w:p>
    <w:p>
      <w:pPr>
        <w:ind w:firstLine="1265"/>
        <w:spacing w:after="0" w:line="286" w:lineRule="auto"/>
        <w:tabs>
          <w:tab w:leader="none" w:pos="1681"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Administrative Agent shall have received executed counterparts hereof from each of the Loan Parties, Lenders constituting the Required Lenders and the Term B-2 Lender;</w:t>
      </w:r>
    </w:p>
    <w:p>
      <w:pPr>
        <w:spacing w:after="0" w:line="146" w:lineRule="exact"/>
        <w:rPr>
          <w:rFonts w:ascii="Arial" w:cs="Arial" w:eastAsia="Arial" w:hAnsi="Arial"/>
          <w:sz w:val="21"/>
          <w:szCs w:val="21"/>
          <w:color w:val="auto"/>
        </w:rPr>
      </w:pPr>
    </w:p>
    <w:p>
      <w:pPr>
        <w:jc w:val="both"/>
        <w:ind w:firstLine="1265"/>
        <w:spacing w:after="0" w:line="273" w:lineRule="auto"/>
        <w:tabs>
          <w:tab w:leader="none" w:pos="1772"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Administrative Agent shall have received written opinions (addressed to the Administrative Agent and the Lenders and dated the Amendment No. 2 Effective Date) of Paul, Weiss, Rifkind, Wharton &amp; Garrison LLP, New York counsel for the Loan Parties, and regulatory counsel for the Loan Parties reasonably acceptable to the Administrative Agent, as to such matters as the Administrative Agent may reasonably request and in form and substance reasonably satisfactory to the Administrative Agent. Each of Holdings and the Borrower hereby requests such counsels to deliver such opinions;</w:t>
      </w:r>
    </w:p>
    <w:p>
      <w:pPr>
        <w:spacing w:after="0" w:line="161" w:lineRule="exact"/>
        <w:rPr>
          <w:rFonts w:ascii="Arial" w:cs="Arial" w:eastAsia="Arial" w:hAnsi="Arial"/>
          <w:sz w:val="20"/>
          <w:szCs w:val="20"/>
          <w:color w:val="auto"/>
        </w:rPr>
      </w:pPr>
    </w:p>
    <w:p>
      <w:pPr>
        <w:ind w:firstLine="1265"/>
        <w:spacing w:after="0" w:line="286" w:lineRule="auto"/>
        <w:tabs>
          <w:tab w:leader="none" w:pos="1760"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Borrowing Request requesting the borrowing of the Term B-2 Loans and a notice of prepayment of the Non-Converted Term B-1 Loans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46" w:lineRule="exact"/>
        <w:rPr>
          <w:rFonts w:ascii="Arial" w:cs="Arial" w:eastAsia="Arial" w:hAnsi="Arial"/>
          <w:sz w:val="21"/>
          <w:szCs w:val="21"/>
          <w:color w:val="auto"/>
        </w:rPr>
      </w:pPr>
    </w:p>
    <w:p>
      <w:pPr>
        <w:jc w:val="both"/>
        <w:ind w:firstLine="1265"/>
        <w:spacing w:after="0" w:line="277" w:lineRule="auto"/>
        <w:tabs>
          <w:tab w:leader="none" w:pos="16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from the chief financial officer or chief operating officer of the Borrower (x) in the form of Exhibit Q to the Credit Agreement certifying as to the solvency of the Borrower and its Subsidiaries on a consolidated basis after giving effect to the transactions to be consummated on the Amendment No. 2 Effective Date and (y) as to the satisfaction of the conditions set forth in Section 4.02 of the Credit Agreement;</w:t>
      </w:r>
    </w:p>
    <w:p>
      <w:pPr>
        <w:spacing w:after="0" w:line="158" w:lineRule="exact"/>
        <w:rPr>
          <w:rFonts w:ascii="Arial" w:cs="Arial" w:eastAsia="Arial" w:hAnsi="Arial"/>
          <w:sz w:val="20"/>
          <w:szCs w:val="20"/>
          <w:color w:val="auto"/>
        </w:rPr>
      </w:pPr>
    </w:p>
    <w:p>
      <w:pPr>
        <w:jc w:val="both"/>
        <w:ind w:firstLine="1265"/>
        <w:spacing w:after="0" w:line="267" w:lineRule="auto"/>
        <w:tabs>
          <w:tab w:leader="none" w:pos="1733"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Administrative Agent shall have received copies of lien searches in such jurisdictions as the Lead Arranger may reasonably request (it being understood that lien searches in the jurisdiction of organization or formation of each Loan Party shall be sufficient);</w:t>
      </w:r>
    </w:p>
    <w:p>
      <w:pPr>
        <w:spacing w:after="0" w:line="165" w:lineRule="exact"/>
        <w:rPr>
          <w:rFonts w:ascii="Arial" w:cs="Arial" w:eastAsia="Arial" w:hAnsi="Arial"/>
          <w:sz w:val="21"/>
          <w:szCs w:val="21"/>
          <w:color w:val="auto"/>
        </w:rPr>
      </w:pPr>
    </w:p>
    <w:p>
      <w:pPr>
        <w:jc w:val="both"/>
        <w:ind w:firstLine="1265"/>
        <w:spacing w:after="0" w:line="286" w:lineRule="auto"/>
        <w:tabs>
          <w:tab w:leader="none" w:pos="1789"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of each Loan Party, dated the Amendment No. 2 Effective Date, substantially in the form of Exhibit G to the Credit Agreement with appropriate insertions, executed by any Responsible Officer of such Loan Party, and including or attaching the documents referred to in paragraph (g) of this Section;</w:t>
      </w:r>
    </w:p>
    <w:p>
      <w:pPr>
        <w:spacing w:after="0" w:line="149" w:lineRule="exact"/>
        <w:rPr>
          <w:rFonts w:ascii="Arial" w:cs="Arial" w:eastAsia="Arial" w:hAnsi="Arial"/>
          <w:sz w:val="20"/>
          <w:szCs w:val="20"/>
          <w:color w:val="auto"/>
        </w:rPr>
      </w:pPr>
    </w:p>
    <w:p>
      <w:pPr>
        <w:jc w:val="both"/>
        <w:ind w:firstLine="1265"/>
        <w:spacing w:after="0" w:line="285" w:lineRule="auto"/>
        <w:tabs>
          <w:tab w:leader="none" w:pos="1772"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Administrative Agent shall have received a copy of (i) each Organizational Document of each Loan Party certified, to the extent applicable, as of a recent date by the applicable Governmental Authority, or a certification from such Loan Party that its Organizational Documents in the form delivered to the Administrative Agent on the Restatement Effective Date, the Escrow Assumption Date or the Amendment No. 1 Effective Date, as applicable, have not been amended or modified since the date of such delivery and are in full force and effect,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w:t>
      </w:r>
    </w:p>
    <w:p>
      <w:pPr>
        <w:sectPr>
          <w:pgSz w:w="11900" w:h="16873" w:orient="portrait"/>
          <w:cols w:equalWidth="0" w:num="1">
            <w:col w:w="11420"/>
          </w:cols>
          <w:pgMar w:left="240" w:top="131" w:right="239" w:bottom="0" w:gutter="0" w:footer="0" w:header="0"/>
        </w:sectPr>
      </w:pPr>
    </w:p>
    <w:bookmarkStart w:id="91" w:name="page92"/>
    <w:bookmarkEnd w:id="91"/>
    <w:p>
      <w:pPr>
        <w:jc w:val="both"/>
        <w:spacing w:after="0" w:line="260" w:lineRule="auto"/>
        <w:rPr>
          <w:sz w:val="20"/>
          <w:szCs w:val="20"/>
          <w:color w:val="auto"/>
        </w:rPr>
      </w:pPr>
      <w:r>
        <w:rPr>
          <w:rFonts w:ascii="Arial" w:cs="Arial" w:eastAsia="Arial" w:hAnsi="Arial"/>
          <w:sz w:val="21"/>
          <w:szCs w:val="21"/>
          <w:color w:val="auto"/>
        </w:rPr>
        <w:t>as of the Amendment No. 2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73" w:lineRule="exact"/>
        <w:rPr>
          <w:sz w:val="20"/>
          <w:szCs w:val="20"/>
          <w:color w:val="auto"/>
        </w:rPr>
      </w:pPr>
    </w:p>
    <w:p>
      <w:pPr>
        <w:jc w:val="both"/>
        <w:ind w:firstLine="1265"/>
        <w:spacing w:after="0" w:line="296" w:lineRule="auto"/>
        <w:tabs>
          <w:tab w:leader="none" w:pos="16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Borrower shall have paid, or concurrently herewith shall pay to JPMorgan Chase Bank, N.A. such fees as have separately been agreed by JPMorgan Chase Bank, N.A. and the Borrower and, to the extent invoiced, the reasonable and documented out-of-pocket expenses of the Administrative Agent and the Lead Arranger in connection with this Amendment (including the reasonable fees and expenses of Cahill Gordon &amp; Reindel LLP, counsel to the Lead Arranger and the Administrative Agent); and</w:t>
      </w:r>
    </w:p>
    <w:p>
      <w:pPr>
        <w:spacing w:after="0" w:line="142" w:lineRule="exact"/>
        <w:rPr>
          <w:rFonts w:ascii="Arial" w:cs="Arial" w:eastAsia="Arial" w:hAnsi="Arial"/>
          <w:sz w:val="19"/>
          <w:szCs w:val="19"/>
          <w:color w:val="auto"/>
        </w:rPr>
      </w:pPr>
    </w:p>
    <w:p>
      <w:pPr>
        <w:jc w:val="both"/>
        <w:ind w:firstLine="1265"/>
        <w:spacing w:after="0" w:line="252" w:lineRule="auto"/>
        <w:tabs>
          <w:tab w:leader="none" w:pos="1672" w:val="left"/>
        </w:tabs>
        <w:numPr>
          <w:ilvl w:val="0"/>
          <w:numId w:val="27"/>
        </w:numPr>
        <w:rPr>
          <w:rFonts w:ascii="Arial" w:cs="Arial" w:eastAsia="Arial" w:hAnsi="Arial"/>
          <w:sz w:val="21"/>
          <w:szCs w:val="21"/>
          <w:color w:val="auto"/>
        </w:rPr>
      </w:pPr>
      <w:r>
        <w:rPr>
          <w:rFonts w:ascii="Arial" w:cs="Arial" w:eastAsia="Arial" w:hAnsi="Arial"/>
          <w:sz w:val="21"/>
          <w:szCs w:val="21"/>
          <w:color w:val="auto"/>
        </w:rPr>
        <w:t>(i) The Administrative Agent shall have received, at least five days prior to the Amendment No. 2 Effective Date, all documentation and other information regarding the Borrower requested in connection with applicable “know your customer” and anti-money laundering rules and regulations, including the USA Patriot Act, to the extent reasonably requested in writing of the Borrower at least ten days prior to the Amendment No. 2 Effective Date and (ii) to the extent the Borrower qualifies as a “legal entity customer” under the Beneficial Ownership Regulation, at least five days prior to the Amendment No. 2 Effective Date, any Lender that has requested, in a written notice to the Borrower at least ten days prior to the Amendment No. 2 Effective Date, a Beneficial Ownership Certification in relation to the Borrower shall have received such Beneficial Ownership Certification (provided that, upon the execution and delivery by such Lender of its signature page to this Amendment, the condition set forth in this clause (ii) shall be deemed to be satisfied).</w:t>
      </w:r>
    </w:p>
    <w:p>
      <w:pPr>
        <w:spacing w:after="0" w:line="185" w:lineRule="exact"/>
        <w:rPr>
          <w:sz w:val="20"/>
          <w:szCs w:val="20"/>
          <w:color w:val="auto"/>
        </w:rPr>
      </w:pPr>
    </w:p>
    <w:p>
      <w:pPr>
        <w:jc w:val="both"/>
        <w:ind w:firstLine="1260"/>
        <w:spacing w:after="0" w:line="30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In order to induce the Lenders and the Administrative Agent to enter into this Amendment, each of the Loan Parties represents and warrants to each of the Lenders and the Administrative Agent that, as of the Amendment No. 2 Effective Date, both before and after giving effect to the transactions contemplated by this Amendment:</w:t>
      </w:r>
    </w:p>
    <w:p>
      <w:pPr>
        <w:spacing w:after="0" w:line="133" w:lineRule="exact"/>
        <w:rPr>
          <w:sz w:val="20"/>
          <w:szCs w:val="20"/>
          <w:color w:val="auto"/>
        </w:rPr>
      </w:pPr>
    </w:p>
    <w:p>
      <w:pPr>
        <w:ind w:left="1700" w:hanging="435"/>
        <w:spacing w:after="0"/>
        <w:tabs>
          <w:tab w:leader="none" w:pos="17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no Default or Event of Default exists; and</w:t>
      </w:r>
    </w:p>
    <w:p>
      <w:pPr>
        <w:spacing w:after="0" w:line="217" w:lineRule="exact"/>
        <w:rPr>
          <w:rFonts w:ascii="Arial" w:cs="Arial" w:eastAsia="Arial" w:hAnsi="Arial"/>
          <w:sz w:val="21"/>
          <w:szCs w:val="21"/>
          <w:color w:val="auto"/>
        </w:rPr>
      </w:pPr>
    </w:p>
    <w:p>
      <w:pPr>
        <w:jc w:val="both"/>
        <w:ind w:left="640" w:firstLine="625"/>
        <w:spacing w:after="0" w:line="254" w:lineRule="auto"/>
        <w:tabs>
          <w:tab w:leader="none" w:pos="1732"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each Loan Party contained in Article III of the Credit Agreement or any other Loan Document are true and correct in all material respects on and as of such date (except, to the extent that such representations and warranties specifically refer to an earlier date, they are true and correct as of such earlier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the extent that such representations and warranties are qualified by materiality, material adverse effect or similar language, they are true and correct in all respects.</w:t>
      </w:r>
    </w:p>
    <w:p>
      <w:pPr>
        <w:spacing w:after="0" w:line="179" w:lineRule="exact"/>
        <w:rPr>
          <w:sz w:val="20"/>
          <w:szCs w:val="20"/>
          <w:color w:val="auto"/>
        </w:rPr>
      </w:pPr>
    </w:p>
    <w:p>
      <w:pPr>
        <w:ind w:left="1260"/>
        <w:spacing w:after="0"/>
        <w:tabs>
          <w:tab w:leader="none" w:pos="256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19"/>
          <w:szCs w:val="19"/>
          <w:u w:val="single" w:color="auto"/>
          <w:color w:val="auto"/>
        </w:rPr>
        <w:t>Reference to and Effect on the Loan Documents; Reaffirmation</w:t>
      </w:r>
      <w:r>
        <w:rPr>
          <w:rFonts w:ascii="Arial" w:cs="Arial" w:eastAsia="Arial" w:hAnsi="Arial"/>
          <w:sz w:val="19"/>
          <w:szCs w:val="19"/>
          <w:color w:val="auto"/>
        </w:rPr>
        <w:t>.</w:t>
      </w:r>
    </w:p>
    <w:p>
      <w:pPr>
        <w:spacing w:after="0" w:line="231" w:lineRule="exact"/>
        <w:rPr>
          <w:sz w:val="20"/>
          <w:szCs w:val="20"/>
          <w:color w:val="auto"/>
        </w:rPr>
      </w:pPr>
    </w:p>
    <w:p>
      <w:pPr>
        <w:jc w:val="both"/>
        <w:ind w:firstLine="1265"/>
        <w:spacing w:after="0" w:line="285" w:lineRule="auto"/>
        <w:tabs>
          <w:tab w:leader="none" w:pos="17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On and after the Amendment No. 2 Effective Date,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by this Amendment. The execution, delivery and effectiveness of this Amendment shall not, except as expressly provided herein, operate as a waiver of (or otherwise affect) any right, power or remedy of any Lender or any Agent under any of the Loan Documents, nor constitute a waiver of any provision of any of the Loan Documents. This Amendment shall not constitute a novation of the Credit Agreement or any other Loan Document.</w:t>
      </w:r>
    </w:p>
    <w:p>
      <w:pPr>
        <w:spacing w:after="0" w:line="152" w:lineRule="exact"/>
        <w:rPr>
          <w:rFonts w:ascii="Arial" w:cs="Arial" w:eastAsia="Arial" w:hAnsi="Arial"/>
          <w:sz w:val="19"/>
          <w:szCs w:val="19"/>
          <w:color w:val="auto"/>
        </w:rPr>
      </w:pPr>
    </w:p>
    <w:p>
      <w:pPr>
        <w:jc w:val="both"/>
        <w:ind w:firstLine="1265"/>
        <w:spacing w:after="0" w:line="278" w:lineRule="auto"/>
        <w:tabs>
          <w:tab w:leader="none" w:pos="1719" w:val="left"/>
        </w:tabs>
        <w:numPr>
          <w:ilvl w:val="0"/>
          <w:numId w:val="29"/>
        </w:numPr>
        <w:rPr>
          <w:rFonts w:ascii="Arial" w:cs="Arial" w:eastAsia="Arial" w:hAnsi="Arial"/>
          <w:sz w:val="19"/>
          <w:szCs w:val="19"/>
          <w:color w:val="auto"/>
        </w:rPr>
      </w:pPr>
      <w:r>
        <w:rPr>
          <w:rFonts w:ascii="Arial" w:cs="Arial" w:eastAsia="Arial" w:hAnsi="Arial"/>
          <w:sz w:val="19"/>
          <w:szCs w:val="19"/>
          <w:color w:val="auto"/>
        </w:rPr>
        <w:t>Each of the Loan Parties, (i) hereby consents to the Amendment, (ii) without limiting its obligations under, or the provisions of, the Guarantee Agreement, hereby confirms its respective guarantees, as applicable, under the Guarantee Agreement, (iii) without limiting its obligations under, or the provisions of, the Collateral Agreement, hereby confirms its respective assignments, pledges and grants of security interests, as applicable, under the Collateral Agreement and each of the other Loan Documents to which it is party, (iv) without limiting its obligations under, or the provisions of, any Loan Document, hereby confirms that the obligations of the Borrower under the Credit Agreement are entitled to the benefits of the guarantees and the security interests set forth or created in the Guarantee Agreement, the Collateral Agreement and the other Loan Documents and constitute “Obligations,” “Loan Document Obligations,” “Secured Obligations” or other similar term for purposes thereof, (v) hereby agrees that, after giving effect to this Amendment, such guarantees, and pledges and grants of security interests, as applicable, shall continue to be in full force and effect and shall continue to inure to the benefit of the Lenders and the other Secured Parties, (vi) hereby ratifies, confirms and agrees that all Liens granted, conveyed, or assigned to the Administrative Agent by such Person pursuant to any Loan Document to which it is a party remain in full force and effect, are not released or reduced, and after giving effect to the Credit Agreement and the Transactions continue to secure full payment and performance of the obligations under the Credit Agreement and such Liens continue unimpaired with the same priority to secure repayment of such obligations whether heretofore or hereafter incurred and no new filings are required to be made and no other action is required to be taken to perfect or to maintain the perfection of such Liens and (vii) the Obligations of Borrower and the other Loan Parties under the Credit Agreement that remain unpaid and outstanding as of the Amendment No. 2 Effective Date shall continue to exist under and be evidenced by the Credit Agreement and the other Loan Documents.</w:t>
      </w:r>
    </w:p>
    <w:p>
      <w:pPr>
        <w:spacing w:after="0" w:line="159" w:lineRule="exact"/>
        <w:rPr>
          <w:rFonts w:ascii="Arial" w:cs="Arial" w:eastAsia="Arial" w:hAnsi="Arial"/>
          <w:sz w:val="19"/>
          <w:szCs w:val="19"/>
          <w:color w:val="auto"/>
        </w:rPr>
      </w:pPr>
    </w:p>
    <w:p>
      <w:pPr>
        <w:jc w:val="both"/>
        <w:ind w:firstLine="1265"/>
        <w:spacing w:after="0" w:line="286" w:lineRule="auto"/>
        <w:tabs>
          <w:tab w:leader="none" w:pos="1812"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Each of the Loan Parties further agrees to take any action that may be required or that is requested by the Administrative Agent to ensure compliance by Holdings or the Borrower with the provisions of Section 5.12 of the Credit Agreement and hereby reaffirms its obligations under each similar provision of each Loan Document to which it is a party.</w:t>
      </w:r>
    </w:p>
    <w:p>
      <w:pPr>
        <w:spacing w:after="0" w:line="149" w:lineRule="exact"/>
        <w:rPr>
          <w:sz w:val="20"/>
          <w:szCs w:val="20"/>
          <w:color w:val="auto"/>
        </w:rPr>
      </w:pPr>
    </w:p>
    <w:p>
      <w:pPr>
        <w:ind w:left="1260"/>
        <w:spacing w:after="0"/>
        <w:tabs>
          <w:tab w:leader="none" w:pos="2560" w:val="left"/>
        </w:tabs>
        <w:rPr>
          <w:sz w:val="20"/>
          <w:szCs w:val="20"/>
          <w:color w:val="auto"/>
        </w:rPr>
      </w:pPr>
      <w:r>
        <w:rPr>
          <w:rFonts w:ascii="Arial" w:cs="Arial" w:eastAsia="Arial" w:hAnsi="Arial"/>
          <w:sz w:val="21"/>
          <w:szCs w:val="21"/>
          <w:color w:val="auto"/>
        </w:rPr>
        <w:t>SECTION 5.</w:t>
      </w:r>
      <w:r>
        <w:rPr>
          <w:sz w:val="20"/>
          <w:szCs w:val="20"/>
          <w:color w:val="auto"/>
        </w:rPr>
        <w:tab/>
      </w:r>
      <w:r>
        <w:rPr>
          <w:rFonts w:ascii="Arial" w:cs="Arial" w:eastAsia="Arial" w:hAnsi="Arial"/>
          <w:sz w:val="19"/>
          <w:szCs w:val="19"/>
          <w:u w:val="single" w:color="auto"/>
          <w:color w:val="auto"/>
        </w:rPr>
        <w:t>Applicable Law; Waiver of Jury Trial</w:t>
      </w:r>
      <w:r>
        <w:rPr>
          <w:rFonts w:ascii="Arial" w:cs="Arial" w:eastAsia="Arial" w:hAnsi="Arial"/>
          <w:sz w:val="19"/>
          <w:szCs w:val="19"/>
          <w:color w:val="auto"/>
        </w:rPr>
        <w:t>.</w:t>
      </w:r>
    </w:p>
    <w:p>
      <w:pPr>
        <w:spacing w:after="0" w:line="225" w:lineRule="exact"/>
        <w:rPr>
          <w:sz w:val="20"/>
          <w:szCs w:val="20"/>
          <w:color w:val="auto"/>
        </w:rPr>
      </w:pPr>
    </w:p>
    <w:p>
      <w:pPr>
        <w:jc w:val="both"/>
        <w:ind w:firstLine="1265"/>
        <w:spacing w:after="0" w:line="292" w:lineRule="auto"/>
        <w:tabs>
          <w:tab w:leader="none" w:pos="1726" w:val="left"/>
        </w:tabs>
        <w:numPr>
          <w:ilvl w:val="0"/>
          <w:numId w:val="30"/>
        </w:numPr>
        <w:rPr>
          <w:rFonts w:ascii="Arial" w:cs="Arial" w:eastAsia="Arial" w:hAnsi="Arial"/>
          <w:sz w:val="21"/>
          <w:szCs w:val="21"/>
          <w:color w:val="auto"/>
        </w:rPr>
      </w:pPr>
      <w:r>
        <w:rPr>
          <w:rFonts w:ascii="Arial" w:cs="Arial" w:eastAsia="Arial" w:hAnsi="Arial"/>
          <w:sz w:val="21"/>
          <w:szCs w:val="21"/>
          <w:b w:val="1"/>
          <w:bCs w:val="1"/>
          <w:color w:val="auto"/>
        </w:rPr>
        <w:t>THIS AMENDMENT SHALL BE GOVERNED BY, AND CONSTRUED IN ACCORDANCE WITH, THE LAW OF THE STATE OF NEW YORK WITHOUT GIVING EFFECT TO ANY CONFLICTS PROVISIONS THAT</w:t>
      </w:r>
    </w:p>
    <w:p>
      <w:pPr>
        <w:sectPr>
          <w:pgSz w:w="11900" w:h="16838" w:orient="portrait"/>
          <w:cols w:equalWidth="0" w:num="1">
            <w:col w:w="11420"/>
          </w:cols>
          <w:pgMar w:left="240" w:top="131" w:right="239" w:bottom="0" w:gutter="0" w:footer="0" w:header="0"/>
        </w:sectPr>
      </w:pPr>
    </w:p>
    <w:bookmarkStart w:id="92" w:name="page93"/>
    <w:bookmarkEnd w:id="92"/>
    <w:p>
      <w:pPr>
        <w:spacing w:after="0"/>
        <w:rPr>
          <w:sz w:val="20"/>
          <w:szCs w:val="20"/>
          <w:color w:val="auto"/>
        </w:rPr>
      </w:pPr>
      <w:r>
        <w:rPr>
          <w:rFonts w:ascii="Arial" w:cs="Arial" w:eastAsia="Arial" w:hAnsi="Arial"/>
          <w:sz w:val="21"/>
          <w:szCs w:val="21"/>
          <w:b w:val="1"/>
          <w:bCs w:val="1"/>
          <w:color w:val="auto"/>
        </w:rPr>
        <w:t>WOULD RESULT IN THE APPLICATION OF THE LAWS OF ANOTHER JURISDICTION.</w:t>
      </w:r>
    </w:p>
    <w:p>
      <w:pPr>
        <w:spacing w:after="0" w:line="218" w:lineRule="exact"/>
        <w:rPr>
          <w:sz w:val="20"/>
          <w:szCs w:val="20"/>
          <w:color w:val="auto"/>
        </w:rPr>
      </w:pPr>
    </w:p>
    <w:p>
      <w:pPr>
        <w:jc w:val="both"/>
        <w:ind w:firstLine="1265"/>
        <w:spacing w:after="0" w:line="262" w:lineRule="auto"/>
        <w:tabs>
          <w:tab w:leader="none" w:pos="2056"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EACH PARTY HERETO HEREBY IRREVOCABLY WAIVES, TO THE FULLEST EXTENT PERMITTED BY APPLICABLE LAW, ANY RIGHT IT MAY HAVE TO A TRIAL BY JURY IN ANY LEGAL ACTION OR PROCEEDING DIRECTLY OR INDIRECTLY ARISING OUT OF OR RELATING TO THIS AMENDMENT (WHETHER BASED ON CONTRACT, TORT OR ANY OTHER THEORY).</w:t>
      </w:r>
    </w:p>
    <w:p>
      <w:pPr>
        <w:spacing w:after="0" w:line="172" w:lineRule="exact"/>
        <w:rPr>
          <w:sz w:val="20"/>
          <w:szCs w:val="20"/>
          <w:color w:val="auto"/>
        </w:rPr>
      </w:pPr>
    </w:p>
    <w:p>
      <w:pPr>
        <w:jc w:val="both"/>
        <w:ind w:firstLine="1260"/>
        <w:spacing w:after="0" w:line="312"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Headings</w:t>
      </w:r>
      <w:r>
        <w:rPr>
          <w:rFonts w:ascii="Arial" w:cs="Arial" w:eastAsia="Arial" w:hAnsi="Arial"/>
          <w:sz w:val="20"/>
          <w:szCs w:val="20"/>
          <w:color w:val="auto"/>
        </w:rPr>
        <w:t>. The Section headings used herein are for convenience of reference only, are not part of this Amendment and are not to affect the construction of, or to be taken into consideration in interpreting, this Amendment.</w:t>
      </w:r>
    </w:p>
    <w:p>
      <w:pPr>
        <w:spacing w:after="0" w:line="124" w:lineRule="exact"/>
        <w:rPr>
          <w:sz w:val="20"/>
          <w:szCs w:val="20"/>
          <w:color w:val="auto"/>
        </w:rPr>
      </w:pPr>
    </w:p>
    <w:p>
      <w:pPr>
        <w:jc w:val="both"/>
        <w:ind w:firstLine="1260"/>
        <w:spacing w:after="0" w:line="296"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or any other electronic transmission shall be effective as delivery of an original executed counterpart hereof.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to follow]</w:t>
      </w:r>
    </w:p>
    <w:p>
      <w:pPr>
        <w:spacing w:after="0" w:line="200" w:lineRule="exact"/>
        <w:rPr>
          <w:sz w:val="20"/>
          <w:szCs w:val="20"/>
          <w:color w:val="auto"/>
        </w:rPr>
      </w:pPr>
    </w:p>
    <w:p>
      <w:pPr>
        <w:spacing w:after="0" w:line="267" w:lineRule="exact"/>
        <w:rPr>
          <w:sz w:val="20"/>
          <w:szCs w:val="20"/>
          <w:color w:val="auto"/>
        </w:rPr>
      </w:pPr>
    </w:p>
    <w:p>
      <w:pPr>
        <w:jc w:val="both"/>
        <w:ind w:firstLine="1260"/>
        <w:spacing w:after="0" w:line="273" w:lineRule="auto"/>
        <w:rPr>
          <w:sz w:val="20"/>
          <w:szCs w:val="20"/>
          <w:color w:val="auto"/>
        </w:rPr>
      </w:pPr>
      <w:r>
        <w:rPr>
          <w:rFonts w:ascii="Arial" w:cs="Arial" w:eastAsia="Arial" w:hAnsi="Arial"/>
          <w:sz w:val="21"/>
          <w:szCs w:val="21"/>
          <w:color w:val="auto"/>
        </w:rPr>
        <w:t>IN WITNESS WHEREOF, the parties hereto have caused this Amendment to be duly executed by their respective authorized officers as of the day and year first written above.</w:t>
      </w:r>
    </w:p>
    <w:p>
      <w:pPr>
        <w:spacing w:after="0" w:line="15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VFH PARENT LLC, as Borrower</w:t>
      </w: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-13970</wp:posOffset>
            </wp:positionV>
            <wp:extent cx="1133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VIRTU FINANCIAL LLC, as Holdings</w:t>
      </w: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-13970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jc w:val="center"/>
        <w:ind w:right="120"/>
        <w:spacing w:after="0"/>
        <w:rPr>
          <w:sz w:val="20"/>
          <w:szCs w:val="20"/>
          <w:color w:val="auto"/>
        </w:rPr>
      </w:pPr>
      <w:r>
        <w:rPr>
          <w:rFonts w:ascii="Arial" w:cs="Arial" w:eastAsia="Arial" w:hAnsi="Arial"/>
          <w:sz w:val="21"/>
          <w:szCs w:val="21"/>
          <w:color w:val="auto"/>
        </w:rPr>
        <w:t>ARATIKA LLC, as a Subsidiary Loan Party</w:t>
      </w: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-13970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GLOBAL COLOCATION SERVICES LLC, as a Subsidiary Loan Party</w:t>
      </w: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-13970</wp:posOffset>
            </wp:positionV>
            <wp:extent cx="1133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NATIONAL TOWER COMPANY LLC, as a Subsidiary Loan Party</w:t>
      </w: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-13970</wp:posOffset>
            </wp:positionV>
            <wp:extent cx="1133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ORCHESTRA BORROWER LLC, as a Subsidiary Loan Party</w:t>
      </w: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-13970</wp:posOffset>
            </wp:positionV>
            <wp:extent cx="11334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ORCHESTRA CO-ISSUER LLC, as a Subsidiary Loan Party</w:t>
      </w:r>
    </w:p>
    <w:p>
      <w:pPr>
        <w:sectPr>
          <w:pgSz w:w="11900" w:h="16838" w:orient="portrait"/>
          <w:cols w:equalWidth="0" w:num="1">
            <w:col w:w="11420"/>
          </w:cols>
          <w:pgMar w:left="240" w:top="125" w:right="239" w:bottom="322" w:gutter="0" w:footer="0" w:header="0"/>
        </w:sectPr>
      </w:pPr>
    </w:p>
    <w:bookmarkStart w:id="93" w:name="page94"/>
    <w:bookmarkEnd w:id="93"/>
    <w:p>
      <w:pPr>
        <w:ind w:left="25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-13970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SERVICES DEVELOPMENT COMPANY LLC, as a Subsidiary Loan Party</w:t>
      </w: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-13970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VIRTU FINANCIAL ENERGY AND COMMODITIES LLC, as a Subsidiary Loan Party</w:t>
      </w:r>
    </w:p>
    <w:p>
      <w:pPr>
        <w:spacing w:after="0" w:line="200" w:lineRule="exact"/>
        <w:rPr>
          <w:sz w:val="20"/>
          <w:szCs w:val="20"/>
          <w:color w:val="auto"/>
        </w:rPr>
      </w:pP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-13970</wp:posOffset>
            </wp:positionV>
            <wp:extent cx="11334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VIRTU FINANCIAL F/X LLC, as a Subsidiary Loan Party</w:t>
      </w:r>
    </w:p>
    <w:p>
      <w:pPr>
        <w:spacing w:after="0" w:line="200" w:lineRule="exact"/>
        <w:rPr>
          <w:sz w:val="20"/>
          <w:szCs w:val="20"/>
          <w:color w:val="auto"/>
        </w:rPr>
      </w:pP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-13970</wp:posOffset>
            </wp:positionV>
            <wp:extent cx="11334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VIRTU FINANCIAL GLOBAL SERVICES LLC, as a Subsidiary Loan Party</w:t>
      </w: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-13970</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VIRTU FINANCIAL OPERATING LLC, as a Subsidiary Loan Party</w:t>
      </w: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-13970</wp:posOffset>
            </wp:positionV>
            <wp:extent cx="11334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VIRTU FINANCIAL SERVICES LLC, as a Subsidiary Loan Party</w:t>
      </w: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-13970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VIRTU GETCO HOLDING COMPANY LLC, as a Subsidiary Loan Party</w:t>
      </w: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-13970</wp:posOffset>
            </wp:positionV>
            <wp:extent cx="11334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VIRTU KCG HOLDINGS LLC, as a Subsidiary Loan Party</w:t>
      </w:r>
    </w:p>
    <w:p>
      <w:pPr>
        <w:spacing w:after="0" w:line="200" w:lineRule="exact"/>
        <w:rPr>
          <w:sz w:val="20"/>
          <w:szCs w:val="20"/>
          <w:color w:val="auto"/>
        </w:rPr>
      </w:pPr>
    </w:p>
    <w:p>
      <w:pPr>
        <w:spacing w:after="0" w:line="25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-13970</wp:posOffset>
            </wp:positionV>
            <wp:extent cx="1133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VIRTU KNIGHT CAPITAL GROUP LLC, as a Subsidiary Loan Party</w:t>
      </w: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-13970</wp:posOffset>
            </wp:positionV>
            <wp:extent cx="11334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VIRTU STRATEGIC HOLDINGS LLC, as a Subsidiary Loan Party</w:t>
      </w:r>
    </w:p>
    <w:p>
      <w:pPr>
        <w:sectPr>
          <w:pgSz w:w="11900" w:h="16838" w:orient="portrait"/>
          <w:cols w:equalWidth="0" w:num="1">
            <w:col w:w="10140"/>
          </w:cols>
          <w:pgMar w:left="1440" w:top="131" w:right="319" w:bottom="0" w:gutter="0" w:footer="0" w:header="0"/>
        </w:sectPr>
      </w:pPr>
    </w:p>
    <w:bookmarkStart w:id="94" w:name="page95"/>
    <w:bookmarkEnd w:id="94"/>
    <w:p>
      <w:pPr>
        <w:ind w:left="37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-13970</wp:posOffset>
            </wp:positionV>
            <wp:extent cx="1133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Title: Chief Financial Officer and Treasurer</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VIRTU TECHNOLOGIES LLC, as a Subsidiary Loan Party</w:t>
      </w: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-13970</wp:posOffset>
            </wp:positionV>
            <wp:extent cx="11334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Joseph Molluso</w:t>
      </w:r>
    </w:p>
    <w:p>
      <w:pPr>
        <w:spacing w:after="0" w:line="21" w:lineRule="exact"/>
        <w:rPr>
          <w:sz w:val="20"/>
          <w:szCs w:val="20"/>
          <w:color w:val="auto"/>
        </w:rPr>
      </w:pPr>
    </w:p>
    <w:p>
      <w:pPr>
        <w:jc w:val="center"/>
        <w:ind w:right="200"/>
        <w:spacing w:after="0"/>
        <w:rPr>
          <w:sz w:val="20"/>
          <w:szCs w:val="20"/>
          <w:color w:val="auto"/>
        </w:rPr>
      </w:pPr>
      <w:r>
        <w:rPr>
          <w:rFonts w:ascii="Arial" w:cs="Arial" w:eastAsia="Arial" w:hAnsi="Arial"/>
          <w:sz w:val="21"/>
          <w:szCs w:val="21"/>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JPMORGAN CHASE BANK, N.A., as Administrative Agent</w:t>
      </w:r>
    </w:p>
    <w:p>
      <w:pPr>
        <w:spacing w:after="0" w:line="200" w:lineRule="exact"/>
        <w:rPr>
          <w:sz w:val="20"/>
          <w:szCs w:val="20"/>
          <w:color w:val="auto"/>
        </w:rPr>
      </w:pPr>
    </w:p>
    <w:p>
      <w:pPr>
        <w:spacing w:after="0" w:line="228" w:lineRule="exact"/>
        <w:rPr>
          <w:sz w:val="20"/>
          <w:szCs w:val="20"/>
          <w:color w:val="auto"/>
        </w:rPr>
      </w:pPr>
    </w:p>
    <w:p>
      <w:pPr>
        <w:ind w:left="378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Keiko Kiyohara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-13970</wp:posOffset>
            </wp:positionV>
            <wp:extent cx="1148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spacing w:after="0" w:line="6" w:lineRule="exact"/>
        <w:rPr>
          <w:sz w:val="20"/>
          <w:szCs w:val="20"/>
          <w:color w:val="auto"/>
        </w:rPr>
      </w:pPr>
    </w:p>
    <w:p>
      <w:pPr>
        <w:ind w:left="8080"/>
        <w:spacing w:after="0"/>
        <w:rPr>
          <w:sz w:val="20"/>
          <w:szCs w:val="20"/>
          <w:color w:val="auto"/>
        </w:rPr>
      </w:pPr>
      <w:r>
        <w:rPr>
          <w:rFonts w:ascii="Arial" w:cs="Arial" w:eastAsia="Arial" w:hAnsi="Arial"/>
          <w:sz w:val="21"/>
          <w:szCs w:val="21"/>
          <w:color w:val="auto"/>
        </w:rPr>
        <w:t>Name: Keiko Kiyohara</w:t>
      </w:r>
    </w:p>
    <w:p>
      <w:pPr>
        <w:spacing w:after="0" w:line="8" w:lineRule="exact"/>
        <w:rPr>
          <w:sz w:val="20"/>
          <w:szCs w:val="20"/>
          <w:color w:val="auto"/>
        </w:rPr>
      </w:pPr>
    </w:p>
    <w:p>
      <w:pPr>
        <w:ind w:left="808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10"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JPMORGAN CHASE BANK, N.A., as Term B-2 Lender</w:t>
      </w:r>
    </w:p>
    <w:p>
      <w:pPr>
        <w:spacing w:after="0" w:line="200" w:lineRule="exact"/>
        <w:rPr>
          <w:sz w:val="20"/>
          <w:szCs w:val="20"/>
          <w:color w:val="auto"/>
        </w:rPr>
      </w:pPr>
    </w:p>
    <w:p>
      <w:pPr>
        <w:spacing w:after="0" w:line="228" w:lineRule="exact"/>
        <w:rPr>
          <w:sz w:val="20"/>
          <w:szCs w:val="20"/>
          <w:color w:val="auto"/>
        </w:rPr>
      </w:pPr>
    </w:p>
    <w:p>
      <w:pPr>
        <w:ind w:left="378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Keiko Kiyohara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-13970</wp:posOffset>
            </wp:positionV>
            <wp:extent cx="1148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spacing w:after="0" w:line="6" w:lineRule="exact"/>
        <w:rPr>
          <w:sz w:val="20"/>
          <w:szCs w:val="20"/>
          <w:color w:val="auto"/>
        </w:rPr>
      </w:pPr>
    </w:p>
    <w:p>
      <w:pPr>
        <w:ind w:left="8080"/>
        <w:spacing w:after="0"/>
        <w:rPr>
          <w:sz w:val="20"/>
          <w:szCs w:val="20"/>
          <w:color w:val="auto"/>
        </w:rPr>
      </w:pPr>
      <w:r>
        <w:rPr>
          <w:rFonts w:ascii="Arial" w:cs="Arial" w:eastAsia="Arial" w:hAnsi="Arial"/>
          <w:sz w:val="21"/>
          <w:szCs w:val="21"/>
          <w:color w:val="auto"/>
        </w:rPr>
        <w:t>Name: Keiko Kiyohara</w:t>
      </w:r>
    </w:p>
    <w:p>
      <w:pPr>
        <w:spacing w:after="0" w:line="8" w:lineRule="exact"/>
        <w:rPr>
          <w:sz w:val="20"/>
          <w:szCs w:val="20"/>
          <w:color w:val="auto"/>
        </w:rPr>
      </w:pPr>
    </w:p>
    <w:p>
      <w:pPr>
        <w:ind w:left="8080"/>
        <w:spacing w:after="0"/>
        <w:rPr>
          <w:sz w:val="20"/>
          <w:szCs w:val="20"/>
          <w:color w:val="auto"/>
        </w:rPr>
      </w:pPr>
      <w:r>
        <w:rPr>
          <w:rFonts w:ascii="Arial" w:cs="Arial" w:eastAsia="Arial" w:hAnsi="Arial"/>
          <w:sz w:val="21"/>
          <w:szCs w:val="21"/>
          <w:color w:val="auto"/>
        </w:rPr>
        <w:t>Title: Vice President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 Lender Signature Page to Amendment No. 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hereby irrevocably and unconditionally approves Amendment No. 2 and consents as follows (check ONE option):</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Cashless Settlement Option</w:t>
      </w:r>
    </w:p>
    <w:p>
      <w:pPr>
        <w:spacing w:after="0" w:line="27" w:lineRule="exact"/>
        <w:rPr>
          <w:sz w:val="20"/>
          <w:szCs w:val="20"/>
          <w:color w:val="auto"/>
        </w:rPr>
      </w:pPr>
    </w:p>
    <w:p>
      <w:pPr>
        <w:jc w:val="both"/>
        <w:ind w:left="640" w:firstLine="630"/>
        <w:spacing w:after="0" w:line="251" w:lineRule="auto"/>
        <w:rPr>
          <w:sz w:val="20"/>
          <w:szCs w:val="20"/>
          <w:color w:val="auto"/>
        </w:rPr>
      </w:pPr>
      <w:r>
        <w:rPr>
          <w:rFonts w:ascii="Arial" w:cs="Arial" w:eastAsia="Arial" w:hAnsi="Arial"/>
          <w:sz w:val="19"/>
          <w:szCs w:val="19"/>
          <w:color w:val="auto"/>
        </w:rPr>
        <w:t>to exchange 100% of the outstanding principal amount of the Term B-1 Loans held by such Lender for Term B-2 Loans in an equal principal amount (or such lesser amount as may be notified to such Lender by JPMorgan Chase Bank, N.A. prior to the Amendment No. 2 Effective Date).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Consent Only Option</w:t>
      </w:r>
    </w:p>
    <w:p>
      <w:pPr>
        <w:spacing w:after="0" w:line="27" w:lineRule="exact"/>
        <w:rPr>
          <w:sz w:val="20"/>
          <w:szCs w:val="20"/>
          <w:color w:val="auto"/>
        </w:rPr>
      </w:pPr>
    </w:p>
    <w:p>
      <w:pPr>
        <w:jc w:val="both"/>
        <w:ind w:left="640" w:firstLine="1260"/>
        <w:spacing w:after="0" w:line="257" w:lineRule="auto"/>
        <w:rPr>
          <w:sz w:val="20"/>
          <w:szCs w:val="20"/>
          <w:color w:val="auto"/>
        </w:rPr>
      </w:pPr>
      <w:r>
        <w:rPr>
          <w:rFonts w:ascii="Arial" w:cs="Arial" w:eastAsia="Arial" w:hAnsi="Arial"/>
          <w:sz w:val="19"/>
          <w:szCs w:val="19"/>
          <w:color w:val="auto"/>
        </w:rPr>
        <w:t>to have 100% of the outstanding principal amount of the Term B-1 Loans held by such Lender prepaid on the Amendment No. 2 Effective Date.</w:t>
      </w:r>
    </w:p>
    <w:p>
      <w:pPr>
        <w:spacing w:after="0" w:line="356"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[NAME OF INSTITUTION]</w:t>
      </w:r>
    </w:p>
    <w:p>
      <w:pPr>
        <w:spacing w:after="0" w:line="200" w:lineRule="exact"/>
        <w:rPr>
          <w:sz w:val="20"/>
          <w:szCs w:val="20"/>
          <w:color w:val="auto"/>
        </w:rPr>
      </w:pPr>
    </w:p>
    <w:p>
      <w:pPr>
        <w:spacing w:after="0" w:line="25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 ______________________________________</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Name:</w:t>
      </w:r>
    </w:p>
    <w:p>
      <w:pPr>
        <w:spacing w:after="0" w:line="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Title:</w:t>
      </w:r>
    </w:p>
    <w:p>
      <w:pPr>
        <w:spacing w:after="0" w:line="212"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If a second signature is necessary:</w:t>
      </w:r>
    </w:p>
    <w:p>
      <w:pPr>
        <w:spacing w:after="0" w:line="200" w:lineRule="exact"/>
        <w:rPr>
          <w:sz w:val="20"/>
          <w:szCs w:val="20"/>
          <w:color w:val="auto"/>
        </w:rPr>
      </w:pPr>
    </w:p>
    <w:p>
      <w:pPr>
        <w:spacing w:after="0" w:line="25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 ______________________________________</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Name:</w:t>
      </w:r>
    </w:p>
    <w:p>
      <w:pPr>
        <w:spacing w:after="0" w:line="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Title:</w:t>
      </w:r>
    </w:p>
    <w:p>
      <w:pPr>
        <w:spacing w:after="0" w:line="212"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Name of Fund Manager (if any):</w:t>
      </w:r>
    </w:p>
    <w:p>
      <w:pPr>
        <w:spacing w:after="0" w:line="228"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________________________</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A</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5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FOURTH AMENDED AND RESTATED CREDIT AGREEMENT</w:t>
      </w:r>
    </w:p>
    <w:p>
      <w:pPr>
        <w:sectPr>
          <w:pgSz w:w="11900" w:h="16838" w:orient="portrait"/>
          <w:cols w:equalWidth="0" w:num="1">
            <w:col w:w="11420"/>
          </w:cols>
          <w:pgMar w:left="240" w:top="354" w:right="239" w:bottom="0" w:gutter="0" w:footer="0" w:header="0"/>
          <w:type w:val="continuous"/>
        </w:sectPr>
      </w:pPr>
    </w:p>
    <w:bookmarkStart w:id="95" w:name="page96"/>
    <w:bookmarkEnd w:id="95"/>
    <w:p>
      <w:pPr>
        <w:spacing w:after="0" w:line="83"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dated as of June 30, 2017,</w:t>
      </w:r>
    </w:p>
    <w:p>
      <w:pPr>
        <w:spacing w:after="0" w:line="22"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as amended by Amendment No. 1 dated as of January 2, 2018</w:t>
      </w:r>
      <w:r>
        <w:rPr>
          <w:rFonts w:ascii="Arial" w:cs="Arial" w:eastAsia="Arial" w:hAnsi="Arial"/>
          <w:sz w:val="19"/>
          <w:szCs w:val="19"/>
          <w:u w:val="single" w:color="auto"/>
          <w:color w:val="0000FF"/>
        </w:rPr>
        <w:t>,</w:t>
      </w:r>
    </w:p>
    <w:p>
      <w:pPr>
        <w:spacing w:after="0" w:line="5" w:lineRule="exact"/>
        <w:rPr>
          <w:sz w:val="20"/>
          <w:szCs w:val="20"/>
          <w:color w:val="auto"/>
        </w:rPr>
      </w:pPr>
    </w:p>
    <w:p>
      <w:pPr>
        <w:ind w:left="3320"/>
        <w:spacing w:after="0"/>
        <w:rPr>
          <w:sz w:val="20"/>
          <w:szCs w:val="20"/>
          <w:color w:val="auto"/>
        </w:rPr>
      </w:pPr>
      <w:r>
        <w:rPr>
          <w:rFonts w:ascii="Arial" w:cs="Arial" w:eastAsia="Arial" w:hAnsi="Arial"/>
          <w:sz w:val="19"/>
          <w:szCs w:val="19"/>
          <w:u w:val="single" w:color="auto"/>
          <w:color w:val="0000FF"/>
        </w:rPr>
        <w:t>and as amended by Amendment No. 2 dated as of September 19,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VIRTU FINANCIAL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Holdings,</w:t>
      </w:r>
    </w:p>
    <w:p>
      <w:pPr>
        <w:spacing w:after="0" w:line="199"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VFH PARENT LLC,</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as Borrower,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Lenders Party Hereto,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JPMORGAN CHASE BANK, N.A.,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72758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JPMORGAN CHASE BANK, N.A.,</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as Sole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72758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2758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PAGE</w:t>
      </w:r>
    </w:p>
    <w:p>
      <w:pPr>
        <w:spacing w:after="0" w:line="223"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21"/>
          <w:szCs w:val="21"/>
          <w:color w:val="auto"/>
        </w:rPr>
        <w:t>ARTICLE 1 DEFINITIONS</w:t>
      </w:r>
      <w:r>
        <w:rPr>
          <w:sz w:val="20"/>
          <w:szCs w:val="20"/>
          <w:color w:val="auto"/>
        </w:rPr>
        <w:tab/>
      </w:r>
      <w:r>
        <w:rPr>
          <w:rFonts w:ascii="Arial" w:cs="Arial" w:eastAsia="Arial" w:hAnsi="Arial"/>
          <w:sz w:val="17"/>
          <w:szCs w:val="17"/>
          <w:color w:val="auto"/>
        </w:rPr>
        <w:t>1</w:t>
      </w:r>
    </w:p>
    <w:p>
      <w:pPr>
        <w:spacing w:after="0" w:line="209" w:lineRule="exact"/>
        <w:rPr>
          <w:sz w:val="20"/>
          <w:szCs w:val="20"/>
          <w:color w:val="auto"/>
        </w:rPr>
      </w:pPr>
    </w:p>
    <w:p>
      <w:pPr>
        <w:spacing w:after="0"/>
        <w:tabs>
          <w:tab w:leader="none" w:pos="1180" w:val="left"/>
          <w:tab w:leader="none" w:pos="2500" w:val="left"/>
        </w:tabs>
        <w:rPr>
          <w:sz w:val="20"/>
          <w:szCs w:val="20"/>
          <w:color w:val="auto"/>
        </w:rPr>
      </w:pPr>
      <w:r>
        <w:rPr>
          <w:rFonts w:ascii="Arial" w:cs="Arial" w:eastAsia="Arial" w:hAnsi="Arial"/>
          <w:sz w:val="19"/>
          <w:szCs w:val="19"/>
          <w:color w:val="auto"/>
        </w:rPr>
        <w:t>Section 1.01.</w:t>
      </w:r>
      <w:r>
        <w:rPr>
          <w:sz w:val="20"/>
          <w:szCs w:val="20"/>
          <w:color w:val="auto"/>
        </w:rPr>
        <w:tab/>
      </w:r>
      <w:r>
        <w:rPr>
          <w:rFonts w:ascii="Arial" w:cs="Arial" w:eastAsia="Arial" w:hAnsi="Arial"/>
          <w:sz w:val="19"/>
          <w:szCs w:val="19"/>
          <w:i w:val="1"/>
          <w:iCs w:val="1"/>
          <w:color w:val="auto"/>
        </w:rPr>
        <w:t>Defined Terms</w:t>
      </w:r>
      <w:r>
        <w:rPr>
          <w:sz w:val="20"/>
          <w:szCs w:val="20"/>
          <w:color w:val="auto"/>
        </w:rPr>
        <w:tab/>
      </w:r>
      <w:r>
        <w:rPr>
          <w:rFonts w:ascii="Arial" w:cs="Arial" w:eastAsia="Arial" w:hAnsi="Arial"/>
          <w:sz w:val="17"/>
          <w:szCs w:val="17"/>
          <w:color w:val="auto"/>
        </w:rPr>
        <w:t>1</w:t>
      </w:r>
    </w:p>
    <w:p>
      <w:pPr>
        <w:spacing w:after="0" w:line="21" w:lineRule="exact"/>
        <w:rPr>
          <w:sz w:val="20"/>
          <w:szCs w:val="20"/>
          <w:color w:val="auto"/>
        </w:rPr>
      </w:pPr>
    </w:p>
    <w:p>
      <w:pPr>
        <w:spacing w:after="0"/>
        <w:tabs>
          <w:tab w:leader="none" w:pos="1180" w:val="left"/>
          <w:tab w:leader="none" w:pos="4460" w:val="left"/>
        </w:tabs>
        <w:rPr>
          <w:sz w:val="20"/>
          <w:szCs w:val="20"/>
          <w:color w:val="auto"/>
        </w:rPr>
      </w:pPr>
      <w:r>
        <w:rPr>
          <w:rFonts w:ascii="Arial" w:cs="Arial" w:eastAsia="Arial" w:hAnsi="Arial"/>
          <w:sz w:val="19"/>
          <w:szCs w:val="19"/>
          <w:color w:val="auto"/>
        </w:rPr>
        <w:t>Section 1.02.</w:t>
      </w:r>
      <w:r>
        <w:rPr>
          <w:sz w:val="20"/>
          <w:szCs w:val="20"/>
          <w:color w:val="auto"/>
        </w:rPr>
        <w:tab/>
      </w:r>
      <w:r>
        <w:rPr>
          <w:rFonts w:ascii="Arial" w:cs="Arial" w:eastAsia="Arial" w:hAnsi="Arial"/>
          <w:sz w:val="19"/>
          <w:szCs w:val="19"/>
          <w:i w:val="1"/>
          <w:iCs w:val="1"/>
          <w:color w:val="auto"/>
        </w:rPr>
        <w:t>Classification of Loans and Borrowings</w:t>
      </w:r>
      <w:r>
        <w:rPr>
          <w:sz w:val="20"/>
          <w:szCs w:val="20"/>
          <w:color w:val="auto"/>
        </w:rPr>
        <w:tab/>
      </w:r>
      <w:r>
        <w:rPr>
          <w:rFonts w:ascii="Arial" w:cs="Arial" w:eastAsia="Arial" w:hAnsi="Arial"/>
          <w:sz w:val="16"/>
          <w:szCs w:val="16"/>
          <w:color w:val="auto"/>
        </w:rPr>
        <w:t>60</w:t>
      </w:r>
    </w:p>
    <w:p>
      <w:pPr>
        <w:spacing w:after="0" w:line="5" w:lineRule="exact"/>
        <w:rPr>
          <w:sz w:val="20"/>
          <w:szCs w:val="20"/>
          <w:color w:val="auto"/>
        </w:rPr>
      </w:pPr>
    </w:p>
    <w:p>
      <w:pPr>
        <w:spacing w:after="0"/>
        <w:tabs>
          <w:tab w:leader="none" w:pos="1180" w:val="left"/>
          <w:tab w:leader="none" w:pos="2660" w:val="left"/>
        </w:tabs>
        <w:rPr>
          <w:sz w:val="20"/>
          <w:szCs w:val="20"/>
          <w:color w:val="auto"/>
        </w:rPr>
      </w:pPr>
      <w:r>
        <w:rPr>
          <w:rFonts w:ascii="Arial" w:cs="Arial" w:eastAsia="Arial" w:hAnsi="Arial"/>
          <w:sz w:val="19"/>
          <w:szCs w:val="19"/>
          <w:color w:val="auto"/>
        </w:rPr>
        <w:t>Section 1.03.</w:t>
      </w:r>
      <w:r>
        <w:rPr>
          <w:sz w:val="20"/>
          <w:szCs w:val="20"/>
          <w:color w:val="auto"/>
        </w:rPr>
        <w:tab/>
      </w:r>
      <w:r>
        <w:rPr>
          <w:rFonts w:ascii="Arial" w:cs="Arial" w:eastAsia="Arial" w:hAnsi="Arial"/>
          <w:sz w:val="19"/>
          <w:szCs w:val="19"/>
          <w:i w:val="1"/>
          <w:iCs w:val="1"/>
          <w:color w:val="auto"/>
        </w:rPr>
        <w:t>Terms Generally</w:t>
      </w:r>
      <w:r>
        <w:rPr>
          <w:sz w:val="20"/>
          <w:szCs w:val="20"/>
          <w:color w:val="auto"/>
        </w:rPr>
        <w:tab/>
      </w:r>
      <w:r>
        <w:rPr>
          <w:rFonts w:ascii="Arial" w:cs="Arial" w:eastAsia="Arial" w:hAnsi="Arial"/>
          <w:sz w:val="17"/>
          <w:szCs w:val="17"/>
          <w:color w:val="auto"/>
        </w:rPr>
        <w:t>60</w:t>
      </w:r>
    </w:p>
    <w:p>
      <w:pPr>
        <w:spacing w:after="0" w:line="5" w:lineRule="exact"/>
        <w:rPr>
          <w:sz w:val="20"/>
          <w:szCs w:val="20"/>
          <w:color w:val="auto"/>
        </w:rPr>
      </w:pPr>
    </w:p>
    <w:p>
      <w:pPr>
        <w:spacing w:after="0"/>
        <w:tabs>
          <w:tab w:leader="none" w:pos="1180" w:val="left"/>
          <w:tab w:leader="none" w:pos="3360" w:val="left"/>
        </w:tabs>
        <w:rPr>
          <w:sz w:val="20"/>
          <w:szCs w:val="20"/>
          <w:color w:val="auto"/>
        </w:rPr>
      </w:pPr>
      <w:r>
        <w:rPr>
          <w:rFonts w:ascii="Arial" w:cs="Arial" w:eastAsia="Arial" w:hAnsi="Arial"/>
          <w:sz w:val="19"/>
          <w:szCs w:val="19"/>
          <w:color w:val="auto"/>
        </w:rPr>
        <w:t>Section 1.04.</w:t>
      </w:r>
      <w:r>
        <w:rPr>
          <w:sz w:val="20"/>
          <w:szCs w:val="20"/>
          <w:color w:val="auto"/>
        </w:rPr>
        <w:tab/>
      </w:r>
      <w:r>
        <w:rPr>
          <w:rFonts w:ascii="Arial" w:cs="Arial" w:eastAsia="Arial" w:hAnsi="Arial"/>
          <w:sz w:val="19"/>
          <w:szCs w:val="19"/>
          <w:i w:val="1"/>
          <w:iCs w:val="1"/>
          <w:color w:val="auto"/>
        </w:rPr>
        <w:t>Accounting Terms</w:t>
      </w:r>
      <w:r>
        <w:rPr>
          <w:rFonts w:ascii="Arial" w:cs="Arial" w:eastAsia="Arial" w:hAnsi="Arial"/>
          <w:sz w:val="19"/>
          <w:szCs w:val="19"/>
          <w:color w:val="auto"/>
        </w:rPr>
        <w:t>;</w:t>
      </w:r>
      <w:r>
        <w:rPr>
          <w:rFonts w:ascii="Arial" w:cs="Arial" w:eastAsia="Arial" w:hAnsi="Arial"/>
          <w:sz w:val="19"/>
          <w:szCs w:val="19"/>
          <w:i w:val="1"/>
          <w:iCs w:val="1"/>
          <w:color w:val="auto"/>
        </w:rPr>
        <w:t xml:space="preserve"> GAAP</w:t>
      </w:r>
      <w:r>
        <w:rPr>
          <w:sz w:val="20"/>
          <w:szCs w:val="20"/>
          <w:color w:val="auto"/>
        </w:rPr>
        <w:tab/>
      </w:r>
      <w:r>
        <w:rPr>
          <w:rFonts w:ascii="Arial" w:cs="Arial" w:eastAsia="Arial" w:hAnsi="Arial"/>
          <w:sz w:val="17"/>
          <w:szCs w:val="17"/>
          <w:color w:val="auto"/>
        </w:rPr>
        <w:t>61</w:t>
      </w:r>
    </w:p>
    <w:p>
      <w:pPr>
        <w:spacing w:after="0" w:line="5" w:lineRule="exact"/>
        <w:rPr>
          <w:sz w:val="20"/>
          <w:szCs w:val="20"/>
          <w:color w:val="auto"/>
        </w:rPr>
      </w:pPr>
    </w:p>
    <w:p>
      <w:pPr>
        <w:spacing w:after="0"/>
        <w:tabs>
          <w:tab w:leader="none" w:pos="1180" w:val="left"/>
          <w:tab w:leader="none" w:pos="3560" w:val="left"/>
        </w:tabs>
        <w:rPr>
          <w:sz w:val="20"/>
          <w:szCs w:val="20"/>
          <w:color w:val="auto"/>
        </w:rPr>
      </w:pPr>
      <w:r>
        <w:rPr>
          <w:rFonts w:ascii="Arial" w:cs="Arial" w:eastAsia="Arial" w:hAnsi="Arial"/>
          <w:sz w:val="19"/>
          <w:szCs w:val="19"/>
          <w:color w:val="auto"/>
        </w:rPr>
        <w:t>Section 1.05.</w:t>
      </w:r>
      <w:r>
        <w:rPr>
          <w:sz w:val="20"/>
          <w:szCs w:val="20"/>
          <w:color w:val="auto"/>
        </w:rPr>
        <w:tab/>
      </w:r>
      <w:r>
        <w:rPr>
          <w:rFonts w:ascii="Arial" w:cs="Arial" w:eastAsia="Arial" w:hAnsi="Arial"/>
          <w:sz w:val="19"/>
          <w:szCs w:val="19"/>
          <w:i w:val="1"/>
          <w:iCs w:val="1"/>
          <w:color w:val="auto"/>
        </w:rPr>
        <w:t>Effectuation of Transactions</w:t>
      </w:r>
      <w:r>
        <w:rPr>
          <w:sz w:val="20"/>
          <w:szCs w:val="20"/>
          <w:color w:val="auto"/>
        </w:rPr>
        <w:tab/>
      </w:r>
      <w:r>
        <w:rPr>
          <w:rFonts w:ascii="Arial" w:cs="Arial" w:eastAsia="Arial" w:hAnsi="Arial"/>
          <w:sz w:val="17"/>
          <w:szCs w:val="17"/>
          <w:color w:val="auto"/>
        </w:rPr>
        <w:t>61</w:t>
      </w:r>
    </w:p>
    <w:p>
      <w:pPr>
        <w:spacing w:after="0" w:line="5" w:lineRule="exact"/>
        <w:rPr>
          <w:sz w:val="20"/>
          <w:szCs w:val="20"/>
          <w:color w:val="auto"/>
        </w:rPr>
      </w:pPr>
    </w:p>
    <w:p>
      <w:pPr>
        <w:spacing w:after="0"/>
        <w:tabs>
          <w:tab w:leader="none" w:pos="1180" w:val="left"/>
          <w:tab w:leader="none" w:pos="3040" w:val="left"/>
        </w:tabs>
        <w:rPr>
          <w:sz w:val="20"/>
          <w:szCs w:val="20"/>
          <w:color w:val="auto"/>
        </w:rPr>
      </w:pPr>
      <w:r>
        <w:rPr>
          <w:rFonts w:ascii="Arial" w:cs="Arial" w:eastAsia="Arial" w:hAnsi="Arial"/>
          <w:sz w:val="19"/>
          <w:szCs w:val="19"/>
          <w:color w:val="auto"/>
        </w:rPr>
        <w:t>Section 1.06.</w:t>
      </w:r>
      <w:r>
        <w:rPr>
          <w:sz w:val="20"/>
          <w:szCs w:val="20"/>
          <w:color w:val="auto"/>
        </w:rPr>
        <w:tab/>
      </w:r>
      <w:r>
        <w:rPr>
          <w:rFonts w:ascii="Arial" w:cs="Arial" w:eastAsia="Arial" w:hAnsi="Arial"/>
          <w:sz w:val="19"/>
          <w:szCs w:val="19"/>
          <w:i w:val="1"/>
          <w:iCs w:val="1"/>
          <w:color w:val="auto"/>
        </w:rPr>
        <w:t>Currency Translation</w:t>
      </w:r>
      <w:r>
        <w:rPr>
          <w:sz w:val="20"/>
          <w:szCs w:val="20"/>
          <w:color w:val="auto"/>
        </w:rPr>
        <w:tab/>
      </w:r>
      <w:r>
        <w:rPr>
          <w:rFonts w:ascii="Arial" w:cs="Arial" w:eastAsia="Arial" w:hAnsi="Arial"/>
          <w:sz w:val="16"/>
          <w:szCs w:val="16"/>
          <w:color w:val="auto"/>
        </w:rPr>
        <w:t>61</w:t>
      </w:r>
    </w:p>
    <w:p>
      <w:pPr>
        <w:spacing w:after="0" w:line="5" w:lineRule="exact"/>
        <w:rPr>
          <w:sz w:val="20"/>
          <w:szCs w:val="20"/>
          <w:color w:val="auto"/>
        </w:rPr>
      </w:pPr>
    </w:p>
    <w:p>
      <w:pPr>
        <w:spacing w:after="0"/>
        <w:tabs>
          <w:tab w:leader="none" w:pos="1180" w:val="left"/>
          <w:tab w:leader="none" w:pos="8980" w:val="left"/>
        </w:tabs>
        <w:rPr>
          <w:sz w:val="20"/>
          <w:szCs w:val="20"/>
          <w:color w:val="auto"/>
        </w:rPr>
      </w:pPr>
      <w:r>
        <w:rPr>
          <w:rFonts w:ascii="Arial" w:cs="Arial" w:eastAsia="Arial" w:hAnsi="Arial"/>
          <w:sz w:val="19"/>
          <w:szCs w:val="19"/>
          <w:color w:val="auto"/>
        </w:rPr>
        <w:t>Section 1.07.</w:t>
      </w:r>
      <w:r>
        <w:rPr>
          <w:sz w:val="20"/>
          <w:szCs w:val="20"/>
          <w:color w:val="auto"/>
        </w:rPr>
        <w:tab/>
      </w:r>
      <w:r>
        <w:rPr>
          <w:rFonts w:ascii="Arial" w:cs="Arial" w:eastAsia="Arial" w:hAnsi="Arial"/>
          <w:sz w:val="18"/>
          <w:szCs w:val="18"/>
          <w:i w:val="1"/>
          <w:iCs w:val="1"/>
          <w:color w:val="auto"/>
        </w:rPr>
        <w:t>Effect of this Agreement on the Existing Credit Agreement and the Other Existing Loan Documents</w:t>
      </w:r>
      <w:r>
        <w:rPr>
          <w:sz w:val="20"/>
          <w:szCs w:val="20"/>
          <w:color w:val="auto"/>
        </w:rPr>
        <w:tab/>
      </w:r>
      <w:r>
        <w:rPr>
          <w:rFonts w:ascii="Arial" w:cs="Arial" w:eastAsia="Arial" w:hAnsi="Arial"/>
          <w:sz w:val="17"/>
          <w:szCs w:val="17"/>
          <w:color w:val="auto"/>
        </w:rPr>
        <w:t>62</w:t>
      </w:r>
    </w:p>
    <w:p>
      <w:pPr>
        <w:spacing w:after="0" w:line="207"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1"/>
          <w:szCs w:val="21"/>
          <w:color w:val="auto"/>
        </w:rPr>
        <w:t>ARTICLE 2 THE CREDITS</w:t>
      </w:r>
      <w:r>
        <w:rPr>
          <w:sz w:val="20"/>
          <w:szCs w:val="20"/>
          <w:color w:val="auto"/>
        </w:rPr>
        <w:tab/>
      </w:r>
      <w:r>
        <w:rPr>
          <w:rFonts w:ascii="Arial" w:cs="Arial" w:eastAsia="Arial" w:hAnsi="Arial"/>
          <w:sz w:val="19"/>
          <w:szCs w:val="19"/>
          <w:color w:val="auto"/>
        </w:rPr>
        <w:t>62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2.01.</w:t>
            </w:r>
          </w:p>
        </w:tc>
        <w:tc>
          <w:tcPr>
            <w:tcW w:w="1360" w:type="dxa"/>
            <w:vAlign w:val="bottom"/>
            <w:gridSpan w:val="5"/>
          </w:tcPr>
          <w:p>
            <w:pPr>
              <w:ind w:left="120"/>
              <w:spacing w:after="0"/>
              <w:rPr>
                <w:sz w:val="20"/>
                <w:szCs w:val="20"/>
                <w:color w:val="auto"/>
              </w:rPr>
            </w:pPr>
            <w:r>
              <w:rPr>
                <w:rFonts w:ascii="Arial" w:cs="Arial" w:eastAsia="Arial" w:hAnsi="Arial"/>
                <w:sz w:val="19"/>
                <w:szCs w:val="19"/>
                <w:i w:val="1"/>
                <w:iCs w:val="1"/>
                <w:color w:val="auto"/>
              </w:rPr>
              <w:t>Commitments</w:t>
            </w:r>
          </w:p>
        </w:tc>
        <w:tc>
          <w:tcPr>
            <w:tcW w:w="220" w:type="dxa"/>
            <w:vAlign w:val="bottom"/>
          </w:tcPr>
          <w:p>
            <w:pPr>
              <w:jc w:val="right"/>
              <w:spacing w:after="0"/>
              <w:rPr>
                <w:sz w:val="20"/>
                <w:szCs w:val="20"/>
                <w:color w:val="auto"/>
              </w:rPr>
            </w:pPr>
            <w:r>
              <w:rPr>
                <w:rFonts w:ascii="Arial" w:cs="Arial" w:eastAsia="Arial" w:hAnsi="Arial"/>
                <w:sz w:val="19"/>
                <w:szCs w:val="19"/>
                <w:color w:val="auto"/>
                <w:w w:val="84"/>
              </w:rPr>
              <w:t>62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2.02.</w:t>
            </w:r>
          </w:p>
        </w:tc>
        <w:tc>
          <w:tcPr>
            <w:tcW w:w="2080" w:type="dxa"/>
            <w:vAlign w:val="bottom"/>
            <w:gridSpan w:val="9"/>
          </w:tcPr>
          <w:p>
            <w:pPr>
              <w:ind w:left="120"/>
              <w:spacing w:after="0"/>
              <w:rPr>
                <w:sz w:val="20"/>
                <w:szCs w:val="20"/>
                <w:color w:val="auto"/>
              </w:rPr>
            </w:pPr>
            <w:r>
              <w:rPr>
                <w:rFonts w:ascii="Arial" w:cs="Arial" w:eastAsia="Arial" w:hAnsi="Arial"/>
                <w:sz w:val="19"/>
                <w:szCs w:val="19"/>
                <w:i w:val="1"/>
                <w:iCs w:val="1"/>
                <w:color w:val="auto"/>
              </w:rPr>
              <w:t>Loans and Borrowings</w:t>
            </w:r>
          </w:p>
        </w:tc>
        <w:tc>
          <w:tcPr>
            <w:tcW w:w="240" w:type="dxa"/>
            <w:vAlign w:val="bottom"/>
          </w:tcPr>
          <w:p>
            <w:pPr>
              <w:jc w:val="right"/>
              <w:spacing w:after="0"/>
              <w:rPr>
                <w:sz w:val="20"/>
                <w:szCs w:val="20"/>
                <w:color w:val="auto"/>
              </w:rPr>
            </w:pPr>
            <w:r>
              <w:rPr>
                <w:rFonts w:ascii="Arial" w:cs="Arial" w:eastAsia="Arial" w:hAnsi="Arial"/>
                <w:sz w:val="19"/>
                <w:szCs w:val="19"/>
                <w:color w:val="auto"/>
                <w:w w:val="75"/>
              </w:rPr>
              <w:t>63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2.03.</w:t>
            </w:r>
          </w:p>
        </w:tc>
        <w:tc>
          <w:tcPr>
            <w:tcW w:w="2080" w:type="dxa"/>
            <w:vAlign w:val="bottom"/>
            <w:gridSpan w:val="9"/>
          </w:tcPr>
          <w:p>
            <w:pPr>
              <w:ind w:left="120"/>
              <w:spacing w:after="0"/>
              <w:rPr>
                <w:sz w:val="20"/>
                <w:szCs w:val="20"/>
                <w:color w:val="auto"/>
              </w:rPr>
            </w:pPr>
            <w:r>
              <w:rPr>
                <w:rFonts w:ascii="Arial" w:cs="Arial" w:eastAsia="Arial" w:hAnsi="Arial"/>
                <w:sz w:val="19"/>
                <w:szCs w:val="19"/>
                <w:i w:val="1"/>
                <w:iCs w:val="1"/>
                <w:color w:val="auto"/>
                <w:w w:val="93"/>
              </w:rPr>
              <w:t>Requests for Borrowings</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64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1"/>
        </w:trPr>
        <w:tc>
          <w:tcPr>
            <w:tcW w:w="1080" w:type="dxa"/>
            <w:vAlign w:val="bottom"/>
          </w:tcPr>
          <w:p>
            <w:pPr>
              <w:spacing w:after="0" w:line="201" w:lineRule="exact"/>
              <w:rPr>
                <w:sz w:val="20"/>
                <w:szCs w:val="20"/>
                <w:color w:val="auto"/>
              </w:rPr>
            </w:pPr>
            <w:r>
              <w:rPr>
                <w:rFonts w:ascii="Arial" w:cs="Arial" w:eastAsia="Arial" w:hAnsi="Arial"/>
                <w:sz w:val="19"/>
                <w:szCs w:val="19"/>
                <w:color w:val="auto"/>
                <w:w w:val="95"/>
              </w:rPr>
              <w:t>Section 2.04.</w:t>
            </w:r>
          </w:p>
        </w:tc>
        <w:tc>
          <w:tcPr>
            <w:tcW w:w="2080" w:type="dxa"/>
            <w:vAlign w:val="bottom"/>
            <w:gridSpan w:val="9"/>
          </w:tcPr>
          <w:p>
            <w:pPr>
              <w:ind w:left="120"/>
              <w:spacing w:after="0" w:line="201" w:lineRule="exact"/>
              <w:rPr>
                <w:sz w:val="20"/>
                <w:szCs w:val="20"/>
                <w:color w:val="auto"/>
              </w:rPr>
            </w:pPr>
            <w:r>
              <w:rPr>
                <w:rFonts w:ascii="Arial" w:cs="Arial" w:eastAsia="Arial" w:hAnsi="Arial"/>
                <w:sz w:val="19"/>
                <w:szCs w:val="19"/>
                <w:i w:val="1"/>
                <w:iCs w:val="1"/>
                <w:color w:val="auto"/>
              </w:rPr>
              <w:t>Funding of Borrowings</w:t>
            </w:r>
          </w:p>
        </w:tc>
        <w:tc>
          <w:tcPr>
            <w:tcW w:w="240" w:type="dxa"/>
            <w:vAlign w:val="bottom"/>
          </w:tcPr>
          <w:p>
            <w:pPr>
              <w:jc w:val="right"/>
              <w:spacing w:after="0" w:line="201" w:lineRule="exact"/>
              <w:rPr>
                <w:sz w:val="20"/>
                <w:szCs w:val="20"/>
                <w:color w:val="auto"/>
              </w:rPr>
            </w:pPr>
            <w:r>
              <w:rPr>
                <w:rFonts w:ascii="Arial" w:cs="Arial" w:eastAsia="Arial" w:hAnsi="Arial"/>
                <w:sz w:val="19"/>
                <w:szCs w:val="19"/>
                <w:color w:val="FF0000"/>
                <w:strike w:val="1"/>
              </w:rPr>
              <w:t>65</w:t>
            </w:r>
          </w:p>
        </w:tc>
        <w:tc>
          <w:tcPr>
            <w:tcW w:w="320" w:type="dxa"/>
            <w:vAlign w:val="bottom"/>
            <w:gridSpan w:val="3"/>
          </w:tcPr>
          <w:p>
            <w:pPr>
              <w:jc w:val="right"/>
              <w:ind w:right="140"/>
              <w:spacing w:after="0" w:line="201" w:lineRule="exact"/>
              <w:rPr>
                <w:sz w:val="20"/>
                <w:szCs w:val="20"/>
                <w:color w:val="auto"/>
              </w:rPr>
            </w:pPr>
            <w:r>
              <w:rPr>
                <w:rFonts w:ascii="Arial" w:cs="Arial" w:eastAsia="Arial" w:hAnsi="Arial"/>
                <w:sz w:val="19"/>
                <w:szCs w:val="19"/>
                <w:color w:val="0000FF"/>
                <w:w w:val="75"/>
              </w:rPr>
              <w:t>64</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6"/>
        </w:trPr>
        <w:tc>
          <w:tcPr>
            <w:tcW w:w="1080" w:type="dxa"/>
            <w:vAlign w:val="bottom"/>
          </w:tcPr>
          <w:p>
            <w:pPr>
              <w:spacing w:after="0"/>
              <w:rPr>
                <w:sz w:val="20"/>
                <w:szCs w:val="20"/>
                <w:color w:val="auto"/>
              </w:rPr>
            </w:pPr>
            <w:r>
              <w:rPr>
                <w:rFonts w:ascii="Arial" w:cs="Arial" w:eastAsia="Arial" w:hAnsi="Arial"/>
                <w:sz w:val="19"/>
                <w:szCs w:val="19"/>
                <w:color w:val="auto"/>
                <w:w w:val="95"/>
              </w:rPr>
              <w:t>Section 2.05.</w:t>
            </w:r>
          </w:p>
        </w:tc>
        <w:tc>
          <w:tcPr>
            <w:tcW w:w="1580" w:type="dxa"/>
            <w:vAlign w:val="bottom"/>
            <w:gridSpan w:val="6"/>
          </w:tcPr>
          <w:p>
            <w:pPr>
              <w:ind w:left="120"/>
              <w:spacing w:after="0"/>
              <w:rPr>
                <w:sz w:val="20"/>
                <w:szCs w:val="20"/>
                <w:color w:val="auto"/>
              </w:rPr>
            </w:pPr>
            <w:r>
              <w:rPr>
                <w:rFonts w:ascii="Arial" w:cs="Arial" w:eastAsia="Arial" w:hAnsi="Arial"/>
                <w:sz w:val="19"/>
                <w:szCs w:val="19"/>
                <w:i w:val="1"/>
                <w:iCs w:val="1"/>
                <w:color w:val="auto"/>
                <w:w w:val="98"/>
              </w:rPr>
              <w:t>Interest Elections</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66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2.06.</w:t>
            </w:r>
          </w:p>
        </w:tc>
        <w:tc>
          <w:tcPr>
            <w:tcW w:w="3700" w:type="dxa"/>
            <w:vAlign w:val="bottom"/>
            <w:gridSpan w:val="14"/>
          </w:tcPr>
          <w:p>
            <w:pPr>
              <w:ind w:left="120"/>
              <w:spacing w:after="0"/>
              <w:rPr>
                <w:sz w:val="20"/>
                <w:szCs w:val="20"/>
                <w:color w:val="auto"/>
              </w:rPr>
            </w:pPr>
            <w:r>
              <w:rPr>
                <w:rFonts w:ascii="Arial" w:cs="Arial" w:eastAsia="Arial" w:hAnsi="Arial"/>
                <w:sz w:val="19"/>
                <w:szCs w:val="19"/>
                <w:i w:val="1"/>
                <w:iCs w:val="1"/>
                <w:color w:val="auto"/>
                <w:w w:val="95"/>
              </w:rPr>
              <w:t>Termination and Reduction of Commitments</w:t>
            </w:r>
          </w:p>
        </w:tc>
        <w:tc>
          <w:tcPr>
            <w:tcW w:w="360" w:type="dxa"/>
            <w:vAlign w:val="bottom"/>
          </w:tcPr>
          <w:p>
            <w:pPr>
              <w:jc w:val="right"/>
              <w:ind w:right="44"/>
              <w:spacing w:after="0"/>
              <w:rPr>
                <w:sz w:val="20"/>
                <w:szCs w:val="20"/>
                <w:color w:val="auto"/>
              </w:rPr>
            </w:pPr>
            <w:r>
              <w:rPr>
                <w:rFonts w:ascii="Arial" w:cs="Arial" w:eastAsia="Arial" w:hAnsi="Arial"/>
                <w:sz w:val="19"/>
                <w:szCs w:val="19"/>
                <w:color w:val="auto"/>
                <w:w w:val="94"/>
              </w:rPr>
              <w:t>67</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2.07.</w:t>
            </w:r>
          </w:p>
        </w:tc>
        <w:tc>
          <w:tcPr>
            <w:tcW w:w="3700" w:type="dxa"/>
            <w:vAlign w:val="bottom"/>
            <w:gridSpan w:val="14"/>
          </w:tcPr>
          <w:p>
            <w:pPr>
              <w:ind w:left="120"/>
              <w:spacing w:after="0"/>
              <w:rPr>
                <w:sz w:val="20"/>
                <w:szCs w:val="20"/>
                <w:color w:val="auto"/>
              </w:rPr>
            </w:pPr>
            <w:r>
              <w:rPr>
                <w:rFonts w:ascii="Arial" w:cs="Arial" w:eastAsia="Arial" w:hAnsi="Arial"/>
                <w:sz w:val="19"/>
                <w:szCs w:val="19"/>
                <w:i w:val="1"/>
                <w:iCs w:val="1"/>
                <w:color w:val="auto"/>
                <w:w w:val="98"/>
              </w:rPr>
              <w:t xml:space="preserve">Repayment of Loans; Evidence of Debt  </w:t>
            </w:r>
            <w:r>
              <w:rPr>
                <w:rFonts w:ascii="Arial" w:cs="Arial" w:eastAsia="Arial" w:hAnsi="Arial"/>
                <w:sz w:val="19"/>
                <w:szCs w:val="19"/>
                <w:color w:val="auto"/>
                <w:w w:val="98"/>
              </w:rPr>
              <w:t>67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2.08.</w:t>
            </w:r>
          </w:p>
        </w:tc>
        <w:tc>
          <w:tcPr>
            <w:tcW w:w="2460" w:type="dxa"/>
            <w:vAlign w:val="bottom"/>
            <w:gridSpan w:val="11"/>
          </w:tcPr>
          <w:p>
            <w:pPr>
              <w:ind w:left="120"/>
              <w:spacing w:after="0"/>
              <w:rPr>
                <w:sz w:val="20"/>
                <w:szCs w:val="20"/>
                <w:color w:val="auto"/>
              </w:rPr>
            </w:pPr>
            <w:r>
              <w:rPr>
                <w:rFonts w:ascii="Arial" w:cs="Arial" w:eastAsia="Arial" w:hAnsi="Arial"/>
                <w:sz w:val="19"/>
                <w:szCs w:val="19"/>
                <w:i w:val="1"/>
                <w:iCs w:val="1"/>
                <w:color w:val="auto"/>
                <w:w w:val="99"/>
              </w:rPr>
              <w:t>Amortization of Term Loans</w:t>
            </w:r>
          </w:p>
        </w:tc>
        <w:tc>
          <w:tcPr>
            <w:tcW w:w="1240" w:type="dxa"/>
            <w:vAlign w:val="bottom"/>
            <w:gridSpan w:val="3"/>
          </w:tcPr>
          <w:p>
            <w:pPr>
              <w:jc w:val="right"/>
              <w:ind w:right="1040"/>
              <w:spacing w:after="0"/>
              <w:rPr>
                <w:sz w:val="20"/>
                <w:szCs w:val="20"/>
                <w:color w:val="auto"/>
              </w:rPr>
            </w:pPr>
            <w:r>
              <w:rPr>
                <w:rFonts w:ascii="Arial" w:cs="Arial" w:eastAsia="Arial" w:hAnsi="Arial"/>
                <w:sz w:val="19"/>
                <w:szCs w:val="19"/>
                <w:color w:val="auto"/>
                <w:w w:val="84"/>
              </w:rPr>
              <w:t>68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2.09.</w:t>
            </w:r>
          </w:p>
        </w:tc>
        <w:tc>
          <w:tcPr>
            <w:tcW w:w="2460" w:type="dxa"/>
            <w:vAlign w:val="bottom"/>
            <w:gridSpan w:val="11"/>
          </w:tcPr>
          <w:p>
            <w:pPr>
              <w:ind w:left="120"/>
              <w:spacing w:after="0"/>
              <w:rPr>
                <w:sz w:val="20"/>
                <w:szCs w:val="20"/>
                <w:color w:val="auto"/>
              </w:rPr>
            </w:pPr>
            <w:r>
              <w:rPr>
                <w:rFonts w:ascii="Arial" w:cs="Arial" w:eastAsia="Arial" w:hAnsi="Arial"/>
                <w:sz w:val="19"/>
                <w:szCs w:val="19"/>
                <w:i w:val="1"/>
                <w:iCs w:val="1"/>
                <w:color w:val="auto"/>
              </w:rPr>
              <w:t xml:space="preserve">Prepayment of Loans  </w:t>
            </w:r>
            <w:r>
              <w:rPr>
                <w:rFonts w:ascii="Arial" w:cs="Arial" w:eastAsia="Arial" w:hAnsi="Arial"/>
                <w:sz w:val="19"/>
                <w:szCs w:val="19"/>
                <w:color w:val="auto"/>
              </w:rPr>
              <w:t>69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2.10.</w:t>
            </w:r>
          </w:p>
        </w:tc>
        <w:tc>
          <w:tcPr>
            <w:tcW w:w="620" w:type="dxa"/>
            <w:vAlign w:val="bottom"/>
          </w:tcPr>
          <w:p>
            <w:pPr>
              <w:ind w:left="120"/>
              <w:spacing w:after="0"/>
              <w:rPr>
                <w:sz w:val="20"/>
                <w:szCs w:val="20"/>
                <w:color w:val="auto"/>
              </w:rPr>
            </w:pPr>
            <w:r>
              <w:rPr>
                <w:rFonts w:ascii="Arial" w:cs="Arial" w:eastAsia="Arial" w:hAnsi="Arial"/>
                <w:sz w:val="19"/>
                <w:szCs w:val="19"/>
                <w:i w:val="1"/>
                <w:iCs w:val="1"/>
                <w:color w:val="auto"/>
              </w:rPr>
              <w:t>Fees</w:t>
            </w:r>
          </w:p>
        </w:tc>
        <w:tc>
          <w:tcPr>
            <w:tcW w:w="260" w:type="dxa"/>
            <w:vAlign w:val="bottom"/>
          </w:tcPr>
          <w:p>
            <w:pPr>
              <w:jc w:val="right"/>
              <w:spacing w:after="0"/>
              <w:rPr>
                <w:sz w:val="20"/>
                <w:szCs w:val="20"/>
                <w:color w:val="auto"/>
              </w:rPr>
            </w:pPr>
            <w:r>
              <w:rPr>
                <w:rFonts w:ascii="Arial" w:cs="Arial" w:eastAsia="Arial" w:hAnsi="Arial"/>
                <w:sz w:val="19"/>
                <w:szCs w:val="19"/>
                <w:color w:val="auto"/>
              </w:rPr>
              <w:t>81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2.11.</w:t>
            </w:r>
          </w:p>
        </w:tc>
        <w:tc>
          <w:tcPr>
            <w:tcW w:w="880" w:type="dxa"/>
            <w:vAlign w:val="bottom"/>
            <w:gridSpan w:val="2"/>
          </w:tcPr>
          <w:p>
            <w:pPr>
              <w:ind w:left="120"/>
              <w:spacing w:after="0"/>
              <w:rPr>
                <w:sz w:val="20"/>
                <w:szCs w:val="20"/>
                <w:color w:val="auto"/>
              </w:rPr>
            </w:pPr>
            <w:r>
              <w:rPr>
                <w:rFonts w:ascii="Arial" w:cs="Arial" w:eastAsia="Arial" w:hAnsi="Arial"/>
                <w:sz w:val="19"/>
                <w:szCs w:val="19"/>
                <w:i w:val="1"/>
                <w:iCs w:val="1"/>
                <w:color w:val="auto"/>
              </w:rPr>
              <w:t>Interest</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w w:val="84"/>
              </w:rPr>
              <w:t>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1"/>
        </w:trPr>
        <w:tc>
          <w:tcPr>
            <w:tcW w:w="1080" w:type="dxa"/>
            <w:vAlign w:val="bottom"/>
          </w:tcPr>
          <w:p>
            <w:pPr>
              <w:spacing w:after="0" w:line="201" w:lineRule="exact"/>
              <w:rPr>
                <w:sz w:val="20"/>
                <w:szCs w:val="20"/>
                <w:color w:val="auto"/>
              </w:rPr>
            </w:pPr>
            <w:r>
              <w:rPr>
                <w:rFonts w:ascii="Arial" w:cs="Arial" w:eastAsia="Arial" w:hAnsi="Arial"/>
                <w:sz w:val="19"/>
                <w:szCs w:val="19"/>
                <w:color w:val="auto"/>
                <w:w w:val="95"/>
              </w:rPr>
              <w:t>Section 2.12.</w:t>
            </w:r>
          </w:p>
        </w:tc>
        <w:tc>
          <w:tcPr>
            <w:tcW w:w="2080" w:type="dxa"/>
            <w:vAlign w:val="bottom"/>
            <w:gridSpan w:val="9"/>
          </w:tcPr>
          <w:p>
            <w:pPr>
              <w:ind w:left="120"/>
              <w:spacing w:after="0" w:line="201" w:lineRule="exact"/>
              <w:rPr>
                <w:sz w:val="20"/>
                <w:szCs w:val="20"/>
                <w:color w:val="auto"/>
              </w:rPr>
            </w:pPr>
            <w:r>
              <w:rPr>
                <w:rFonts w:ascii="Arial" w:cs="Arial" w:eastAsia="Arial" w:hAnsi="Arial"/>
                <w:sz w:val="19"/>
                <w:szCs w:val="19"/>
                <w:i w:val="1"/>
                <w:iCs w:val="1"/>
                <w:color w:val="auto"/>
                <w:w w:val="91"/>
              </w:rPr>
              <w:t>Alternate Rate of Interest</w:t>
            </w:r>
          </w:p>
        </w:tc>
        <w:tc>
          <w:tcPr>
            <w:tcW w:w="380" w:type="dxa"/>
            <w:vAlign w:val="bottom"/>
            <w:gridSpan w:val="2"/>
          </w:tcPr>
          <w:p>
            <w:pPr>
              <w:jc w:val="right"/>
              <w:spacing w:after="0" w:line="201" w:lineRule="exact"/>
              <w:rPr>
                <w:sz w:val="20"/>
                <w:szCs w:val="20"/>
                <w:color w:val="auto"/>
              </w:rPr>
            </w:pPr>
            <w:r>
              <w:rPr>
                <w:rFonts w:ascii="Arial" w:cs="Arial" w:eastAsia="Arial" w:hAnsi="Arial"/>
                <w:sz w:val="19"/>
                <w:szCs w:val="19"/>
                <w:color w:val="FF0000"/>
                <w:strike w:val="1"/>
              </w:rPr>
              <w:t>83</w:t>
            </w:r>
          </w:p>
        </w:tc>
        <w:tc>
          <w:tcPr>
            <w:tcW w:w="1240" w:type="dxa"/>
            <w:vAlign w:val="bottom"/>
            <w:gridSpan w:val="3"/>
          </w:tcPr>
          <w:p>
            <w:pPr>
              <w:jc w:val="right"/>
              <w:ind w:right="1060"/>
              <w:spacing w:after="0" w:line="201" w:lineRule="exact"/>
              <w:rPr>
                <w:sz w:val="20"/>
                <w:szCs w:val="20"/>
                <w:color w:val="auto"/>
              </w:rPr>
            </w:pPr>
            <w:r>
              <w:rPr>
                <w:rFonts w:ascii="Arial" w:cs="Arial" w:eastAsia="Arial" w:hAnsi="Arial"/>
                <w:sz w:val="19"/>
                <w:szCs w:val="19"/>
                <w:color w:val="0000FF"/>
                <w:w w:val="75"/>
              </w:rPr>
              <w:t>82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1080" w:type="dxa"/>
            <w:vAlign w:val="bottom"/>
          </w:tcPr>
          <w:p>
            <w:pPr>
              <w:spacing w:after="0" w:line="204" w:lineRule="exact"/>
              <w:rPr>
                <w:sz w:val="20"/>
                <w:szCs w:val="20"/>
                <w:color w:val="auto"/>
              </w:rPr>
            </w:pPr>
            <w:r>
              <w:rPr>
                <w:rFonts w:ascii="Arial" w:cs="Arial" w:eastAsia="Arial" w:hAnsi="Arial"/>
                <w:sz w:val="19"/>
                <w:szCs w:val="19"/>
                <w:color w:val="auto"/>
                <w:w w:val="95"/>
              </w:rPr>
              <w:t>Section 2.13.</w:t>
            </w:r>
          </w:p>
        </w:tc>
        <w:tc>
          <w:tcPr>
            <w:tcW w:w="1360" w:type="dxa"/>
            <w:vAlign w:val="bottom"/>
            <w:gridSpan w:val="5"/>
          </w:tcPr>
          <w:p>
            <w:pPr>
              <w:ind w:left="120"/>
              <w:spacing w:after="0" w:line="204" w:lineRule="exact"/>
              <w:rPr>
                <w:sz w:val="20"/>
                <w:szCs w:val="20"/>
                <w:color w:val="auto"/>
              </w:rPr>
            </w:pPr>
            <w:r>
              <w:rPr>
                <w:rFonts w:ascii="Arial" w:cs="Arial" w:eastAsia="Arial" w:hAnsi="Arial"/>
                <w:sz w:val="19"/>
                <w:szCs w:val="19"/>
                <w:i w:val="1"/>
                <w:iCs w:val="1"/>
                <w:color w:val="auto"/>
                <w:w w:val="88"/>
              </w:rPr>
              <w:t>Increased Costs</w:t>
            </w:r>
          </w:p>
        </w:tc>
        <w:tc>
          <w:tcPr>
            <w:tcW w:w="380" w:type="dxa"/>
            <w:vAlign w:val="bottom"/>
            <w:gridSpan w:val="2"/>
          </w:tcPr>
          <w:p>
            <w:pPr>
              <w:jc w:val="right"/>
              <w:spacing w:after="0" w:line="204" w:lineRule="exact"/>
              <w:rPr>
                <w:sz w:val="20"/>
                <w:szCs w:val="20"/>
                <w:color w:val="auto"/>
              </w:rPr>
            </w:pPr>
            <w:r>
              <w:rPr>
                <w:rFonts w:ascii="Arial" w:cs="Arial" w:eastAsia="Arial" w:hAnsi="Arial"/>
                <w:sz w:val="19"/>
                <w:szCs w:val="19"/>
                <w:color w:val="FF0000"/>
                <w:strike w:val="1"/>
              </w:rPr>
              <w:t>84</w:t>
            </w:r>
          </w:p>
        </w:tc>
        <w:tc>
          <w:tcPr>
            <w:tcW w:w="200" w:type="dxa"/>
            <w:vAlign w:val="bottom"/>
            <w:tcBorders>
              <w:bottom w:val="single" w:sz="8" w:color="0000FF"/>
            </w:tcBorders>
          </w:tcPr>
          <w:p>
            <w:pPr>
              <w:jc w:val="right"/>
              <w:spacing w:after="0" w:line="204" w:lineRule="exact"/>
              <w:rPr>
                <w:sz w:val="20"/>
                <w:szCs w:val="20"/>
                <w:color w:val="auto"/>
              </w:rPr>
            </w:pPr>
            <w:r>
              <w:rPr>
                <w:rFonts w:ascii="Arial" w:cs="Arial" w:eastAsia="Arial" w:hAnsi="Arial"/>
                <w:sz w:val="19"/>
                <w:szCs w:val="19"/>
                <w:color w:val="0000FF"/>
                <w:w w:val="84"/>
              </w:rPr>
              <w:t>83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6"/>
        </w:trPr>
        <w:tc>
          <w:tcPr>
            <w:tcW w:w="1080" w:type="dxa"/>
            <w:vAlign w:val="bottom"/>
          </w:tcPr>
          <w:p>
            <w:pPr>
              <w:spacing w:after="0"/>
              <w:rPr>
                <w:sz w:val="20"/>
                <w:szCs w:val="20"/>
                <w:color w:val="auto"/>
              </w:rPr>
            </w:pPr>
            <w:r>
              <w:rPr>
                <w:rFonts w:ascii="Arial" w:cs="Arial" w:eastAsia="Arial" w:hAnsi="Arial"/>
                <w:sz w:val="19"/>
                <w:szCs w:val="19"/>
                <w:color w:val="auto"/>
                <w:w w:val="95"/>
              </w:rPr>
              <w:t>Section 2.14.</w:t>
            </w:r>
          </w:p>
        </w:tc>
        <w:tc>
          <w:tcPr>
            <w:tcW w:w="2080" w:type="dxa"/>
            <w:vAlign w:val="bottom"/>
            <w:gridSpan w:val="9"/>
          </w:tcPr>
          <w:p>
            <w:pPr>
              <w:ind w:left="120"/>
              <w:spacing w:after="0"/>
              <w:rPr>
                <w:sz w:val="20"/>
                <w:szCs w:val="20"/>
                <w:color w:val="auto"/>
              </w:rPr>
            </w:pPr>
            <w:r>
              <w:rPr>
                <w:rFonts w:ascii="Arial" w:cs="Arial" w:eastAsia="Arial" w:hAnsi="Arial"/>
                <w:sz w:val="19"/>
                <w:szCs w:val="19"/>
                <w:i w:val="1"/>
                <w:iCs w:val="1"/>
                <w:color w:val="auto"/>
                <w:w w:val="90"/>
              </w:rPr>
              <w:t>Break Funding Payments</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85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1"/>
        </w:trPr>
        <w:tc>
          <w:tcPr>
            <w:tcW w:w="1080" w:type="dxa"/>
            <w:vAlign w:val="bottom"/>
          </w:tcPr>
          <w:p>
            <w:pPr>
              <w:spacing w:after="0" w:line="201" w:lineRule="exact"/>
              <w:rPr>
                <w:sz w:val="20"/>
                <w:szCs w:val="20"/>
                <w:color w:val="auto"/>
              </w:rPr>
            </w:pPr>
            <w:r>
              <w:rPr>
                <w:rFonts w:ascii="Arial" w:cs="Arial" w:eastAsia="Arial" w:hAnsi="Arial"/>
                <w:sz w:val="19"/>
                <w:szCs w:val="19"/>
                <w:color w:val="auto"/>
                <w:w w:val="95"/>
              </w:rPr>
              <w:t>Section 2.15.</w:t>
            </w:r>
          </w:p>
        </w:tc>
        <w:tc>
          <w:tcPr>
            <w:tcW w:w="620" w:type="dxa"/>
            <w:vAlign w:val="bottom"/>
          </w:tcPr>
          <w:p>
            <w:pPr>
              <w:ind w:left="120"/>
              <w:spacing w:after="0" w:line="201" w:lineRule="exact"/>
              <w:rPr>
                <w:sz w:val="20"/>
                <w:szCs w:val="20"/>
                <w:color w:val="auto"/>
              </w:rPr>
            </w:pPr>
            <w:r>
              <w:rPr>
                <w:rFonts w:ascii="Arial" w:cs="Arial" w:eastAsia="Arial" w:hAnsi="Arial"/>
                <w:sz w:val="19"/>
                <w:szCs w:val="19"/>
                <w:i w:val="1"/>
                <w:iCs w:val="1"/>
                <w:color w:val="auto"/>
                <w:w w:val="92"/>
              </w:rPr>
              <w:t>Taxes</w:t>
            </w:r>
          </w:p>
        </w:tc>
        <w:tc>
          <w:tcPr>
            <w:tcW w:w="320" w:type="dxa"/>
            <w:vAlign w:val="bottom"/>
            <w:gridSpan w:val="2"/>
          </w:tcPr>
          <w:p>
            <w:pPr>
              <w:jc w:val="right"/>
              <w:spacing w:after="0" w:line="201" w:lineRule="exact"/>
              <w:rPr>
                <w:sz w:val="20"/>
                <w:szCs w:val="20"/>
                <w:color w:val="auto"/>
              </w:rPr>
            </w:pPr>
            <w:r>
              <w:rPr>
                <w:rFonts w:ascii="Arial" w:cs="Arial" w:eastAsia="Arial" w:hAnsi="Arial"/>
                <w:sz w:val="19"/>
                <w:szCs w:val="19"/>
                <w:color w:val="FF0000"/>
                <w:strike w:val="1"/>
              </w:rPr>
              <w:t>86</w:t>
            </w:r>
          </w:p>
        </w:tc>
        <w:tc>
          <w:tcPr>
            <w:tcW w:w="200" w:type="dxa"/>
            <w:vAlign w:val="bottom"/>
            <w:tcBorders>
              <w:bottom w:val="single" w:sz="8" w:color="0000FF"/>
            </w:tcBorders>
          </w:tcPr>
          <w:p>
            <w:pPr>
              <w:jc w:val="right"/>
              <w:spacing w:after="0" w:line="201" w:lineRule="exact"/>
              <w:rPr>
                <w:sz w:val="20"/>
                <w:szCs w:val="20"/>
                <w:color w:val="auto"/>
              </w:rPr>
            </w:pPr>
            <w:r>
              <w:rPr>
                <w:rFonts w:ascii="Arial" w:cs="Arial" w:eastAsia="Arial" w:hAnsi="Arial"/>
                <w:sz w:val="19"/>
                <w:szCs w:val="19"/>
                <w:color w:val="0000FF"/>
                <w:w w:val="84"/>
              </w:rPr>
              <w:t>85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6"/>
        </w:trPr>
        <w:tc>
          <w:tcPr>
            <w:tcW w:w="1080" w:type="dxa"/>
            <w:vAlign w:val="bottom"/>
          </w:tcPr>
          <w:p>
            <w:pPr>
              <w:spacing w:after="0"/>
              <w:rPr>
                <w:sz w:val="20"/>
                <w:szCs w:val="20"/>
                <w:color w:val="auto"/>
              </w:rPr>
            </w:pPr>
            <w:r>
              <w:rPr>
                <w:rFonts w:ascii="Arial" w:cs="Arial" w:eastAsia="Arial" w:hAnsi="Arial"/>
                <w:sz w:val="19"/>
                <w:szCs w:val="19"/>
                <w:color w:val="auto"/>
                <w:w w:val="95"/>
              </w:rPr>
              <w:t>Section 2.16.</w:t>
            </w:r>
          </w:p>
        </w:tc>
        <w:tc>
          <w:tcPr>
            <w:tcW w:w="5180" w:type="dxa"/>
            <w:vAlign w:val="bottom"/>
            <w:gridSpan w:val="17"/>
          </w:tcPr>
          <w:p>
            <w:pPr>
              <w:ind w:left="120"/>
              <w:spacing w:after="0"/>
              <w:rPr>
                <w:sz w:val="20"/>
                <w:szCs w:val="20"/>
                <w:color w:val="auto"/>
              </w:rPr>
            </w:pPr>
            <w:r>
              <w:rPr>
                <w:rFonts w:ascii="Arial" w:cs="Arial" w:eastAsia="Arial" w:hAnsi="Arial"/>
                <w:sz w:val="19"/>
                <w:szCs w:val="19"/>
                <w:i w:val="1"/>
                <w:iCs w:val="1"/>
                <w:color w:val="auto"/>
                <w:w w:val="93"/>
              </w:rPr>
              <w:t xml:space="preserve">Payments Generally; Pro Rata Treatment; Sharing of Setoffs  </w:t>
            </w:r>
            <w:r>
              <w:rPr>
                <w:rFonts w:ascii="Arial" w:cs="Arial" w:eastAsia="Arial" w:hAnsi="Arial"/>
                <w:sz w:val="19"/>
                <w:szCs w:val="19"/>
                <w:color w:val="auto"/>
                <w:w w:val="93"/>
              </w:rPr>
              <w:t>89</w:t>
            </w: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2.17.</w:t>
            </w:r>
          </w:p>
        </w:tc>
        <w:tc>
          <w:tcPr>
            <w:tcW w:w="5180" w:type="dxa"/>
            <w:vAlign w:val="bottom"/>
            <w:gridSpan w:val="17"/>
          </w:tcPr>
          <w:p>
            <w:pPr>
              <w:ind w:left="120"/>
              <w:spacing w:after="0"/>
              <w:rPr>
                <w:sz w:val="20"/>
                <w:szCs w:val="20"/>
                <w:color w:val="auto"/>
              </w:rPr>
            </w:pPr>
            <w:r>
              <w:rPr>
                <w:rFonts w:ascii="Arial" w:cs="Arial" w:eastAsia="Arial" w:hAnsi="Arial"/>
                <w:sz w:val="19"/>
                <w:szCs w:val="19"/>
                <w:i w:val="1"/>
                <w:iCs w:val="1"/>
                <w:color w:val="auto"/>
              </w:rPr>
              <w:t xml:space="preserve">Mitigation Obligations; Replacement of Lenders  </w:t>
            </w:r>
            <w:r>
              <w:rPr>
                <w:rFonts w:ascii="Arial" w:cs="Arial" w:eastAsia="Arial" w:hAnsi="Arial"/>
                <w:sz w:val="19"/>
                <w:szCs w:val="19"/>
                <w:color w:val="auto"/>
              </w:rPr>
              <w:t>91</w:t>
            </w: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w w:val="95"/>
              </w:rPr>
              <w:t>Section 2.18.</w:t>
            </w:r>
          </w:p>
        </w:tc>
        <w:tc>
          <w:tcPr>
            <w:tcW w:w="2460" w:type="dxa"/>
            <w:vAlign w:val="bottom"/>
            <w:gridSpan w:val="11"/>
          </w:tcPr>
          <w:p>
            <w:pPr>
              <w:ind w:left="120"/>
              <w:spacing w:after="0"/>
              <w:rPr>
                <w:sz w:val="20"/>
                <w:szCs w:val="20"/>
                <w:color w:val="auto"/>
              </w:rPr>
            </w:pPr>
            <w:r>
              <w:rPr>
                <w:rFonts w:ascii="Arial" w:cs="Arial" w:eastAsia="Arial" w:hAnsi="Arial"/>
                <w:sz w:val="19"/>
                <w:szCs w:val="19"/>
                <w:i w:val="1"/>
                <w:iCs w:val="1"/>
                <w:color w:val="auto"/>
                <w:w w:val="91"/>
              </w:rPr>
              <w:t>Incremental Credit Extensions</w:t>
            </w:r>
          </w:p>
        </w:tc>
        <w:tc>
          <w:tcPr>
            <w:tcW w:w="1240" w:type="dxa"/>
            <w:vAlign w:val="bottom"/>
            <w:gridSpan w:val="3"/>
          </w:tcPr>
          <w:p>
            <w:pPr>
              <w:jc w:val="right"/>
              <w:ind w:right="860"/>
              <w:spacing w:after="0"/>
              <w:rPr>
                <w:sz w:val="20"/>
                <w:szCs w:val="20"/>
                <w:color w:val="auto"/>
              </w:rPr>
            </w:pPr>
            <w:r>
              <w:rPr>
                <w:rFonts w:ascii="Arial" w:cs="Arial" w:eastAsia="Arial" w:hAnsi="Arial"/>
                <w:sz w:val="19"/>
                <w:szCs w:val="19"/>
                <w:color w:val="auto"/>
              </w:rPr>
              <w:t>92</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1"/>
        </w:trPr>
        <w:tc>
          <w:tcPr>
            <w:tcW w:w="1080" w:type="dxa"/>
            <w:vAlign w:val="bottom"/>
          </w:tcPr>
          <w:p>
            <w:pPr>
              <w:spacing w:after="0" w:line="201" w:lineRule="exact"/>
              <w:rPr>
                <w:sz w:val="20"/>
                <w:szCs w:val="20"/>
                <w:color w:val="auto"/>
              </w:rPr>
            </w:pPr>
            <w:r>
              <w:rPr>
                <w:rFonts w:ascii="Arial" w:cs="Arial" w:eastAsia="Arial" w:hAnsi="Arial"/>
                <w:sz w:val="19"/>
                <w:szCs w:val="19"/>
                <w:color w:val="auto"/>
                <w:w w:val="95"/>
              </w:rPr>
              <w:t>Section 2.19.</w:t>
            </w:r>
          </w:p>
        </w:tc>
        <w:tc>
          <w:tcPr>
            <w:tcW w:w="3700" w:type="dxa"/>
            <w:vAlign w:val="bottom"/>
            <w:gridSpan w:val="14"/>
          </w:tcPr>
          <w:p>
            <w:pPr>
              <w:ind w:left="120"/>
              <w:spacing w:after="0" w:line="201" w:lineRule="exact"/>
              <w:rPr>
                <w:sz w:val="20"/>
                <w:szCs w:val="20"/>
                <w:color w:val="auto"/>
              </w:rPr>
            </w:pPr>
            <w:r>
              <w:rPr>
                <w:rFonts w:ascii="Arial" w:cs="Arial" w:eastAsia="Arial" w:hAnsi="Arial"/>
                <w:sz w:val="19"/>
                <w:szCs w:val="19"/>
                <w:i w:val="1"/>
                <w:iCs w:val="1"/>
                <w:color w:val="auto"/>
                <w:w w:val="92"/>
              </w:rPr>
              <w:t>Refinancing Amendments; Maturity Extension</w:t>
            </w:r>
          </w:p>
        </w:tc>
        <w:tc>
          <w:tcPr>
            <w:tcW w:w="360" w:type="dxa"/>
            <w:vAlign w:val="bottom"/>
          </w:tcPr>
          <w:p>
            <w:pPr>
              <w:jc w:val="right"/>
              <w:spacing w:after="0" w:line="201" w:lineRule="exact"/>
              <w:rPr>
                <w:sz w:val="20"/>
                <w:szCs w:val="20"/>
                <w:color w:val="auto"/>
              </w:rPr>
            </w:pPr>
            <w:r>
              <w:rPr>
                <w:rFonts w:ascii="Arial" w:cs="Arial" w:eastAsia="Arial" w:hAnsi="Arial"/>
                <w:sz w:val="19"/>
                <w:szCs w:val="19"/>
                <w:color w:val="FF0000"/>
                <w:strike w:val="1"/>
              </w:rPr>
              <w:t>97</w:t>
            </w:r>
          </w:p>
        </w:tc>
        <w:tc>
          <w:tcPr>
            <w:tcW w:w="200" w:type="dxa"/>
            <w:vAlign w:val="bottom"/>
            <w:tcBorders>
              <w:bottom w:val="single" w:sz="8" w:color="0000FF"/>
            </w:tcBorders>
          </w:tcPr>
          <w:p>
            <w:pPr>
              <w:jc w:val="right"/>
              <w:spacing w:after="0" w:line="201" w:lineRule="exact"/>
              <w:rPr>
                <w:sz w:val="20"/>
                <w:szCs w:val="20"/>
                <w:color w:val="auto"/>
              </w:rPr>
            </w:pPr>
            <w:r>
              <w:rPr>
                <w:rFonts w:ascii="Arial" w:cs="Arial" w:eastAsia="Arial" w:hAnsi="Arial"/>
                <w:sz w:val="19"/>
                <w:szCs w:val="19"/>
                <w:color w:val="0000FF"/>
                <w:w w:val="84"/>
              </w:rPr>
              <w:t>96</w:t>
            </w:r>
          </w:p>
        </w:tc>
        <w:tc>
          <w:tcPr>
            <w:tcW w:w="920" w:type="dxa"/>
            <w:vAlign w:val="bottom"/>
          </w:tcPr>
          <w:p>
            <w:pPr>
              <w:spacing w:after="0"/>
              <w:rPr>
                <w:sz w:val="17"/>
                <w:szCs w:val="17"/>
                <w:color w:val="auto"/>
              </w:rPr>
            </w:pPr>
          </w:p>
        </w:tc>
      </w:tr>
      <w:tr>
        <w:trPr>
          <w:trHeight w:val="226"/>
        </w:trPr>
        <w:tc>
          <w:tcPr>
            <w:tcW w:w="1080" w:type="dxa"/>
            <w:vAlign w:val="bottom"/>
          </w:tcPr>
          <w:p>
            <w:pPr>
              <w:spacing w:after="0"/>
              <w:rPr>
                <w:sz w:val="20"/>
                <w:szCs w:val="20"/>
                <w:color w:val="auto"/>
              </w:rPr>
            </w:pPr>
            <w:r>
              <w:rPr>
                <w:rFonts w:ascii="Arial" w:cs="Arial" w:eastAsia="Arial" w:hAnsi="Arial"/>
                <w:sz w:val="19"/>
                <w:szCs w:val="19"/>
                <w:color w:val="auto"/>
                <w:w w:val="95"/>
              </w:rPr>
              <w:t>Section 2.20.</w:t>
            </w:r>
          </w:p>
        </w:tc>
        <w:tc>
          <w:tcPr>
            <w:tcW w:w="880" w:type="dxa"/>
            <w:vAlign w:val="bottom"/>
            <w:gridSpan w:val="2"/>
          </w:tcPr>
          <w:p>
            <w:pPr>
              <w:ind w:left="120"/>
              <w:spacing w:after="0"/>
              <w:rPr>
                <w:sz w:val="20"/>
                <w:szCs w:val="20"/>
                <w:color w:val="auto"/>
              </w:rPr>
            </w:pPr>
            <w:r>
              <w:rPr>
                <w:rFonts w:ascii="Arial" w:cs="Arial" w:eastAsia="Arial" w:hAnsi="Arial"/>
                <w:sz w:val="19"/>
                <w:szCs w:val="19"/>
                <w:i w:val="1"/>
                <w:iCs w:val="1"/>
                <w:color w:val="auto"/>
              </w:rPr>
              <w:t>Illegality</w:t>
            </w:r>
          </w:p>
        </w:tc>
        <w:tc>
          <w:tcPr>
            <w:tcW w:w="480" w:type="dxa"/>
            <w:vAlign w:val="bottom"/>
            <w:gridSpan w:val="3"/>
          </w:tcPr>
          <w:p>
            <w:pPr>
              <w:jc w:val="right"/>
              <w:ind w:right="160"/>
              <w:spacing w:after="0"/>
              <w:rPr>
                <w:sz w:val="20"/>
                <w:szCs w:val="20"/>
                <w:color w:val="auto"/>
              </w:rPr>
            </w:pPr>
            <w:r>
              <w:rPr>
                <w:rFonts w:ascii="Arial" w:cs="Arial" w:eastAsia="Arial" w:hAnsi="Arial"/>
                <w:sz w:val="19"/>
                <w:szCs w:val="19"/>
                <w:color w:val="auto"/>
              </w:rPr>
              <w:t>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9"/>
                <w:szCs w:val="19"/>
                <w:color w:val="auto"/>
              </w:rPr>
              <w:t>Section 2.21</w:t>
            </w:r>
          </w:p>
        </w:tc>
        <w:tc>
          <w:tcPr>
            <w:tcW w:w="1580" w:type="dxa"/>
            <w:vAlign w:val="bottom"/>
            <w:gridSpan w:val="6"/>
          </w:tcPr>
          <w:p>
            <w:pPr>
              <w:ind w:left="80"/>
              <w:spacing w:after="0"/>
              <w:rPr>
                <w:sz w:val="20"/>
                <w:szCs w:val="20"/>
                <w:color w:val="auto"/>
              </w:rPr>
            </w:pPr>
            <w:r>
              <w:rPr>
                <w:rFonts w:ascii="Arial" w:cs="Arial" w:eastAsia="Arial" w:hAnsi="Arial"/>
                <w:sz w:val="19"/>
                <w:szCs w:val="19"/>
                <w:i w:val="1"/>
                <w:iCs w:val="1"/>
                <w:color w:val="auto"/>
                <w:w w:val="92"/>
              </w:rPr>
              <w:t>Defaulting Lenders</w:t>
            </w:r>
          </w:p>
        </w:tc>
        <w:tc>
          <w:tcPr>
            <w:tcW w:w="500" w:type="dxa"/>
            <w:vAlign w:val="bottom"/>
            <w:gridSpan w:val="3"/>
          </w:tcPr>
          <w:p>
            <w:pPr>
              <w:jc w:val="right"/>
              <w:ind w:right="120"/>
              <w:spacing w:after="0"/>
              <w:rPr>
                <w:sz w:val="20"/>
                <w:szCs w:val="20"/>
                <w:color w:val="auto"/>
              </w:rPr>
            </w:pPr>
            <w:r>
              <w:rPr>
                <w:rFonts w:ascii="Arial" w:cs="Arial" w:eastAsia="Arial" w:hAnsi="Arial"/>
                <w:sz w:val="19"/>
                <w:szCs w:val="19"/>
                <w:color w:val="auto"/>
              </w:rPr>
              <w:t>99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5"/>
        </w:trPr>
        <w:tc>
          <w:tcPr>
            <w:tcW w:w="1080" w:type="dxa"/>
            <w:vAlign w:val="bottom"/>
          </w:tcPr>
          <w:p>
            <w:pPr>
              <w:spacing w:after="0"/>
              <w:rPr>
                <w:sz w:val="20"/>
                <w:szCs w:val="20"/>
                <w:color w:val="auto"/>
              </w:rPr>
            </w:pPr>
            <w:r>
              <w:rPr>
                <w:rFonts w:ascii="Arial" w:cs="Arial" w:eastAsia="Arial" w:hAnsi="Arial"/>
                <w:sz w:val="19"/>
                <w:szCs w:val="19"/>
                <w:i w:val="1"/>
                <w:iCs w:val="1"/>
                <w:color w:val="auto"/>
              </w:rPr>
              <w:t>Section 2.22</w:t>
            </w:r>
          </w:p>
        </w:tc>
        <w:tc>
          <w:tcPr>
            <w:tcW w:w="1580" w:type="dxa"/>
            <w:vAlign w:val="bottom"/>
            <w:gridSpan w:val="6"/>
          </w:tcPr>
          <w:p>
            <w:pPr>
              <w:ind w:left="60"/>
              <w:spacing w:after="0"/>
              <w:rPr>
                <w:sz w:val="20"/>
                <w:szCs w:val="20"/>
                <w:color w:val="auto"/>
              </w:rPr>
            </w:pPr>
            <w:r>
              <w:rPr>
                <w:rFonts w:ascii="Arial" w:cs="Arial" w:eastAsia="Arial" w:hAnsi="Arial"/>
                <w:sz w:val="19"/>
                <w:szCs w:val="19"/>
                <w:i w:val="1"/>
                <w:iCs w:val="1"/>
                <w:color w:val="auto"/>
              </w:rPr>
              <w:t>Letters of Credit</w:t>
            </w:r>
            <w:r>
              <w:rPr>
                <w:rFonts w:ascii="Arial" w:cs="Arial" w:eastAsia="Arial" w:hAnsi="Arial"/>
                <w:sz w:val="19"/>
                <w:szCs w:val="19"/>
                <w:color w:val="auto"/>
              </w:rPr>
              <w:t>.</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w w:val="81"/>
              </w:rPr>
              <w:t>101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9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1"/>
          <w:szCs w:val="21"/>
          <w:color w:val="auto"/>
        </w:rPr>
        <w:t>ARTICLE 3 REPRESENTATIONS AND WARRANTIES</w:t>
      </w:r>
      <w:r>
        <w:rPr>
          <w:sz w:val="20"/>
          <w:szCs w:val="20"/>
          <w:color w:val="auto"/>
        </w:rPr>
        <w:tab/>
      </w:r>
      <w:r>
        <w:rPr>
          <w:rFonts w:ascii="Arial" w:cs="Arial" w:eastAsia="Arial" w:hAnsi="Arial"/>
          <w:sz w:val="17"/>
          <w:szCs w:val="17"/>
          <w:color w:val="auto"/>
        </w:rPr>
        <w:t>106</w:t>
      </w:r>
    </w:p>
    <w:p>
      <w:pPr>
        <w:sectPr>
          <w:pgSz w:w="11900" w:h="16921" w:orient="portrait"/>
          <w:cols w:equalWidth="0" w:num="1">
            <w:col w:w="11420"/>
          </w:cols>
          <w:pgMar w:left="240" w:top="121" w:right="239" w:bottom="0" w:gutter="0" w:footer="0" w:header="0"/>
        </w:sect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Pr>
          <w:p>
            <w:pPr>
              <w:spacing w:after="0"/>
              <w:rPr>
                <w:sz w:val="20"/>
                <w:szCs w:val="20"/>
                <w:color w:val="auto"/>
              </w:rPr>
            </w:pPr>
            <w:r>
              <w:rPr>
                <w:rFonts w:ascii="Arial" w:cs="Arial" w:eastAsia="Arial" w:hAnsi="Arial"/>
                <w:sz w:val="19"/>
                <w:szCs w:val="19"/>
                <w:color w:val="auto"/>
                <w:w w:val="99"/>
              </w:rPr>
              <w:t>Section 3.01.</w:t>
            </w:r>
          </w:p>
        </w:tc>
        <w:tc>
          <w:tcPr>
            <w:tcW w:w="3560" w:type="dxa"/>
            <w:vAlign w:val="bottom"/>
            <w:gridSpan w:val="4"/>
          </w:tcPr>
          <w:p>
            <w:pPr>
              <w:ind w:left="80"/>
              <w:spacing w:after="0"/>
              <w:rPr>
                <w:sz w:val="20"/>
                <w:szCs w:val="20"/>
                <w:color w:val="auto"/>
              </w:rPr>
            </w:pPr>
            <w:r>
              <w:rPr>
                <w:rFonts w:ascii="Arial" w:cs="Arial" w:eastAsia="Arial" w:hAnsi="Arial"/>
                <w:sz w:val="19"/>
                <w:szCs w:val="19"/>
                <w:i w:val="1"/>
                <w:iCs w:val="1"/>
                <w:color w:val="auto"/>
              </w:rPr>
              <w:t>Organization</w:t>
            </w:r>
            <w:r>
              <w:rPr>
                <w:rFonts w:ascii="Arial" w:cs="Arial" w:eastAsia="Arial" w:hAnsi="Arial"/>
                <w:sz w:val="19"/>
                <w:szCs w:val="19"/>
                <w:color w:val="auto"/>
              </w:rPr>
              <w:t>;</w:t>
            </w:r>
            <w:r>
              <w:rPr>
                <w:rFonts w:ascii="Arial" w:cs="Arial" w:eastAsia="Arial" w:hAnsi="Arial"/>
                <w:sz w:val="19"/>
                <w:szCs w:val="19"/>
                <w:i w:val="1"/>
                <w:iCs w:val="1"/>
                <w:color w:val="auto"/>
              </w:rPr>
              <w:t xml:space="preserve"> Powers  </w:t>
            </w:r>
            <w:r>
              <w:rPr>
                <w:rFonts w:ascii="Arial" w:cs="Arial" w:eastAsia="Arial" w:hAnsi="Arial"/>
                <w:sz w:val="19"/>
                <w:szCs w:val="19"/>
                <w:color w:val="auto"/>
              </w:rPr>
              <w:t>106</w:t>
            </w:r>
          </w:p>
        </w:tc>
      </w:tr>
      <w:tr>
        <w:trPr>
          <w:trHeight w:val="201"/>
        </w:trPr>
        <w:tc>
          <w:tcPr>
            <w:tcW w:w="1120" w:type="dxa"/>
            <w:vAlign w:val="bottom"/>
          </w:tcPr>
          <w:p>
            <w:pPr>
              <w:spacing w:after="0" w:line="201" w:lineRule="exact"/>
              <w:rPr>
                <w:sz w:val="20"/>
                <w:szCs w:val="20"/>
                <w:color w:val="auto"/>
              </w:rPr>
            </w:pPr>
            <w:r>
              <w:rPr>
                <w:rFonts w:ascii="Arial" w:cs="Arial" w:eastAsia="Arial" w:hAnsi="Arial"/>
                <w:sz w:val="19"/>
                <w:szCs w:val="19"/>
                <w:color w:val="auto"/>
                <w:w w:val="99"/>
              </w:rPr>
              <w:t>Section 3.02.</w:t>
            </w:r>
          </w:p>
        </w:tc>
        <w:tc>
          <w:tcPr>
            <w:tcW w:w="2540" w:type="dxa"/>
            <w:vAlign w:val="bottom"/>
          </w:tcPr>
          <w:p>
            <w:pPr>
              <w:ind w:left="80"/>
              <w:spacing w:after="0" w:line="201" w:lineRule="exact"/>
              <w:rPr>
                <w:sz w:val="20"/>
                <w:szCs w:val="20"/>
                <w:color w:val="auto"/>
              </w:rPr>
            </w:pPr>
            <w:r>
              <w:rPr>
                <w:rFonts w:ascii="Arial" w:cs="Arial" w:eastAsia="Arial" w:hAnsi="Arial"/>
                <w:sz w:val="19"/>
                <w:szCs w:val="19"/>
                <w:i w:val="1"/>
                <w:iCs w:val="1"/>
                <w:color w:val="auto"/>
              </w:rPr>
              <w:t>Authorization</w:t>
            </w:r>
            <w:r>
              <w:rPr>
                <w:rFonts w:ascii="Arial" w:cs="Arial" w:eastAsia="Arial" w:hAnsi="Arial"/>
                <w:sz w:val="19"/>
                <w:szCs w:val="19"/>
                <w:color w:val="auto"/>
              </w:rPr>
              <w:t>;</w:t>
            </w:r>
            <w:r>
              <w:rPr>
                <w:rFonts w:ascii="Arial" w:cs="Arial" w:eastAsia="Arial" w:hAnsi="Arial"/>
                <w:sz w:val="19"/>
                <w:szCs w:val="19"/>
                <w:i w:val="1"/>
                <w:iCs w:val="1"/>
                <w:color w:val="auto"/>
              </w:rPr>
              <w:t xml:space="preserve"> Enforceability</w:t>
            </w:r>
          </w:p>
        </w:tc>
        <w:tc>
          <w:tcPr>
            <w:tcW w:w="280" w:type="dxa"/>
            <w:vAlign w:val="bottom"/>
          </w:tcPr>
          <w:p>
            <w:pPr>
              <w:jc w:val="right"/>
              <w:spacing w:after="0" w:line="201" w:lineRule="exact"/>
              <w:rPr>
                <w:sz w:val="20"/>
                <w:szCs w:val="20"/>
                <w:color w:val="auto"/>
              </w:rPr>
            </w:pPr>
            <w:r>
              <w:rPr>
                <w:rFonts w:ascii="Arial" w:cs="Arial" w:eastAsia="Arial" w:hAnsi="Arial"/>
                <w:sz w:val="19"/>
                <w:szCs w:val="19"/>
                <w:color w:val="FF0000"/>
                <w:strike w:val="1"/>
                <w:w w:val="81"/>
              </w:rPr>
              <w:t>107</w:t>
            </w:r>
          </w:p>
        </w:tc>
        <w:tc>
          <w:tcPr>
            <w:tcW w:w="740" w:type="dxa"/>
            <w:vAlign w:val="bottom"/>
            <w:gridSpan w:val="2"/>
          </w:tcPr>
          <w:p>
            <w:pPr>
              <w:jc w:val="right"/>
              <w:ind w:right="460"/>
              <w:spacing w:after="0" w:line="201" w:lineRule="exact"/>
              <w:rPr>
                <w:sz w:val="20"/>
                <w:szCs w:val="20"/>
                <w:color w:val="auto"/>
              </w:rPr>
            </w:pPr>
            <w:r>
              <w:rPr>
                <w:rFonts w:ascii="Arial" w:cs="Arial" w:eastAsia="Arial" w:hAnsi="Arial"/>
                <w:sz w:val="19"/>
                <w:szCs w:val="19"/>
                <w:color w:val="0000FF"/>
                <w:w w:val="81"/>
              </w:rPr>
              <w:t>106</w:t>
            </w:r>
          </w:p>
        </w:tc>
      </w:tr>
      <w:tr>
        <w:trPr>
          <w:trHeight w:val="20"/>
        </w:trPr>
        <w:tc>
          <w:tcPr>
            <w:tcW w:w="1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8"/>
        </w:trPr>
        <w:tc>
          <w:tcPr>
            <w:tcW w:w="1120" w:type="dxa"/>
            <w:vAlign w:val="bottom"/>
          </w:tcPr>
          <w:p>
            <w:pPr>
              <w:spacing w:after="0"/>
              <w:rPr>
                <w:sz w:val="20"/>
                <w:szCs w:val="20"/>
                <w:color w:val="auto"/>
              </w:rPr>
            </w:pPr>
            <w:r>
              <w:rPr>
                <w:rFonts w:ascii="Arial" w:cs="Arial" w:eastAsia="Arial" w:hAnsi="Arial"/>
                <w:sz w:val="19"/>
                <w:szCs w:val="19"/>
                <w:color w:val="auto"/>
                <w:w w:val="99"/>
              </w:rPr>
              <w:t>Section 3.03.</w:t>
            </w:r>
          </w:p>
        </w:tc>
        <w:tc>
          <w:tcPr>
            <w:tcW w:w="3560" w:type="dxa"/>
            <w:vAlign w:val="bottom"/>
            <w:gridSpan w:val="4"/>
          </w:tcPr>
          <w:p>
            <w:pPr>
              <w:ind w:left="80"/>
              <w:spacing w:after="0"/>
              <w:rPr>
                <w:sz w:val="20"/>
                <w:szCs w:val="20"/>
                <w:color w:val="auto"/>
              </w:rPr>
            </w:pPr>
            <w:r>
              <w:rPr>
                <w:rFonts w:ascii="Arial" w:cs="Arial" w:eastAsia="Arial" w:hAnsi="Arial"/>
                <w:sz w:val="19"/>
                <w:szCs w:val="19"/>
                <w:i w:val="1"/>
                <w:iCs w:val="1"/>
                <w:color w:val="auto"/>
                <w:w w:val="94"/>
              </w:rPr>
              <w:t>Governmental Approvals</w:t>
            </w:r>
            <w:r>
              <w:rPr>
                <w:rFonts w:ascii="Arial" w:cs="Arial" w:eastAsia="Arial" w:hAnsi="Arial"/>
                <w:sz w:val="19"/>
                <w:szCs w:val="19"/>
                <w:color w:val="auto"/>
                <w:w w:val="94"/>
              </w:rPr>
              <w:t>;</w:t>
            </w:r>
            <w:r>
              <w:rPr>
                <w:rFonts w:ascii="Arial" w:cs="Arial" w:eastAsia="Arial" w:hAnsi="Arial"/>
                <w:sz w:val="19"/>
                <w:szCs w:val="19"/>
                <w:i w:val="1"/>
                <w:iCs w:val="1"/>
                <w:color w:val="auto"/>
                <w:w w:val="94"/>
              </w:rPr>
              <w:t xml:space="preserve"> No Conflicts  </w:t>
            </w:r>
            <w:r>
              <w:rPr>
                <w:rFonts w:ascii="Arial" w:cs="Arial" w:eastAsia="Arial" w:hAnsi="Arial"/>
                <w:sz w:val="19"/>
                <w:szCs w:val="19"/>
                <w:color w:val="auto"/>
                <w:w w:val="94"/>
              </w:rPr>
              <w:t>107</w:t>
            </w:r>
          </w:p>
        </w:tc>
      </w:tr>
    </w:tbl>
    <w:p>
      <w:pPr>
        <w:sectPr>
          <w:pgSz w:w="11900" w:h="16921" w:orient="portrait"/>
          <w:cols w:equalWidth="0" w:num="1">
            <w:col w:w="11420"/>
          </w:cols>
          <w:pgMar w:left="240" w:top="121" w:right="239" w:bottom="0" w:gutter="0" w:footer="0" w:header="0"/>
          <w:type w:val="continuous"/>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00" w:type="dxa"/>
            <w:vAlign w:val="bottom"/>
          </w:tcPr>
          <w:p>
            <w:pPr>
              <w:spacing w:after="0"/>
              <w:rPr>
                <w:sz w:val="20"/>
                <w:szCs w:val="20"/>
                <w:color w:val="auto"/>
              </w:rPr>
            </w:pPr>
            <w:r>
              <w:rPr>
                <w:rFonts w:ascii="Arial" w:cs="Arial" w:eastAsia="Arial" w:hAnsi="Arial"/>
                <w:sz w:val="19"/>
                <w:szCs w:val="19"/>
                <w:color w:val="auto"/>
                <w:w w:val="97"/>
              </w:rPr>
              <w:t>Section 3.04.</w:t>
            </w:r>
          </w:p>
        </w:tc>
        <w:tc>
          <w:tcPr>
            <w:tcW w:w="4380" w:type="dxa"/>
            <w:vAlign w:val="bottom"/>
            <w:gridSpan w:val="18"/>
          </w:tcPr>
          <w:p>
            <w:pPr>
              <w:ind w:left="100"/>
              <w:spacing w:after="0"/>
              <w:rPr>
                <w:sz w:val="20"/>
                <w:szCs w:val="20"/>
                <w:color w:val="auto"/>
              </w:rPr>
            </w:pPr>
            <w:r>
              <w:rPr>
                <w:rFonts w:ascii="Arial" w:cs="Arial" w:eastAsia="Arial" w:hAnsi="Arial"/>
                <w:sz w:val="19"/>
                <w:szCs w:val="19"/>
                <w:i w:val="1"/>
                <w:iCs w:val="1"/>
                <w:color w:val="auto"/>
                <w:w w:val="96"/>
              </w:rPr>
              <w:t xml:space="preserve">Financial Condition; No Material Adverse Effect  </w:t>
            </w:r>
            <w:r>
              <w:rPr>
                <w:rFonts w:ascii="Arial" w:cs="Arial" w:eastAsia="Arial" w:hAnsi="Arial"/>
                <w:sz w:val="19"/>
                <w:szCs w:val="19"/>
                <w:color w:val="auto"/>
                <w:w w:val="96"/>
              </w:rPr>
              <w:t>107</w:t>
            </w:r>
          </w:p>
        </w:tc>
      </w:tr>
      <w:tr>
        <w:trPr>
          <w:trHeight w:val="201"/>
        </w:trPr>
        <w:tc>
          <w:tcPr>
            <w:tcW w:w="1100" w:type="dxa"/>
            <w:vAlign w:val="bottom"/>
          </w:tcPr>
          <w:p>
            <w:pPr>
              <w:spacing w:after="0" w:line="201" w:lineRule="exact"/>
              <w:rPr>
                <w:sz w:val="20"/>
                <w:szCs w:val="20"/>
                <w:color w:val="auto"/>
              </w:rPr>
            </w:pPr>
            <w:r>
              <w:rPr>
                <w:rFonts w:ascii="Arial" w:cs="Arial" w:eastAsia="Arial" w:hAnsi="Arial"/>
                <w:sz w:val="19"/>
                <w:szCs w:val="19"/>
                <w:color w:val="auto"/>
                <w:w w:val="97"/>
              </w:rPr>
              <w:t>Section 3.05.</w:t>
            </w:r>
          </w:p>
        </w:tc>
        <w:tc>
          <w:tcPr>
            <w:tcW w:w="1100" w:type="dxa"/>
            <w:vAlign w:val="bottom"/>
            <w:gridSpan w:val="4"/>
          </w:tcPr>
          <w:p>
            <w:pPr>
              <w:ind w:left="100"/>
              <w:spacing w:after="0" w:line="201" w:lineRule="exact"/>
              <w:rPr>
                <w:sz w:val="20"/>
                <w:szCs w:val="20"/>
                <w:color w:val="auto"/>
              </w:rPr>
            </w:pPr>
            <w:r>
              <w:rPr>
                <w:rFonts w:ascii="Arial" w:cs="Arial" w:eastAsia="Arial" w:hAnsi="Arial"/>
                <w:sz w:val="19"/>
                <w:szCs w:val="19"/>
                <w:i w:val="1"/>
                <w:iCs w:val="1"/>
                <w:color w:val="auto"/>
              </w:rPr>
              <w:t>Properties</w:t>
            </w:r>
          </w:p>
        </w:tc>
        <w:tc>
          <w:tcPr>
            <w:tcW w:w="300" w:type="dxa"/>
            <w:vAlign w:val="bottom"/>
            <w:gridSpan w:val="2"/>
          </w:tcPr>
          <w:p>
            <w:pPr>
              <w:jc w:val="right"/>
              <w:spacing w:after="0" w:line="201" w:lineRule="exact"/>
              <w:rPr>
                <w:sz w:val="20"/>
                <w:szCs w:val="20"/>
                <w:color w:val="auto"/>
              </w:rPr>
            </w:pPr>
            <w:r>
              <w:rPr>
                <w:rFonts w:ascii="Arial" w:cs="Arial" w:eastAsia="Arial" w:hAnsi="Arial"/>
                <w:sz w:val="19"/>
                <w:szCs w:val="19"/>
                <w:color w:val="FF0000"/>
                <w:strike w:val="1"/>
                <w:w w:val="88"/>
              </w:rPr>
              <w:t>108</w:t>
            </w:r>
          </w:p>
        </w:tc>
        <w:tc>
          <w:tcPr>
            <w:tcW w:w="420" w:type="dxa"/>
            <w:vAlign w:val="bottom"/>
            <w:gridSpan w:val="3"/>
          </w:tcPr>
          <w:p>
            <w:pPr>
              <w:jc w:val="right"/>
              <w:ind w:right="140"/>
              <w:spacing w:after="0" w:line="201" w:lineRule="exact"/>
              <w:rPr>
                <w:sz w:val="20"/>
                <w:szCs w:val="20"/>
                <w:color w:val="auto"/>
              </w:rPr>
            </w:pPr>
            <w:r>
              <w:rPr>
                <w:rFonts w:ascii="Arial" w:cs="Arial" w:eastAsia="Arial" w:hAnsi="Arial"/>
                <w:sz w:val="19"/>
                <w:szCs w:val="19"/>
                <w:color w:val="0000FF"/>
                <w:w w:val="81"/>
              </w:rPr>
              <w:t>107</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6"/>
        </w:trPr>
        <w:tc>
          <w:tcPr>
            <w:tcW w:w="1100" w:type="dxa"/>
            <w:vAlign w:val="bottom"/>
          </w:tcPr>
          <w:p>
            <w:pPr>
              <w:spacing w:after="0"/>
              <w:rPr>
                <w:sz w:val="20"/>
                <w:szCs w:val="20"/>
                <w:color w:val="auto"/>
              </w:rPr>
            </w:pPr>
            <w:r>
              <w:rPr>
                <w:rFonts w:ascii="Arial" w:cs="Arial" w:eastAsia="Arial" w:hAnsi="Arial"/>
                <w:sz w:val="19"/>
                <w:szCs w:val="19"/>
                <w:color w:val="auto"/>
                <w:w w:val="97"/>
              </w:rPr>
              <w:t>Section 3.06.</w:t>
            </w:r>
          </w:p>
        </w:tc>
        <w:tc>
          <w:tcPr>
            <w:tcW w:w="4380" w:type="dxa"/>
            <w:vAlign w:val="bottom"/>
            <w:gridSpan w:val="18"/>
          </w:tcPr>
          <w:p>
            <w:pPr>
              <w:ind w:left="100"/>
              <w:spacing w:after="0"/>
              <w:rPr>
                <w:sz w:val="20"/>
                <w:szCs w:val="20"/>
                <w:color w:val="auto"/>
              </w:rPr>
            </w:pPr>
            <w:r>
              <w:rPr>
                <w:rFonts w:ascii="Arial" w:cs="Arial" w:eastAsia="Arial" w:hAnsi="Arial"/>
                <w:sz w:val="19"/>
                <w:szCs w:val="19"/>
                <w:i w:val="1"/>
                <w:iCs w:val="1"/>
                <w:color w:val="auto"/>
              </w:rPr>
              <w:t xml:space="preserve">Litigation and Environmental Matters  </w:t>
            </w:r>
            <w:r>
              <w:rPr>
                <w:rFonts w:ascii="Arial" w:cs="Arial" w:eastAsia="Arial" w:hAnsi="Arial"/>
                <w:sz w:val="19"/>
                <w:szCs w:val="19"/>
                <w:color w:val="auto"/>
              </w:rPr>
              <w:t>108</w:t>
            </w: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3.07.</w:t>
            </w:r>
          </w:p>
        </w:tc>
        <w:tc>
          <w:tcPr>
            <w:tcW w:w="3340" w:type="dxa"/>
            <w:vAlign w:val="bottom"/>
            <w:gridSpan w:val="15"/>
          </w:tcPr>
          <w:p>
            <w:pPr>
              <w:ind w:left="100"/>
              <w:spacing w:after="0"/>
              <w:rPr>
                <w:sz w:val="20"/>
                <w:szCs w:val="20"/>
                <w:color w:val="auto"/>
              </w:rPr>
            </w:pPr>
            <w:r>
              <w:rPr>
                <w:rFonts w:ascii="Arial" w:cs="Arial" w:eastAsia="Arial" w:hAnsi="Arial"/>
                <w:sz w:val="19"/>
                <w:szCs w:val="19"/>
                <w:i w:val="1"/>
                <w:iCs w:val="1"/>
                <w:color w:val="auto"/>
                <w:w w:val="96"/>
              </w:rPr>
              <w:t>Compliance with Laws and Agreements</w:t>
            </w:r>
          </w:p>
        </w:tc>
        <w:tc>
          <w:tcPr>
            <w:tcW w:w="440" w:type="dxa"/>
            <w:vAlign w:val="bottom"/>
          </w:tcPr>
          <w:p>
            <w:pPr>
              <w:jc w:val="right"/>
              <w:ind w:right="44"/>
              <w:spacing w:after="0"/>
              <w:rPr>
                <w:sz w:val="20"/>
                <w:szCs w:val="20"/>
                <w:color w:val="auto"/>
              </w:rPr>
            </w:pPr>
            <w:r>
              <w:rPr>
                <w:rFonts w:ascii="Arial" w:cs="Arial" w:eastAsia="Arial" w:hAnsi="Arial"/>
                <w:sz w:val="19"/>
                <w:szCs w:val="19"/>
                <w:color w:val="auto"/>
                <w:w w:val="88"/>
              </w:rPr>
              <w:t>108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1"/>
        </w:trPr>
        <w:tc>
          <w:tcPr>
            <w:tcW w:w="1100" w:type="dxa"/>
            <w:vAlign w:val="bottom"/>
          </w:tcPr>
          <w:p>
            <w:pPr>
              <w:spacing w:after="0" w:line="201" w:lineRule="exact"/>
              <w:rPr>
                <w:sz w:val="20"/>
                <w:szCs w:val="20"/>
                <w:color w:val="auto"/>
              </w:rPr>
            </w:pPr>
            <w:r>
              <w:rPr>
                <w:rFonts w:ascii="Arial" w:cs="Arial" w:eastAsia="Arial" w:hAnsi="Arial"/>
                <w:sz w:val="19"/>
                <w:szCs w:val="19"/>
                <w:color w:val="auto"/>
                <w:w w:val="97"/>
              </w:rPr>
              <w:t>Section 3.08.</w:t>
            </w:r>
          </w:p>
        </w:tc>
        <w:tc>
          <w:tcPr>
            <w:tcW w:w="2360" w:type="dxa"/>
            <w:vAlign w:val="bottom"/>
            <w:gridSpan w:val="10"/>
          </w:tcPr>
          <w:p>
            <w:pPr>
              <w:ind w:left="100"/>
              <w:spacing w:after="0" w:line="201" w:lineRule="exact"/>
              <w:rPr>
                <w:sz w:val="20"/>
                <w:szCs w:val="20"/>
                <w:color w:val="auto"/>
              </w:rPr>
            </w:pPr>
            <w:r>
              <w:rPr>
                <w:rFonts w:ascii="Arial" w:cs="Arial" w:eastAsia="Arial" w:hAnsi="Arial"/>
                <w:sz w:val="19"/>
                <w:szCs w:val="19"/>
                <w:i w:val="1"/>
                <w:iCs w:val="1"/>
                <w:color w:val="auto"/>
                <w:w w:val="93"/>
              </w:rPr>
              <w:t>Investment Company Status</w:t>
            </w:r>
          </w:p>
        </w:tc>
        <w:tc>
          <w:tcPr>
            <w:tcW w:w="360" w:type="dxa"/>
            <w:vAlign w:val="bottom"/>
            <w:gridSpan w:val="2"/>
          </w:tcPr>
          <w:p>
            <w:pPr>
              <w:jc w:val="right"/>
              <w:spacing w:after="0" w:line="201" w:lineRule="exact"/>
              <w:rPr>
                <w:sz w:val="20"/>
                <w:szCs w:val="20"/>
                <w:color w:val="auto"/>
              </w:rPr>
            </w:pPr>
            <w:r>
              <w:rPr>
                <w:rFonts w:ascii="Arial" w:cs="Arial" w:eastAsia="Arial" w:hAnsi="Arial"/>
                <w:sz w:val="19"/>
                <w:szCs w:val="19"/>
                <w:color w:val="FF0000"/>
                <w:strike w:val="1"/>
              </w:rPr>
              <w:t>109</w:t>
            </w:r>
          </w:p>
        </w:tc>
        <w:tc>
          <w:tcPr>
            <w:tcW w:w="300" w:type="dxa"/>
            <w:vAlign w:val="bottom"/>
            <w:tcBorders>
              <w:bottom w:val="single" w:sz="8" w:color="0000FF"/>
            </w:tcBorders>
            <w:gridSpan w:val="2"/>
          </w:tcPr>
          <w:p>
            <w:pPr>
              <w:jc w:val="right"/>
              <w:spacing w:after="0" w:line="201" w:lineRule="exact"/>
              <w:rPr>
                <w:sz w:val="20"/>
                <w:szCs w:val="20"/>
                <w:color w:val="auto"/>
              </w:rPr>
            </w:pPr>
            <w:r>
              <w:rPr>
                <w:rFonts w:ascii="Arial" w:cs="Arial" w:eastAsia="Arial" w:hAnsi="Arial"/>
                <w:sz w:val="19"/>
                <w:szCs w:val="19"/>
                <w:color w:val="0000FF"/>
                <w:w w:val="88"/>
              </w:rPr>
              <w:t>108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100" w:type="dxa"/>
            <w:vAlign w:val="bottom"/>
          </w:tcPr>
          <w:p>
            <w:pPr>
              <w:spacing w:after="0" w:line="204" w:lineRule="exact"/>
              <w:rPr>
                <w:sz w:val="20"/>
                <w:szCs w:val="20"/>
                <w:color w:val="auto"/>
              </w:rPr>
            </w:pPr>
            <w:r>
              <w:rPr>
                <w:rFonts w:ascii="Arial" w:cs="Arial" w:eastAsia="Arial" w:hAnsi="Arial"/>
                <w:sz w:val="19"/>
                <w:szCs w:val="19"/>
                <w:color w:val="auto"/>
                <w:w w:val="97"/>
              </w:rPr>
              <w:t>Section 3.09.</w:t>
            </w:r>
          </w:p>
        </w:tc>
        <w:tc>
          <w:tcPr>
            <w:tcW w:w="740" w:type="dxa"/>
            <w:vAlign w:val="bottom"/>
          </w:tcPr>
          <w:p>
            <w:pPr>
              <w:ind w:left="100"/>
              <w:spacing w:after="0" w:line="204" w:lineRule="exact"/>
              <w:rPr>
                <w:sz w:val="20"/>
                <w:szCs w:val="20"/>
                <w:color w:val="auto"/>
              </w:rPr>
            </w:pPr>
            <w:r>
              <w:rPr>
                <w:rFonts w:ascii="Arial" w:cs="Arial" w:eastAsia="Arial" w:hAnsi="Arial"/>
                <w:sz w:val="19"/>
                <w:szCs w:val="19"/>
                <w:i w:val="1"/>
                <w:iCs w:val="1"/>
                <w:color w:val="auto"/>
              </w:rPr>
              <w:t>Taxes</w:t>
            </w:r>
          </w:p>
        </w:tc>
        <w:tc>
          <w:tcPr>
            <w:tcW w:w="280" w:type="dxa"/>
            <w:vAlign w:val="bottom"/>
            <w:gridSpan w:val="2"/>
          </w:tcPr>
          <w:p>
            <w:pPr>
              <w:jc w:val="right"/>
              <w:spacing w:after="0" w:line="204" w:lineRule="exact"/>
              <w:rPr>
                <w:sz w:val="20"/>
                <w:szCs w:val="20"/>
                <w:color w:val="auto"/>
              </w:rPr>
            </w:pPr>
            <w:r>
              <w:rPr>
                <w:rFonts w:ascii="Arial" w:cs="Arial" w:eastAsia="Arial" w:hAnsi="Arial"/>
                <w:sz w:val="19"/>
                <w:szCs w:val="19"/>
                <w:color w:val="FF0000"/>
                <w:strike w:val="1"/>
                <w:w w:val="81"/>
              </w:rPr>
              <w:t>109</w:t>
            </w:r>
          </w:p>
        </w:tc>
        <w:tc>
          <w:tcPr>
            <w:tcW w:w="380" w:type="dxa"/>
            <w:vAlign w:val="bottom"/>
            <w:gridSpan w:val="3"/>
          </w:tcPr>
          <w:p>
            <w:pPr>
              <w:jc w:val="right"/>
              <w:ind w:right="100"/>
              <w:spacing w:after="0" w:line="204" w:lineRule="exact"/>
              <w:rPr>
                <w:sz w:val="20"/>
                <w:szCs w:val="20"/>
                <w:color w:val="auto"/>
              </w:rPr>
            </w:pPr>
            <w:r>
              <w:rPr>
                <w:rFonts w:ascii="Arial" w:cs="Arial" w:eastAsia="Arial" w:hAnsi="Arial"/>
                <w:sz w:val="19"/>
                <w:szCs w:val="19"/>
                <w:color w:val="0000FF"/>
                <w:w w:val="81"/>
              </w:rPr>
              <w:t>108</w:t>
            </w:r>
          </w:p>
        </w:tc>
        <w:tc>
          <w:tcPr>
            <w:tcW w:w="14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6"/>
        </w:trPr>
        <w:tc>
          <w:tcPr>
            <w:tcW w:w="1100" w:type="dxa"/>
            <w:vAlign w:val="bottom"/>
          </w:tcPr>
          <w:p>
            <w:pPr>
              <w:spacing w:after="0"/>
              <w:rPr>
                <w:sz w:val="20"/>
                <w:szCs w:val="20"/>
                <w:color w:val="auto"/>
              </w:rPr>
            </w:pPr>
            <w:r>
              <w:rPr>
                <w:rFonts w:ascii="Arial" w:cs="Arial" w:eastAsia="Arial" w:hAnsi="Arial"/>
                <w:sz w:val="19"/>
                <w:szCs w:val="19"/>
                <w:color w:val="auto"/>
                <w:w w:val="97"/>
              </w:rPr>
              <w:t>Section 3.10.</w:t>
            </w:r>
          </w:p>
        </w:tc>
        <w:tc>
          <w:tcPr>
            <w:tcW w:w="800" w:type="dxa"/>
            <w:vAlign w:val="bottom"/>
            <w:gridSpan w:val="2"/>
          </w:tcPr>
          <w:p>
            <w:pPr>
              <w:ind w:left="100"/>
              <w:spacing w:after="0"/>
              <w:rPr>
                <w:sz w:val="20"/>
                <w:szCs w:val="20"/>
                <w:color w:val="auto"/>
              </w:rPr>
            </w:pPr>
            <w:r>
              <w:rPr>
                <w:rFonts w:ascii="Arial" w:cs="Arial" w:eastAsia="Arial" w:hAnsi="Arial"/>
                <w:sz w:val="19"/>
                <w:szCs w:val="19"/>
                <w:i w:val="1"/>
                <w:iCs w:val="1"/>
                <w:color w:val="auto"/>
              </w:rPr>
              <w:t>ERISA</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w w:val="88"/>
              </w:rPr>
              <w:t>109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3.11.</w:t>
            </w:r>
          </w:p>
        </w:tc>
        <w:tc>
          <w:tcPr>
            <w:tcW w:w="1100" w:type="dxa"/>
            <w:vAlign w:val="bottom"/>
            <w:gridSpan w:val="4"/>
          </w:tcPr>
          <w:p>
            <w:pPr>
              <w:ind w:left="100"/>
              <w:spacing w:after="0"/>
              <w:rPr>
                <w:sz w:val="20"/>
                <w:szCs w:val="20"/>
                <w:color w:val="auto"/>
              </w:rPr>
            </w:pPr>
            <w:r>
              <w:rPr>
                <w:rFonts w:ascii="Arial" w:cs="Arial" w:eastAsia="Arial" w:hAnsi="Arial"/>
                <w:sz w:val="19"/>
                <w:szCs w:val="19"/>
                <w:i w:val="1"/>
                <w:iCs w:val="1"/>
                <w:color w:val="auto"/>
              </w:rPr>
              <w:t>Disclosure</w:t>
            </w:r>
          </w:p>
        </w:tc>
        <w:tc>
          <w:tcPr>
            <w:tcW w:w="440" w:type="dxa"/>
            <w:vAlign w:val="bottom"/>
            <w:gridSpan w:val="3"/>
          </w:tcPr>
          <w:p>
            <w:pPr>
              <w:jc w:val="right"/>
              <w:ind w:right="44"/>
              <w:spacing w:after="0"/>
              <w:rPr>
                <w:sz w:val="20"/>
                <w:szCs w:val="20"/>
                <w:color w:val="auto"/>
              </w:rPr>
            </w:pPr>
            <w:r>
              <w:rPr>
                <w:rFonts w:ascii="Arial" w:cs="Arial" w:eastAsia="Arial" w:hAnsi="Arial"/>
                <w:sz w:val="19"/>
                <w:szCs w:val="19"/>
                <w:color w:val="auto"/>
                <w:w w:val="88"/>
              </w:rPr>
              <w:t>109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1"/>
        </w:trPr>
        <w:tc>
          <w:tcPr>
            <w:tcW w:w="1100" w:type="dxa"/>
            <w:vAlign w:val="bottom"/>
          </w:tcPr>
          <w:p>
            <w:pPr>
              <w:spacing w:after="0" w:line="201" w:lineRule="exact"/>
              <w:rPr>
                <w:sz w:val="20"/>
                <w:szCs w:val="20"/>
                <w:color w:val="auto"/>
              </w:rPr>
            </w:pPr>
            <w:r>
              <w:rPr>
                <w:rFonts w:ascii="Arial" w:cs="Arial" w:eastAsia="Arial" w:hAnsi="Arial"/>
                <w:sz w:val="19"/>
                <w:szCs w:val="19"/>
                <w:color w:val="auto"/>
                <w:w w:val="97"/>
              </w:rPr>
              <w:t>Section 3.12.</w:t>
            </w:r>
          </w:p>
        </w:tc>
        <w:tc>
          <w:tcPr>
            <w:tcW w:w="1100" w:type="dxa"/>
            <w:vAlign w:val="bottom"/>
            <w:gridSpan w:val="4"/>
          </w:tcPr>
          <w:p>
            <w:pPr>
              <w:ind w:left="100"/>
              <w:spacing w:after="0" w:line="201" w:lineRule="exact"/>
              <w:rPr>
                <w:sz w:val="20"/>
                <w:szCs w:val="20"/>
                <w:color w:val="auto"/>
              </w:rPr>
            </w:pPr>
            <w:r>
              <w:rPr>
                <w:rFonts w:ascii="Arial" w:cs="Arial" w:eastAsia="Arial" w:hAnsi="Arial"/>
                <w:sz w:val="19"/>
                <w:szCs w:val="19"/>
                <w:i w:val="1"/>
                <w:iCs w:val="1"/>
                <w:color w:val="auto"/>
                <w:w w:val="94"/>
              </w:rPr>
              <w:t>Subsidiaries</w:t>
            </w:r>
          </w:p>
        </w:tc>
        <w:tc>
          <w:tcPr>
            <w:tcW w:w="440" w:type="dxa"/>
            <w:vAlign w:val="bottom"/>
            <w:gridSpan w:val="3"/>
          </w:tcPr>
          <w:p>
            <w:pPr>
              <w:jc w:val="right"/>
              <w:spacing w:after="0" w:line="201" w:lineRule="exact"/>
              <w:rPr>
                <w:sz w:val="20"/>
                <w:szCs w:val="20"/>
                <w:color w:val="auto"/>
              </w:rPr>
            </w:pPr>
            <w:r>
              <w:rPr>
                <w:rFonts w:ascii="Arial" w:cs="Arial" w:eastAsia="Arial" w:hAnsi="Arial"/>
                <w:sz w:val="19"/>
                <w:szCs w:val="19"/>
                <w:color w:val="FF0000"/>
                <w:strike w:val="1"/>
              </w:rPr>
              <w:t>110</w:t>
            </w:r>
          </w:p>
        </w:tc>
        <w:tc>
          <w:tcPr>
            <w:tcW w:w="280" w:type="dxa"/>
            <w:vAlign w:val="bottom"/>
            <w:tcBorders>
              <w:bottom w:val="single" w:sz="8" w:color="0000FF"/>
            </w:tcBorders>
            <w:gridSpan w:val="2"/>
          </w:tcPr>
          <w:p>
            <w:pPr>
              <w:jc w:val="right"/>
              <w:spacing w:after="0" w:line="201" w:lineRule="exact"/>
              <w:rPr>
                <w:sz w:val="20"/>
                <w:szCs w:val="20"/>
                <w:color w:val="auto"/>
              </w:rPr>
            </w:pPr>
            <w:r>
              <w:rPr>
                <w:rFonts w:ascii="Arial" w:cs="Arial" w:eastAsia="Arial" w:hAnsi="Arial"/>
                <w:sz w:val="19"/>
                <w:szCs w:val="19"/>
                <w:color w:val="0000FF"/>
                <w:w w:val="81"/>
              </w:rPr>
              <w:t>109</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6"/>
        </w:trPr>
        <w:tc>
          <w:tcPr>
            <w:tcW w:w="1100" w:type="dxa"/>
            <w:vAlign w:val="bottom"/>
          </w:tcPr>
          <w:p>
            <w:pPr>
              <w:spacing w:after="0"/>
              <w:rPr>
                <w:sz w:val="20"/>
                <w:szCs w:val="20"/>
                <w:color w:val="auto"/>
              </w:rPr>
            </w:pPr>
            <w:r>
              <w:rPr>
                <w:rFonts w:ascii="Arial" w:cs="Arial" w:eastAsia="Arial" w:hAnsi="Arial"/>
                <w:sz w:val="19"/>
                <w:szCs w:val="19"/>
                <w:color w:val="auto"/>
                <w:w w:val="97"/>
              </w:rPr>
              <w:t>Section 3.13.</w:t>
            </w:r>
          </w:p>
        </w:tc>
        <w:tc>
          <w:tcPr>
            <w:tcW w:w="3340" w:type="dxa"/>
            <w:vAlign w:val="bottom"/>
            <w:gridSpan w:val="15"/>
          </w:tcPr>
          <w:p>
            <w:pPr>
              <w:ind w:left="100"/>
              <w:spacing w:after="0"/>
              <w:rPr>
                <w:sz w:val="20"/>
                <w:szCs w:val="20"/>
                <w:color w:val="auto"/>
              </w:rPr>
            </w:pPr>
            <w:r>
              <w:rPr>
                <w:rFonts w:ascii="Arial" w:cs="Arial" w:eastAsia="Arial" w:hAnsi="Arial"/>
                <w:sz w:val="19"/>
                <w:szCs w:val="19"/>
                <w:i w:val="1"/>
                <w:iCs w:val="1"/>
                <w:color w:val="auto"/>
                <w:w w:val="96"/>
              </w:rPr>
              <w:t>Intellectual Property</w:t>
            </w:r>
            <w:r>
              <w:rPr>
                <w:rFonts w:ascii="Arial" w:cs="Arial" w:eastAsia="Arial" w:hAnsi="Arial"/>
                <w:sz w:val="19"/>
                <w:szCs w:val="19"/>
                <w:color w:val="auto"/>
                <w:w w:val="96"/>
              </w:rPr>
              <w:t>;</w:t>
            </w:r>
            <w:r>
              <w:rPr>
                <w:rFonts w:ascii="Arial" w:cs="Arial" w:eastAsia="Arial" w:hAnsi="Arial"/>
                <w:sz w:val="19"/>
                <w:szCs w:val="19"/>
                <w:i w:val="1"/>
                <w:iCs w:val="1"/>
                <w:color w:val="auto"/>
                <w:w w:val="96"/>
              </w:rPr>
              <w:t xml:space="preserve"> Licenses, Etc  </w:t>
            </w:r>
            <w:r>
              <w:rPr>
                <w:rFonts w:ascii="Arial" w:cs="Arial" w:eastAsia="Arial" w:hAnsi="Arial"/>
                <w:sz w:val="19"/>
                <w:szCs w:val="19"/>
                <w:color w:val="auto"/>
                <w:w w:val="96"/>
              </w:rPr>
              <w:t>110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3.14.</w:t>
            </w:r>
          </w:p>
        </w:tc>
        <w:tc>
          <w:tcPr>
            <w:tcW w:w="800" w:type="dxa"/>
            <w:vAlign w:val="bottom"/>
            <w:gridSpan w:val="2"/>
          </w:tcPr>
          <w:p>
            <w:pPr>
              <w:ind w:left="100"/>
              <w:spacing w:after="0"/>
              <w:rPr>
                <w:sz w:val="20"/>
                <w:szCs w:val="20"/>
                <w:color w:val="auto"/>
              </w:rPr>
            </w:pPr>
            <w:r>
              <w:rPr>
                <w:rFonts w:ascii="Arial" w:cs="Arial" w:eastAsia="Arial" w:hAnsi="Arial"/>
                <w:sz w:val="19"/>
                <w:szCs w:val="19"/>
                <w:i w:val="1"/>
                <w:iCs w:val="1"/>
                <w:color w:val="auto"/>
                <w:w w:val="88"/>
              </w:rPr>
              <w:t>Solvency</w:t>
            </w:r>
          </w:p>
        </w:tc>
        <w:tc>
          <w:tcPr>
            <w:tcW w:w="500" w:type="dxa"/>
            <w:vAlign w:val="bottom"/>
            <w:gridSpan w:val="3"/>
          </w:tcPr>
          <w:p>
            <w:pPr>
              <w:jc w:val="right"/>
              <w:spacing w:after="0"/>
              <w:rPr>
                <w:sz w:val="20"/>
                <w:szCs w:val="20"/>
                <w:color w:val="auto"/>
              </w:rPr>
            </w:pPr>
            <w:r>
              <w:rPr>
                <w:rFonts w:ascii="Arial" w:cs="Arial" w:eastAsia="Arial" w:hAnsi="Arial"/>
                <w:sz w:val="19"/>
                <w:szCs w:val="19"/>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3.15.</w:t>
            </w:r>
          </w:p>
        </w:tc>
        <w:tc>
          <w:tcPr>
            <w:tcW w:w="2360" w:type="dxa"/>
            <w:vAlign w:val="bottom"/>
            <w:gridSpan w:val="10"/>
          </w:tcPr>
          <w:p>
            <w:pPr>
              <w:ind w:left="100"/>
              <w:spacing w:after="0"/>
              <w:rPr>
                <w:sz w:val="20"/>
                <w:szCs w:val="20"/>
                <w:color w:val="auto"/>
              </w:rPr>
            </w:pPr>
            <w:r>
              <w:rPr>
                <w:rFonts w:ascii="Arial" w:cs="Arial" w:eastAsia="Arial" w:hAnsi="Arial"/>
                <w:sz w:val="19"/>
                <w:szCs w:val="19"/>
                <w:i w:val="1"/>
                <w:iCs w:val="1"/>
                <w:color w:val="auto"/>
              </w:rPr>
              <w:t xml:space="preserve">Senior Indebtedness  </w:t>
            </w:r>
            <w:r>
              <w:rPr>
                <w:rFonts w:ascii="Arial" w:cs="Arial" w:eastAsia="Arial" w:hAnsi="Arial"/>
                <w:sz w:val="19"/>
                <w:szCs w:val="19"/>
                <w:color w:val="auto"/>
              </w:rPr>
              <w:t>110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3.16.</w:t>
            </w:r>
          </w:p>
        </w:tc>
        <w:tc>
          <w:tcPr>
            <w:tcW w:w="2360" w:type="dxa"/>
            <w:vAlign w:val="bottom"/>
            <w:gridSpan w:val="10"/>
          </w:tcPr>
          <w:p>
            <w:pPr>
              <w:ind w:left="100"/>
              <w:spacing w:after="0"/>
              <w:rPr>
                <w:sz w:val="20"/>
                <w:szCs w:val="20"/>
                <w:color w:val="auto"/>
              </w:rPr>
            </w:pPr>
            <w:r>
              <w:rPr>
                <w:rFonts w:ascii="Arial" w:cs="Arial" w:eastAsia="Arial" w:hAnsi="Arial"/>
                <w:sz w:val="19"/>
                <w:szCs w:val="19"/>
                <w:i w:val="1"/>
                <w:iCs w:val="1"/>
                <w:color w:val="auto"/>
                <w:w w:val="91"/>
              </w:rPr>
              <w:t>Federal Reserve Regulations</w:t>
            </w:r>
          </w:p>
        </w:tc>
        <w:tc>
          <w:tcPr>
            <w:tcW w:w="560" w:type="dxa"/>
            <w:vAlign w:val="bottom"/>
            <w:gridSpan w:val="3"/>
          </w:tcPr>
          <w:p>
            <w:pPr>
              <w:jc w:val="right"/>
              <w:ind w:right="4"/>
              <w:spacing w:after="0"/>
              <w:rPr>
                <w:sz w:val="20"/>
                <w:szCs w:val="20"/>
                <w:color w:val="auto"/>
              </w:rPr>
            </w:pPr>
            <w:r>
              <w:rPr>
                <w:rFonts w:ascii="Arial" w:cs="Arial" w:eastAsia="Arial" w:hAnsi="Arial"/>
                <w:sz w:val="19"/>
                <w:szCs w:val="19"/>
                <w:color w:val="auto"/>
              </w:rPr>
              <w:t>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3.17.</w:t>
            </w:r>
          </w:p>
        </w:tc>
        <w:tc>
          <w:tcPr>
            <w:tcW w:w="2360" w:type="dxa"/>
            <w:vAlign w:val="bottom"/>
            <w:gridSpan w:val="10"/>
          </w:tcPr>
          <w:p>
            <w:pPr>
              <w:ind w:left="100"/>
              <w:spacing w:after="0"/>
              <w:rPr>
                <w:sz w:val="20"/>
                <w:szCs w:val="20"/>
                <w:color w:val="auto"/>
              </w:rPr>
            </w:pPr>
            <w:r>
              <w:rPr>
                <w:rFonts w:ascii="Arial" w:cs="Arial" w:eastAsia="Arial" w:hAnsi="Arial"/>
                <w:sz w:val="19"/>
                <w:szCs w:val="19"/>
                <w:i w:val="1"/>
                <w:iCs w:val="1"/>
                <w:color w:val="auto"/>
              </w:rPr>
              <w:t xml:space="preserve">Use of Proceeds  </w:t>
            </w:r>
            <w:r>
              <w:rPr>
                <w:rFonts w:ascii="Arial" w:cs="Arial" w:eastAsia="Arial" w:hAnsi="Arial"/>
                <w:sz w:val="19"/>
                <w:szCs w:val="19"/>
                <w:color w:val="auto"/>
              </w:rPr>
              <w:t>110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1"/>
        </w:trPr>
        <w:tc>
          <w:tcPr>
            <w:tcW w:w="1100" w:type="dxa"/>
            <w:vAlign w:val="bottom"/>
          </w:tcPr>
          <w:p>
            <w:pPr>
              <w:spacing w:after="0" w:line="201" w:lineRule="exact"/>
              <w:rPr>
                <w:sz w:val="20"/>
                <w:szCs w:val="20"/>
                <w:color w:val="auto"/>
              </w:rPr>
            </w:pPr>
            <w:r>
              <w:rPr>
                <w:rFonts w:ascii="Arial" w:cs="Arial" w:eastAsia="Arial" w:hAnsi="Arial"/>
                <w:sz w:val="19"/>
                <w:szCs w:val="19"/>
                <w:color w:val="auto"/>
                <w:w w:val="97"/>
              </w:rPr>
              <w:t>Section 3.18.</w:t>
            </w:r>
          </w:p>
        </w:tc>
        <w:tc>
          <w:tcPr>
            <w:tcW w:w="3340" w:type="dxa"/>
            <w:vAlign w:val="bottom"/>
            <w:gridSpan w:val="15"/>
          </w:tcPr>
          <w:p>
            <w:pPr>
              <w:ind w:left="100"/>
              <w:spacing w:after="0" w:line="201" w:lineRule="exact"/>
              <w:rPr>
                <w:sz w:val="20"/>
                <w:szCs w:val="20"/>
                <w:color w:val="auto"/>
              </w:rPr>
            </w:pPr>
            <w:r>
              <w:rPr>
                <w:rFonts w:ascii="Arial" w:cs="Arial" w:eastAsia="Arial" w:hAnsi="Arial"/>
                <w:sz w:val="19"/>
                <w:szCs w:val="19"/>
                <w:i w:val="1"/>
                <w:iCs w:val="1"/>
                <w:color w:val="auto"/>
                <w:w w:val="91"/>
              </w:rPr>
              <w:t>Regulatory Status and Memberships Held</w:t>
            </w:r>
          </w:p>
        </w:tc>
        <w:tc>
          <w:tcPr>
            <w:tcW w:w="440" w:type="dxa"/>
            <w:vAlign w:val="bottom"/>
          </w:tcPr>
          <w:p>
            <w:pPr>
              <w:jc w:val="right"/>
              <w:spacing w:after="0" w:line="201" w:lineRule="exact"/>
              <w:rPr>
                <w:sz w:val="20"/>
                <w:szCs w:val="20"/>
                <w:color w:val="auto"/>
              </w:rPr>
            </w:pPr>
            <w:r>
              <w:rPr>
                <w:rFonts w:ascii="Arial" w:cs="Arial" w:eastAsia="Arial" w:hAnsi="Arial"/>
                <w:sz w:val="19"/>
                <w:szCs w:val="19"/>
                <w:color w:val="FF0000"/>
                <w:strike w:val="1"/>
              </w:rPr>
              <w:t>111</w:t>
            </w:r>
          </w:p>
        </w:tc>
        <w:tc>
          <w:tcPr>
            <w:tcW w:w="600" w:type="dxa"/>
            <w:vAlign w:val="bottom"/>
            <w:gridSpan w:val="2"/>
          </w:tcPr>
          <w:p>
            <w:pPr>
              <w:jc w:val="right"/>
              <w:ind w:right="300"/>
              <w:spacing w:after="0" w:line="201" w:lineRule="exact"/>
              <w:rPr>
                <w:sz w:val="20"/>
                <w:szCs w:val="20"/>
                <w:color w:val="auto"/>
              </w:rPr>
            </w:pPr>
            <w:r>
              <w:rPr>
                <w:rFonts w:ascii="Arial" w:cs="Arial" w:eastAsia="Arial" w:hAnsi="Arial"/>
                <w:sz w:val="19"/>
                <w:szCs w:val="19"/>
                <w:color w:val="0000FF"/>
                <w:w w:val="88"/>
              </w:rPr>
              <w:t>110</w:t>
            </w:r>
          </w:p>
        </w:tc>
      </w:tr>
      <w:tr>
        <w:trPr>
          <w:trHeight w:val="226"/>
        </w:trPr>
        <w:tc>
          <w:tcPr>
            <w:tcW w:w="1100" w:type="dxa"/>
            <w:vAlign w:val="bottom"/>
          </w:tcPr>
          <w:p>
            <w:pPr>
              <w:spacing w:after="0"/>
              <w:rPr>
                <w:sz w:val="20"/>
                <w:szCs w:val="20"/>
                <w:color w:val="auto"/>
              </w:rPr>
            </w:pPr>
            <w:r>
              <w:rPr>
                <w:rFonts w:ascii="Arial" w:cs="Arial" w:eastAsia="Arial" w:hAnsi="Arial"/>
                <w:sz w:val="19"/>
                <w:szCs w:val="19"/>
                <w:color w:val="auto"/>
                <w:w w:val="97"/>
              </w:rPr>
              <w:t>Section 3.19.</w:t>
            </w:r>
          </w:p>
        </w:tc>
        <w:tc>
          <w:tcPr>
            <w:tcW w:w="3340" w:type="dxa"/>
            <w:vAlign w:val="bottom"/>
            <w:gridSpan w:val="15"/>
          </w:tcPr>
          <w:p>
            <w:pPr>
              <w:ind w:left="100"/>
              <w:spacing w:after="0"/>
              <w:rPr>
                <w:sz w:val="20"/>
                <w:szCs w:val="20"/>
                <w:color w:val="auto"/>
              </w:rPr>
            </w:pPr>
            <w:r>
              <w:rPr>
                <w:rFonts w:ascii="Arial" w:cs="Arial" w:eastAsia="Arial" w:hAnsi="Arial"/>
                <w:sz w:val="19"/>
                <w:szCs w:val="19"/>
                <w:i w:val="1"/>
                <w:iCs w:val="1"/>
                <w:color w:val="auto"/>
              </w:rPr>
              <w:t xml:space="preserve">PATRIOT Act, OFAC and FCPA  </w:t>
            </w:r>
            <w:r>
              <w:rPr>
                <w:rFonts w:ascii="Arial" w:cs="Arial" w:eastAsia="Arial" w:hAnsi="Arial"/>
                <w:sz w:val="19"/>
                <w:szCs w:val="19"/>
                <w:color w:val="auto"/>
              </w:rPr>
              <w:t>111</w:t>
            </w:r>
          </w:p>
        </w:tc>
        <w:tc>
          <w:tcPr>
            <w:tcW w:w="4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r>
      <w:tr>
        <w:trPr>
          <w:trHeight w:val="201"/>
        </w:trPr>
        <w:tc>
          <w:tcPr>
            <w:tcW w:w="1100" w:type="dxa"/>
            <w:vAlign w:val="bottom"/>
          </w:tcPr>
          <w:p>
            <w:pPr>
              <w:spacing w:after="0" w:line="201" w:lineRule="exact"/>
              <w:rPr>
                <w:sz w:val="20"/>
                <w:szCs w:val="20"/>
                <w:color w:val="auto"/>
              </w:rPr>
            </w:pPr>
            <w:r>
              <w:rPr>
                <w:rFonts w:ascii="Arial" w:cs="Arial" w:eastAsia="Arial" w:hAnsi="Arial"/>
                <w:sz w:val="19"/>
                <w:szCs w:val="19"/>
                <w:color w:val="auto"/>
                <w:w w:val="97"/>
              </w:rPr>
              <w:t>Section 3.20.</w:t>
            </w:r>
          </w:p>
        </w:tc>
        <w:tc>
          <w:tcPr>
            <w:tcW w:w="2360" w:type="dxa"/>
            <w:vAlign w:val="bottom"/>
            <w:gridSpan w:val="10"/>
          </w:tcPr>
          <w:p>
            <w:pPr>
              <w:ind w:left="100"/>
              <w:spacing w:after="0" w:line="201" w:lineRule="exact"/>
              <w:rPr>
                <w:sz w:val="20"/>
                <w:szCs w:val="20"/>
                <w:color w:val="auto"/>
              </w:rPr>
            </w:pPr>
            <w:r>
              <w:rPr>
                <w:rFonts w:ascii="Arial" w:cs="Arial" w:eastAsia="Arial" w:hAnsi="Arial"/>
                <w:sz w:val="19"/>
                <w:szCs w:val="19"/>
                <w:i w:val="1"/>
                <w:iCs w:val="1"/>
                <w:color w:val="auto"/>
              </w:rPr>
              <w:t>EEA Financial Institutions</w:t>
            </w:r>
          </w:p>
        </w:tc>
        <w:tc>
          <w:tcPr>
            <w:tcW w:w="280" w:type="dxa"/>
            <w:vAlign w:val="bottom"/>
          </w:tcPr>
          <w:p>
            <w:pPr>
              <w:jc w:val="right"/>
              <w:spacing w:after="0" w:line="201" w:lineRule="exact"/>
              <w:rPr>
                <w:sz w:val="20"/>
                <w:szCs w:val="20"/>
                <w:color w:val="auto"/>
              </w:rPr>
            </w:pPr>
            <w:r>
              <w:rPr>
                <w:rFonts w:ascii="Arial" w:cs="Arial" w:eastAsia="Arial" w:hAnsi="Arial"/>
                <w:sz w:val="19"/>
                <w:szCs w:val="19"/>
                <w:color w:val="FF0000"/>
                <w:strike w:val="1"/>
                <w:w w:val="81"/>
              </w:rPr>
              <w:t>112</w:t>
            </w:r>
          </w:p>
        </w:tc>
        <w:tc>
          <w:tcPr>
            <w:tcW w:w="280" w:type="dxa"/>
            <w:vAlign w:val="bottom"/>
            <w:tcBorders>
              <w:bottom w:val="single" w:sz="8" w:color="0000FF"/>
            </w:tcBorders>
            <w:gridSpan w:val="2"/>
          </w:tcPr>
          <w:p>
            <w:pPr>
              <w:jc w:val="right"/>
              <w:spacing w:after="0" w:line="201" w:lineRule="exact"/>
              <w:rPr>
                <w:sz w:val="20"/>
                <w:szCs w:val="20"/>
                <w:color w:val="auto"/>
              </w:rPr>
            </w:pPr>
            <w:r>
              <w:rPr>
                <w:rFonts w:ascii="Arial" w:cs="Arial" w:eastAsia="Arial" w:hAnsi="Arial"/>
                <w:sz w:val="19"/>
                <w:szCs w:val="19"/>
                <w:color w:val="0000FF"/>
                <w:w w:val="81"/>
              </w:rPr>
              <w:t>111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1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840" w:type="dxa"/>
            <w:vAlign w:val="bottom"/>
          </w:tcPr>
          <w:p>
            <w:pPr>
              <w:jc w:val="right"/>
              <w:spacing w:after="0"/>
              <w:rPr>
                <w:sz w:val="20"/>
                <w:szCs w:val="20"/>
                <w:color w:val="auto"/>
              </w:rPr>
            </w:pPr>
            <w:r>
              <w:rPr>
                <w:rFonts w:ascii="Arial" w:cs="Arial" w:eastAsia="Arial" w:hAnsi="Arial"/>
                <w:sz w:val="21"/>
                <w:szCs w:val="21"/>
                <w:color w:val="auto"/>
              </w:rPr>
              <w:t>ARTICLE 4 CONDITIONS  112</w:t>
            </w:r>
          </w:p>
        </w:tc>
      </w:tr>
      <w:tr>
        <w:trPr>
          <w:trHeight w:val="407"/>
        </w:trPr>
        <w:tc>
          <w:tcPr>
            <w:tcW w:w="1120" w:type="dxa"/>
            <w:vAlign w:val="bottom"/>
          </w:tcPr>
          <w:p>
            <w:pPr>
              <w:spacing w:after="0"/>
              <w:rPr>
                <w:sz w:val="20"/>
                <w:szCs w:val="20"/>
                <w:color w:val="auto"/>
              </w:rPr>
            </w:pPr>
            <w:r>
              <w:rPr>
                <w:rFonts w:ascii="Arial" w:cs="Arial" w:eastAsia="Arial" w:hAnsi="Arial"/>
                <w:sz w:val="19"/>
                <w:szCs w:val="19"/>
                <w:color w:val="auto"/>
                <w:w w:val="99"/>
              </w:rPr>
              <w:t>Section 4.01.</w:t>
            </w:r>
          </w:p>
        </w:tc>
        <w:tc>
          <w:tcPr>
            <w:tcW w:w="2200" w:type="dxa"/>
            <w:vAlign w:val="bottom"/>
          </w:tcPr>
          <w:p>
            <w:pPr>
              <w:ind w:left="80"/>
              <w:spacing w:after="0"/>
              <w:rPr>
                <w:sz w:val="20"/>
                <w:szCs w:val="20"/>
                <w:color w:val="auto"/>
              </w:rPr>
            </w:pPr>
            <w:r>
              <w:rPr>
                <w:rFonts w:ascii="Arial" w:cs="Arial" w:eastAsia="Arial" w:hAnsi="Arial"/>
                <w:sz w:val="19"/>
                <w:szCs w:val="19"/>
                <w:i w:val="1"/>
                <w:iCs w:val="1"/>
                <w:color w:val="auto"/>
                <w:w w:val="90"/>
              </w:rPr>
              <w:t>Restatement Effective Date</w:t>
            </w:r>
          </w:p>
        </w:tc>
        <w:tc>
          <w:tcPr>
            <w:tcW w:w="3840" w:type="dxa"/>
            <w:vAlign w:val="bottom"/>
          </w:tcPr>
          <w:p>
            <w:pPr>
              <w:jc w:val="right"/>
              <w:ind w:right="3301"/>
              <w:spacing w:after="0"/>
              <w:rPr>
                <w:sz w:val="20"/>
                <w:szCs w:val="20"/>
                <w:color w:val="auto"/>
              </w:rPr>
            </w:pPr>
            <w:r>
              <w:rPr>
                <w:rFonts w:ascii="Arial" w:cs="Arial" w:eastAsia="Arial" w:hAnsi="Arial"/>
                <w:sz w:val="19"/>
                <w:szCs w:val="19"/>
                <w:color w:val="auto"/>
              </w:rPr>
              <w:t>112</w:t>
            </w:r>
          </w:p>
        </w:tc>
      </w:tr>
      <w:tr>
        <w:trPr>
          <w:trHeight w:val="223"/>
        </w:trPr>
        <w:tc>
          <w:tcPr>
            <w:tcW w:w="1120" w:type="dxa"/>
            <w:vAlign w:val="bottom"/>
          </w:tcPr>
          <w:p>
            <w:pPr>
              <w:spacing w:after="0"/>
              <w:rPr>
                <w:sz w:val="20"/>
                <w:szCs w:val="20"/>
                <w:color w:val="auto"/>
              </w:rPr>
            </w:pPr>
            <w:r>
              <w:rPr>
                <w:rFonts w:ascii="Arial" w:cs="Arial" w:eastAsia="Arial" w:hAnsi="Arial"/>
                <w:sz w:val="19"/>
                <w:szCs w:val="19"/>
                <w:color w:val="auto"/>
                <w:w w:val="99"/>
              </w:rPr>
              <w:t>Section 4.02.</w:t>
            </w:r>
          </w:p>
        </w:tc>
        <w:tc>
          <w:tcPr>
            <w:tcW w:w="2200" w:type="dxa"/>
            <w:vAlign w:val="bottom"/>
          </w:tcPr>
          <w:p>
            <w:pPr>
              <w:ind w:left="80"/>
              <w:spacing w:after="0"/>
              <w:rPr>
                <w:sz w:val="20"/>
                <w:szCs w:val="20"/>
                <w:color w:val="auto"/>
              </w:rPr>
            </w:pPr>
            <w:r>
              <w:rPr>
                <w:rFonts w:ascii="Arial" w:cs="Arial" w:eastAsia="Arial" w:hAnsi="Arial"/>
                <w:sz w:val="19"/>
                <w:szCs w:val="19"/>
                <w:i w:val="1"/>
                <w:iCs w:val="1"/>
                <w:color w:val="auto"/>
              </w:rPr>
              <w:t xml:space="preserve">Each Credit Event  </w:t>
            </w:r>
            <w:r>
              <w:rPr>
                <w:rFonts w:ascii="Arial" w:cs="Arial" w:eastAsia="Arial" w:hAnsi="Arial"/>
                <w:sz w:val="19"/>
                <w:szCs w:val="19"/>
                <w:color w:val="auto"/>
              </w:rPr>
              <w:t>113</w:t>
            </w:r>
          </w:p>
        </w:tc>
        <w:tc>
          <w:tcPr>
            <w:tcW w:w="3840" w:type="dxa"/>
            <w:vAlign w:val="bottom"/>
          </w:tcPr>
          <w:p>
            <w:pPr>
              <w:spacing w:after="0"/>
              <w:rPr>
                <w:sz w:val="19"/>
                <w:szCs w:val="19"/>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9"/>
                <w:szCs w:val="19"/>
                <w:color w:val="auto"/>
                <w:w w:val="99"/>
              </w:rPr>
              <w:t>Section 4.03.</w:t>
            </w:r>
          </w:p>
        </w:tc>
        <w:tc>
          <w:tcPr>
            <w:tcW w:w="2200" w:type="dxa"/>
            <w:vAlign w:val="bottom"/>
          </w:tcPr>
          <w:p>
            <w:pPr>
              <w:ind w:left="80"/>
              <w:spacing w:after="0"/>
              <w:rPr>
                <w:sz w:val="20"/>
                <w:szCs w:val="20"/>
                <w:color w:val="auto"/>
              </w:rPr>
            </w:pPr>
            <w:r>
              <w:rPr>
                <w:rFonts w:ascii="Arial" w:cs="Arial" w:eastAsia="Arial" w:hAnsi="Arial"/>
                <w:sz w:val="19"/>
                <w:szCs w:val="19"/>
                <w:i w:val="1"/>
                <w:iCs w:val="1"/>
                <w:color w:val="auto"/>
                <w:w w:val="98"/>
              </w:rPr>
              <w:t>Escrow Assumption Date</w:t>
            </w:r>
          </w:p>
        </w:tc>
        <w:tc>
          <w:tcPr>
            <w:tcW w:w="3840" w:type="dxa"/>
            <w:vAlign w:val="bottom"/>
          </w:tcPr>
          <w:p>
            <w:pPr>
              <w:jc w:val="right"/>
              <w:ind w:right="3441"/>
              <w:spacing w:after="0"/>
              <w:rPr>
                <w:sz w:val="20"/>
                <w:szCs w:val="20"/>
                <w:color w:val="auto"/>
              </w:rPr>
            </w:pPr>
            <w:r>
              <w:rPr>
                <w:rFonts w:ascii="Arial" w:cs="Arial" w:eastAsia="Arial" w:hAnsi="Arial"/>
                <w:sz w:val="19"/>
                <w:szCs w:val="19"/>
                <w:color w:val="auto"/>
                <w:w w:val="88"/>
              </w:rPr>
              <w:t>114</w:t>
            </w:r>
          </w:p>
        </w:tc>
      </w:tr>
    </w:tbl>
    <w:p>
      <w:pPr>
        <w:spacing w:after="0" w:line="196" w:lineRule="exact"/>
        <w:rPr>
          <w:sz w:val="20"/>
          <w:szCs w:val="20"/>
          <w:color w:val="auto"/>
        </w:rPr>
      </w:pPr>
    </w:p>
    <w:p>
      <w:pPr>
        <w:ind w:left="3560"/>
        <w:spacing w:after="0"/>
        <w:tabs>
          <w:tab w:leader="none" w:pos="7540" w:val="left"/>
        </w:tabs>
        <w:rPr>
          <w:sz w:val="20"/>
          <w:szCs w:val="20"/>
          <w:color w:val="auto"/>
        </w:rPr>
      </w:pPr>
      <w:r>
        <w:rPr>
          <w:rFonts w:ascii="Arial" w:cs="Arial" w:eastAsia="Arial" w:hAnsi="Arial"/>
          <w:sz w:val="21"/>
          <w:szCs w:val="21"/>
          <w:color w:val="auto"/>
        </w:rPr>
        <w:t>ARTICLE 5 AFFIRMATIVE COVENANTS</w:t>
      </w:r>
      <w:r>
        <w:rPr>
          <w:sz w:val="20"/>
          <w:szCs w:val="20"/>
          <w:color w:val="auto"/>
        </w:rPr>
        <w:tab/>
      </w:r>
      <w:r>
        <w:rPr>
          <w:rFonts w:ascii="Arial" w:cs="Arial" w:eastAsia="Arial" w:hAnsi="Arial"/>
          <w:sz w:val="19"/>
          <w:szCs w:val="19"/>
          <w:color w:val="auto"/>
        </w:rPr>
        <w:t>117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5.01.</w:t>
            </w:r>
          </w:p>
        </w:tc>
        <w:tc>
          <w:tcPr>
            <w:tcW w:w="6440" w:type="dxa"/>
            <w:vAlign w:val="bottom"/>
            <w:gridSpan w:val="14"/>
          </w:tcPr>
          <w:p>
            <w:pPr>
              <w:ind w:left="100"/>
              <w:spacing w:after="0"/>
              <w:rPr>
                <w:sz w:val="20"/>
                <w:szCs w:val="20"/>
                <w:color w:val="auto"/>
              </w:rPr>
            </w:pPr>
            <w:r>
              <w:rPr>
                <w:rFonts w:ascii="Arial" w:cs="Arial" w:eastAsia="Arial" w:hAnsi="Arial"/>
                <w:sz w:val="19"/>
                <w:szCs w:val="19"/>
                <w:i w:val="1"/>
                <w:iCs w:val="1"/>
                <w:color w:val="auto"/>
              </w:rPr>
              <w:t xml:space="preserve">Financial Statements and Other Information  </w:t>
            </w:r>
            <w:r>
              <w:rPr>
                <w:rFonts w:ascii="Arial" w:cs="Arial" w:eastAsia="Arial" w:hAnsi="Arial"/>
                <w:sz w:val="19"/>
                <w:szCs w:val="19"/>
                <w:color w:val="auto"/>
              </w:rPr>
              <w:t>117</w:t>
            </w: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5.02.</w:t>
            </w:r>
          </w:p>
        </w:tc>
        <w:tc>
          <w:tcPr>
            <w:tcW w:w="2360" w:type="dxa"/>
            <w:vAlign w:val="bottom"/>
            <w:gridSpan w:val="9"/>
          </w:tcPr>
          <w:p>
            <w:pPr>
              <w:ind w:left="100"/>
              <w:spacing w:after="0"/>
              <w:rPr>
                <w:sz w:val="20"/>
                <w:szCs w:val="20"/>
                <w:color w:val="auto"/>
              </w:rPr>
            </w:pPr>
            <w:r>
              <w:rPr>
                <w:rFonts w:ascii="Arial" w:cs="Arial" w:eastAsia="Arial" w:hAnsi="Arial"/>
                <w:sz w:val="19"/>
                <w:szCs w:val="19"/>
                <w:i w:val="1"/>
                <w:iCs w:val="1"/>
                <w:color w:val="auto"/>
              </w:rPr>
              <w:t>Notices of Material Events</w:t>
            </w:r>
          </w:p>
        </w:tc>
        <w:tc>
          <w:tcPr>
            <w:tcW w:w="360" w:type="dxa"/>
            <w:vAlign w:val="bottom"/>
            <w:gridSpan w:val="3"/>
          </w:tcPr>
          <w:p>
            <w:pPr>
              <w:jc w:val="right"/>
              <w:spacing w:after="0"/>
              <w:rPr>
                <w:sz w:val="20"/>
                <w:szCs w:val="20"/>
                <w:color w:val="auto"/>
              </w:rPr>
            </w:pPr>
            <w:r>
              <w:rPr>
                <w:rFonts w:ascii="Arial" w:cs="Arial" w:eastAsia="Arial" w:hAnsi="Arial"/>
                <w:sz w:val="19"/>
                <w:szCs w:val="19"/>
                <w:color w:val="auto"/>
                <w:w w:val="81"/>
              </w:rPr>
              <w:t>121</w:t>
            </w: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5.03.</w:t>
            </w:r>
          </w:p>
        </w:tc>
        <w:tc>
          <w:tcPr>
            <w:tcW w:w="2720" w:type="dxa"/>
            <w:vAlign w:val="bottom"/>
            <w:gridSpan w:val="12"/>
          </w:tcPr>
          <w:p>
            <w:pPr>
              <w:ind w:left="100"/>
              <w:spacing w:after="0"/>
              <w:rPr>
                <w:sz w:val="20"/>
                <w:szCs w:val="20"/>
                <w:color w:val="auto"/>
              </w:rPr>
            </w:pPr>
            <w:r>
              <w:rPr>
                <w:rFonts w:ascii="Arial" w:cs="Arial" w:eastAsia="Arial" w:hAnsi="Arial"/>
                <w:sz w:val="19"/>
                <w:szCs w:val="19"/>
                <w:i w:val="1"/>
                <w:iCs w:val="1"/>
                <w:color w:val="auto"/>
                <w:w w:val="95"/>
              </w:rPr>
              <w:t>Information Regarding Collateral</w:t>
            </w:r>
          </w:p>
        </w:tc>
        <w:tc>
          <w:tcPr>
            <w:tcW w:w="3720" w:type="dxa"/>
            <w:vAlign w:val="bottom"/>
            <w:gridSpan w:val="2"/>
          </w:tcPr>
          <w:p>
            <w:pPr>
              <w:jc w:val="right"/>
              <w:ind w:right="3240"/>
              <w:spacing w:after="0"/>
              <w:rPr>
                <w:sz w:val="20"/>
                <w:szCs w:val="20"/>
                <w:color w:val="auto"/>
              </w:rPr>
            </w:pPr>
            <w:r>
              <w:rPr>
                <w:rFonts w:ascii="Arial" w:cs="Arial" w:eastAsia="Arial" w:hAnsi="Arial"/>
                <w:sz w:val="19"/>
                <w:szCs w:val="19"/>
                <w:color w:val="auto"/>
              </w:rPr>
              <w:t>122</w:t>
            </w: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5.04.</w:t>
            </w:r>
          </w:p>
        </w:tc>
        <w:tc>
          <w:tcPr>
            <w:tcW w:w="2720" w:type="dxa"/>
            <w:vAlign w:val="bottom"/>
            <w:gridSpan w:val="12"/>
          </w:tcPr>
          <w:p>
            <w:pPr>
              <w:ind w:left="100"/>
              <w:spacing w:after="0"/>
              <w:rPr>
                <w:sz w:val="20"/>
                <w:szCs w:val="20"/>
                <w:color w:val="auto"/>
              </w:rPr>
            </w:pPr>
            <w:r>
              <w:rPr>
                <w:rFonts w:ascii="Arial" w:cs="Arial" w:eastAsia="Arial" w:hAnsi="Arial"/>
                <w:sz w:val="19"/>
                <w:szCs w:val="19"/>
                <w:i w:val="1"/>
                <w:iCs w:val="1"/>
                <w:color w:val="auto"/>
                <w:w w:val="97"/>
              </w:rPr>
              <w:t>Existence; Conduct of Business</w:t>
            </w:r>
          </w:p>
        </w:tc>
        <w:tc>
          <w:tcPr>
            <w:tcW w:w="3720" w:type="dxa"/>
            <w:vAlign w:val="bottom"/>
            <w:gridSpan w:val="2"/>
          </w:tcPr>
          <w:p>
            <w:pPr>
              <w:jc w:val="right"/>
              <w:ind w:right="3440"/>
              <w:spacing w:after="0"/>
              <w:rPr>
                <w:sz w:val="20"/>
                <w:szCs w:val="20"/>
                <w:color w:val="auto"/>
              </w:rPr>
            </w:pPr>
            <w:r>
              <w:rPr>
                <w:rFonts w:ascii="Arial" w:cs="Arial" w:eastAsia="Arial" w:hAnsi="Arial"/>
                <w:sz w:val="19"/>
                <w:szCs w:val="19"/>
                <w:color w:val="auto"/>
                <w:w w:val="81"/>
              </w:rPr>
              <w:t>122</w:t>
            </w: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5.05.</w:t>
            </w:r>
          </w:p>
        </w:tc>
        <w:tc>
          <w:tcPr>
            <w:tcW w:w="1980" w:type="dxa"/>
            <w:vAlign w:val="bottom"/>
            <w:gridSpan w:val="7"/>
          </w:tcPr>
          <w:p>
            <w:pPr>
              <w:ind w:left="100"/>
              <w:spacing w:after="0"/>
              <w:rPr>
                <w:sz w:val="20"/>
                <w:szCs w:val="20"/>
                <w:color w:val="auto"/>
              </w:rPr>
            </w:pPr>
            <w:r>
              <w:rPr>
                <w:rFonts w:ascii="Arial" w:cs="Arial" w:eastAsia="Arial" w:hAnsi="Arial"/>
                <w:sz w:val="19"/>
                <w:szCs w:val="19"/>
                <w:i w:val="1"/>
                <w:iCs w:val="1"/>
                <w:color w:val="auto"/>
                <w:w w:val="97"/>
              </w:rPr>
              <w:t>Payment of Taxes, Etc</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w w:val="94"/>
              </w:rPr>
              <w:t>122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01"/>
        </w:trPr>
        <w:tc>
          <w:tcPr>
            <w:tcW w:w="1100" w:type="dxa"/>
            <w:vAlign w:val="bottom"/>
          </w:tcPr>
          <w:p>
            <w:pPr>
              <w:spacing w:after="0" w:line="201" w:lineRule="exact"/>
              <w:rPr>
                <w:sz w:val="20"/>
                <w:szCs w:val="20"/>
                <w:color w:val="auto"/>
              </w:rPr>
            </w:pPr>
            <w:r>
              <w:rPr>
                <w:rFonts w:ascii="Arial" w:cs="Arial" w:eastAsia="Arial" w:hAnsi="Arial"/>
                <w:sz w:val="19"/>
                <w:szCs w:val="19"/>
                <w:color w:val="auto"/>
                <w:w w:val="97"/>
              </w:rPr>
              <w:t>Section 5.06.</w:t>
            </w:r>
          </w:p>
        </w:tc>
        <w:tc>
          <w:tcPr>
            <w:tcW w:w="2360" w:type="dxa"/>
            <w:vAlign w:val="bottom"/>
            <w:gridSpan w:val="9"/>
          </w:tcPr>
          <w:p>
            <w:pPr>
              <w:ind w:left="100"/>
              <w:spacing w:after="0" w:line="201" w:lineRule="exact"/>
              <w:rPr>
                <w:sz w:val="20"/>
                <w:szCs w:val="20"/>
                <w:color w:val="auto"/>
              </w:rPr>
            </w:pPr>
            <w:r>
              <w:rPr>
                <w:rFonts w:ascii="Arial" w:cs="Arial" w:eastAsia="Arial" w:hAnsi="Arial"/>
                <w:sz w:val="19"/>
                <w:szCs w:val="19"/>
                <w:i w:val="1"/>
                <w:iCs w:val="1"/>
                <w:color w:val="auto"/>
              </w:rPr>
              <w:t>Maintenance of Properties</w:t>
            </w:r>
          </w:p>
        </w:tc>
        <w:tc>
          <w:tcPr>
            <w:tcW w:w="280" w:type="dxa"/>
            <w:vAlign w:val="bottom"/>
            <w:gridSpan w:val="2"/>
          </w:tcPr>
          <w:p>
            <w:pPr>
              <w:jc w:val="right"/>
              <w:spacing w:after="0" w:line="201" w:lineRule="exact"/>
              <w:rPr>
                <w:sz w:val="20"/>
                <w:szCs w:val="20"/>
                <w:color w:val="auto"/>
              </w:rPr>
            </w:pPr>
            <w:r>
              <w:rPr>
                <w:rFonts w:ascii="Arial" w:cs="Arial" w:eastAsia="Arial" w:hAnsi="Arial"/>
                <w:sz w:val="19"/>
                <w:szCs w:val="19"/>
                <w:color w:val="FF0000"/>
                <w:strike w:val="1"/>
                <w:w w:val="81"/>
              </w:rPr>
              <w:t>123</w:t>
            </w:r>
          </w:p>
        </w:tc>
        <w:tc>
          <w:tcPr>
            <w:tcW w:w="300" w:type="dxa"/>
            <w:vAlign w:val="bottom"/>
            <w:tcBorders>
              <w:bottom w:val="single" w:sz="8" w:color="0000FF"/>
            </w:tcBorders>
            <w:gridSpan w:val="2"/>
          </w:tcPr>
          <w:p>
            <w:pPr>
              <w:jc w:val="right"/>
              <w:spacing w:after="0" w:line="201" w:lineRule="exact"/>
              <w:rPr>
                <w:sz w:val="20"/>
                <w:szCs w:val="20"/>
                <w:color w:val="auto"/>
              </w:rPr>
            </w:pPr>
            <w:r>
              <w:rPr>
                <w:rFonts w:ascii="Arial" w:cs="Arial" w:eastAsia="Arial" w:hAnsi="Arial"/>
                <w:sz w:val="19"/>
                <w:szCs w:val="19"/>
                <w:color w:val="0000FF"/>
                <w:w w:val="88"/>
              </w:rPr>
              <w:t>122</w:t>
            </w:r>
          </w:p>
        </w:tc>
        <w:tc>
          <w:tcPr>
            <w:tcW w:w="3500" w:type="dxa"/>
            <w:vAlign w:val="bottom"/>
          </w:tcPr>
          <w:p>
            <w:pPr>
              <w:spacing w:after="0"/>
              <w:rPr>
                <w:sz w:val="17"/>
                <w:szCs w:val="17"/>
                <w:color w:val="auto"/>
              </w:rPr>
            </w:pPr>
          </w:p>
        </w:tc>
      </w:tr>
      <w:tr>
        <w:trPr>
          <w:trHeight w:val="203"/>
        </w:trPr>
        <w:tc>
          <w:tcPr>
            <w:tcW w:w="1100" w:type="dxa"/>
            <w:vAlign w:val="bottom"/>
          </w:tcPr>
          <w:p>
            <w:pPr>
              <w:spacing w:after="0" w:line="204" w:lineRule="exact"/>
              <w:rPr>
                <w:sz w:val="20"/>
                <w:szCs w:val="20"/>
                <w:color w:val="auto"/>
              </w:rPr>
            </w:pPr>
            <w:r>
              <w:rPr>
                <w:rFonts w:ascii="Arial" w:cs="Arial" w:eastAsia="Arial" w:hAnsi="Arial"/>
                <w:sz w:val="19"/>
                <w:szCs w:val="19"/>
                <w:color w:val="auto"/>
                <w:w w:val="97"/>
              </w:rPr>
              <w:t>Section 5.07.</w:t>
            </w:r>
          </w:p>
        </w:tc>
        <w:tc>
          <w:tcPr>
            <w:tcW w:w="1060" w:type="dxa"/>
            <w:vAlign w:val="bottom"/>
          </w:tcPr>
          <w:p>
            <w:pPr>
              <w:ind w:left="100"/>
              <w:spacing w:after="0" w:line="204" w:lineRule="exact"/>
              <w:rPr>
                <w:sz w:val="20"/>
                <w:szCs w:val="20"/>
                <w:color w:val="auto"/>
              </w:rPr>
            </w:pPr>
            <w:r>
              <w:rPr>
                <w:rFonts w:ascii="Arial" w:cs="Arial" w:eastAsia="Arial" w:hAnsi="Arial"/>
                <w:sz w:val="19"/>
                <w:szCs w:val="19"/>
                <w:i w:val="1"/>
                <w:iCs w:val="1"/>
                <w:color w:val="auto"/>
              </w:rPr>
              <w:t>Insurance</w:t>
            </w:r>
          </w:p>
        </w:tc>
        <w:tc>
          <w:tcPr>
            <w:tcW w:w="300" w:type="dxa"/>
            <w:vAlign w:val="bottom"/>
            <w:gridSpan w:val="2"/>
          </w:tcPr>
          <w:p>
            <w:pPr>
              <w:jc w:val="right"/>
              <w:spacing w:after="0" w:line="204" w:lineRule="exact"/>
              <w:rPr>
                <w:sz w:val="20"/>
                <w:szCs w:val="20"/>
                <w:color w:val="auto"/>
              </w:rPr>
            </w:pPr>
            <w:r>
              <w:rPr>
                <w:rFonts w:ascii="Arial" w:cs="Arial" w:eastAsia="Arial" w:hAnsi="Arial"/>
                <w:sz w:val="19"/>
                <w:szCs w:val="19"/>
                <w:color w:val="FF0000"/>
                <w:strike w:val="1"/>
                <w:w w:val="88"/>
              </w:rPr>
              <w:t>123</w:t>
            </w:r>
          </w:p>
        </w:tc>
        <w:tc>
          <w:tcPr>
            <w:tcW w:w="400" w:type="dxa"/>
            <w:vAlign w:val="bottom"/>
            <w:gridSpan w:val="3"/>
          </w:tcPr>
          <w:p>
            <w:pPr>
              <w:jc w:val="right"/>
              <w:ind w:right="120"/>
              <w:spacing w:after="0" w:line="204" w:lineRule="exact"/>
              <w:rPr>
                <w:sz w:val="20"/>
                <w:szCs w:val="20"/>
                <w:color w:val="auto"/>
              </w:rPr>
            </w:pPr>
            <w:r>
              <w:rPr>
                <w:rFonts w:ascii="Arial" w:cs="Arial" w:eastAsia="Arial" w:hAnsi="Arial"/>
                <w:sz w:val="19"/>
                <w:szCs w:val="19"/>
                <w:color w:val="0000FF"/>
                <w:w w:val="81"/>
              </w:rPr>
              <w:t>122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r>
      <w:tr>
        <w:trPr>
          <w:trHeight w:val="226"/>
        </w:trPr>
        <w:tc>
          <w:tcPr>
            <w:tcW w:w="1100" w:type="dxa"/>
            <w:vAlign w:val="bottom"/>
          </w:tcPr>
          <w:p>
            <w:pPr>
              <w:spacing w:after="0"/>
              <w:rPr>
                <w:sz w:val="20"/>
                <w:szCs w:val="20"/>
                <w:color w:val="auto"/>
              </w:rPr>
            </w:pPr>
            <w:r>
              <w:rPr>
                <w:rFonts w:ascii="Arial" w:cs="Arial" w:eastAsia="Arial" w:hAnsi="Arial"/>
                <w:sz w:val="19"/>
                <w:szCs w:val="19"/>
                <w:color w:val="auto"/>
                <w:w w:val="97"/>
              </w:rPr>
              <w:t>Section 5.08.</w:t>
            </w:r>
          </w:p>
        </w:tc>
        <w:tc>
          <w:tcPr>
            <w:tcW w:w="6440" w:type="dxa"/>
            <w:vAlign w:val="bottom"/>
            <w:gridSpan w:val="14"/>
          </w:tcPr>
          <w:p>
            <w:pPr>
              <w:ind w:left="80"/>
              <w:spacing w:after="0"/>
              <w:rPr>
                <w:sz w:val="20"/>
                <w:szCs w:val="20"/>
                <w:color w:val="auto"/>
              </w:rPr>
            </w:pPr>
            <w:r>
              <w:rPr>
                <w:rFonts w:ascii="Arial" w:cs="Arial" w:eastAsia="Arial" w:hAnsi="Arial"/>
                <w:sz w:val="19"/>
                <w:szCs w:val="19"/>
                <w:i w:val="1"/>
                <w:iCs w:val="1"/>
                <w:color w:val="auto"/>
                <w:w w:val="92"/>
              </w:rPr>
              <w:t xml:space="preserve">Books and Records; Inspection and Audit Rights; Quarterly Teleconferences  </w:t>
            </w:r>
            <w:r>
              <w:rPr>
                <w:rFonts w:ascii="Arial" w:cs="Arial" w:eastAsia="Arial" w:hAnsi="Arial"/>
                <w:sz w:val="19"/>
                <w:szCs w:val="19"/>
                <w:color w:val="auto"/>
                <w:w w:val="92"/>
              </w:rPr>
              <w:t>123</w:t>
            </w:r>
          </w:p>
        </w:tc>
      </w:tr>
      <w:tr>
        <w:trPr>
          <w:trHeight w:val="201"/>
        </w:trPr>
        <w:tc>
          <w:tcPr>
            <w:tcW w:w="1100" w:type="dxa"/>
            <w:vAlign w:val="bottom"/>
          </w:tcPr>
          <w:p>
            <w:pPr>
              <w:spacing w:after="0" w:line="201" w:lineRule="exact"/>
              <w:rPr>
                <w:sz w:val="20"/>
                <w:szCs w:val="20"/>
                <w:color w:val="auto"/>
              </w:rPr>
            </w:pPr>
            <w:r>
              <w:rPr>
                <w:rFonts w:ascii="Arial" w:cs="Arial" w:eastAsia="Arial" w:hAnsi="Arial"/>
                <w:sz w:val="19"/>
                <w:szCs w:val="19"/>
                <w:color w:val="auto"/>
                <w:w w:val="97"/>
              </w:rPr>
              <w:t>Section 5.09.</w:t>
            </w:r>
          </w:p>
        </w:tc>
        <w:tc>
          <w:tcPr>
            <w:tcW w:w="1980" w:type="dxa"/>
            <w:vAlign w:val="bottom"/>
            <w:gridSpan w:val="7"/>
          </w:tcPr>
          <w:p>
            <w:pPr>
              <w:ind w:left="100"/>
              <w:spacing w:after="0" w:line="201" w:lineRule="exact"/>
              <w:rPr>
                <w:sz w:val="20"/>
                <w:szCs w:val="20"/>
                <w:color w:val="auto"/>
              </w:rPr>
            </w:pPr>
            <w:r>
              <w:rPr>
                <w:rFonts w:ascii="Arial" w:cs="Arial" w:eastAsia="Arial" w:hAnsi="Arial"/>
                <w:sz w:val="19"/>
                <w:szCs w:val="19"/>
                <w:i w:val="1"/>
                <w:iCs w:val="1"/>
                <w:color w:val="auto"/>
                <w:w w:val="98"/>
              </w:rPr>
              <w:t>Compliance with Laws</w:t>
            </w:r>
          </w:p>
        </w:tc>
        <w:tc>
          <w:tcPr>
            <w:tcW w:w="380" w:type="dxa"/>
            <w:vAlign w:val="bottom"/>
            <w:gridSpan w:val="2"/>
          </w:tcPr>
          <w:p>
            <w:pPr>
              <w:jc w:val="right"/>
              <w:spacing w:after="0" w:line="201" w:lineRule="exact"/>
              <w:rPr>
                <w:sz w:val="20"/>
                <w:szCs w:val="20"/>
                <w:color w:val="auto"/>
              </w:rPr>
            </w:pPr>
            <w:r>
              <w:rPr>
                <w:rFonts w:ascii="Arial" w:cs="Arial" w:eastAsia="Arial" w:hAnsi="Arial"/>
                <w:sz w:val="19"/>
                <w:szCs w:val="19"/>
                <w:color w:val="FF0000"/>
                <w:strike w:val="1"/>
              </w:rPr>
              <w:t>124</w:t>
            </w:r>
          </w:p>
        </w:tc>
        <w:tc>
          <w:tcPr>
            <w:tcW w:w="280" w:type="dxa"/>
            <w:vAlign w:val="bottom"/>
            <w:tcBorders>
              <w:bottom w:val="single" w:sz="8" w:color="0000FF"/>
            </w:tcBorders>
            <w:gridSpan w:val="2"/>
          </w:tcPr>
          <w:p>
            <w:pPr>
              <w:jc w:val="right"/>
              <w:spacing w:after="0" w:line="201" w:lineRule="exact"/>
              <w:rPr>
                <w:sz w:val="20"/>
                <w:szCs w:val="20"/>
                <w:color w:val="auto"/>
              </w:rPr>
            </w:pPr>
            <w:r>
              <w:rPr>
                <w:rFonts w:ascii="Arial" w:cs="Arial" w:eastAsia="Arial" w:hAnsi="Arial"/>
                <w:sz w:val="19"/>
                <w:szCs w:val="19"/>
                <w:color w:val="0000FF"/>
                <w:w w:val="81"/>
              </w:rPr>
              <w:t>123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26"/>
        </w:trPr>
        <w:tc>
          <w:tcPr>
            <w:tcW w:w="1100" w:type="dxa"/>
            <w:vAlign w:val="bottom"/>
          </w:tcPr>
          <w:p>
            <w:pPr>
              <w:spacing w:after="0"/>
              <w:rPr>
                <w:sz w:val="20"/>
                <w:szCs w:val="20"/>
                <w:color w:val="auto"/>
              </w:rPr>
            </w:pPr>
            <w:r>
              <w:rPr>
                <w:rFonts w:ascii="Arial" w:cs="Arial" w:eastAsia="Arial" w:hAnsi="Arial"/>
                <w:sz w:val="19"/>
                <w:szCs w:val="19"/>
                <w:color w:val="auto"/>
                <w:w w:val="97"/>
              </w:rPr>
              <w:t>Section 5.10.</w:t>
            </w:r>
          </w:p>
        </w:tc>
        <w:tc>
          <w:tcPr>
            <w:tcW w:w="1980" w:type="dxa"/>
            <w:vAlign w:val="bottom"/>
            <w:gridSpan w:val="7"/>
          </w:tcPr>
          <w:p>
            <w:pPr>
              <w:ind w:left="100"/>
              <w:spacing w:after="0"/>
              <w:rPr>
                <w:sz w:val="20"/>
                <w:szCs w:val="20"/>
                <w:color w:val="auto"/>
              </w:rPr>
            </w:pPr>
            <w:r>
              <w:rPr>
                <w:rFonts w:ascii="Arial" w:cs="Arial" w:eastAsia="Arial" w:hAnsi="Arial"/>
                <w:sz w:val="19"/>
                <w:szCs w:val="19"/>
                <w:i w:val="1"/>
                <w:iCs w:val="1"/>
                <w:color w:val="auto"/>
              </w:rPr>
              <w:t xml:space="preserve">Use of Proceeds  </w:t>
            </w:r>
            <w:r>
              <w:rPr>
                <w:rFonts w:ascii="Arial" w:cs="Arial" w:eastAsia="Arial" w:hAnsi="Arial"/>
                <w:sz w:val="19"/>
                <w:szCs w:val="19"/>
                <w:color w:val="auto"/>
              </w:rPr>
              <w:t>124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5.11.</w:t>
            </w:r>
          </w:p>
        </w:tc>
        <w:tc>
          <w:tcPr>
            <w:tcW w:w="1980" w:type="dxa"/>
            <w:vAlign w:val="bottom"/>
            <w:gridSpan w:val="7"/>
          </w:tcPr>
          <w:p>
            <w:pPr>
              <w:ind w:left="100"/>
              <w:spacing w:after="0"/>
              <w:rPr>
                <w:sz w:val="20"/>
                <w:szCs w:val="20"/>
                <w:color w:val="auto"/>
              </w:rPr>
            </w:pPr>
            <w:r>
              <w:rPr>
                <w:rFonts w:ascii="Arial" w:cs="Arial" w:eastAsia="Arial" w:hAnsi="Arial"/>
                <w:sz w:val="19"/>
                <w:szCs w:val="19"/>
                <w:i w:val="1"/>
                <w:iCs w:val="1"/>
                <w:color w:val="auto"/>
                <w:w w:val="96"/>
              </w:rPr>
              <w:t>Additional Subsidiaries</w:t>
            </w:r>
          </w:p>
        </w:tc>
        <w:tc>
          <w:tcPr>
            <w:tcW w:w="440" w:type="dxa"/>
            <w:vAlign w:val="bottom"/>
            <w:gridSpan w:val="3"/>
          </w:tcPr>
          <w:p>
            <w:pPr>
              <w:jc w:val="right"/>
              <w:spacing w:after="0"/>
              <w:rPr>
                <w:sz w:val="20"/>
                <w:szCs w:val="20"/>
                <w:color w:val="auto"/>
              </w:rPr>
            </w:pPr>
            <w:r>
              <w:rPr>
                <w:rFonts w:ascii="Arial" w:cs="Arial" w:eastAsia="Arial" w:hAnsi="Arial"/>
                <w:sz w:val="19"/>
                <w:szCs w:val="19"/>
                <w:color w:val="auto"/>
              </w:rPr>
              <w:t>124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5.12.</w:t>
            </w:r>
          </w:p>
        </w:tc>
        <w:tc>
          <w:tcPr>
            <w:tcW w:w="1760" w:type="dxa"/>
            <w:vAlign w:val="bottom"/>
            <w:gridSpan w:val="6"/>
          </w:tcPr>
          <w:p>
            <w:pPr>
              <w:ind w:left="100"/>
              <w:spacing w:after="0"/>
              <w:rPr>
                <w:sz w:val="20"/>
                <w:szCs w:val="20"/>
                <w:color w:val="auto"/>
              </w:rPr>
            </w:pPr>
            <w:r>
              <w:rPr>
                <w:rFonts w:ascii="Arial" w:cs="Arial" w:eastAsia="Arial" w:hAnsi="Arial"/>
                <w:sz w:val="19"/>
                <w:szCs w:val="19"/>
                <w:i w:val="1"/>
                <w:iCs w:val="1"/>
                <w:color w:val="auto"/>
                <w:w w:val="98"/>
              </w:rPr>
              <w:t>Further Assurances</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124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5.13.</w:t>
            </w:r>
          </w:p>
        </w:tc>
        <w:tc>
          <w:tcPr>
            <w:tcW w:w="2360" w:type="dxa"/>
            <w:vAlign w:val="bottom"/>
            <w:gridSpan w:val="9"/>
          </w:tcPr>
          <w:p>
            <w:pPr>
              <w:ind w:left="100"/>
              <w:spacing w:after="0"/>
              <w:rPr>
                <w:sz w:val="20"/>
                <w:szCs w:val="20"/>
                <w:color w:val="auto"/>
              </w:rPr>
            </w:pPr>
            <w:r>
              <w:rPr>
                <w:rFonts w:ascii="Arial" w:cs="Arial" w:eastAsia="Arial" w:hAnsi="Arial"/>
                <w:sz w:val="19"/>
                <w:szCs w:val="19"/>
                <w:i w:val="1"/>
                <w:iCs w:val="1"/>
                <w:color w:val="auto"/>
                <w:w w:val="97"/>
              </w:rPr>
              <w:t>Designation of Subsidiaries</w:t>
            </w:r>
          </w:p>
        </w:tc>
        <w:tc>
          <w:tcPr>
            <w:tcW w:w="580" w:type="dxa"/>
            <w:vAlign w:val="bottom"/>
            <w:gridSpan w:val="4"/>
          </w:tcPr>
          <w:p>
            <w:pPr>
              <w:jc w:val="right"/>
              <w:ind w:right="124"/>
              <w:spacing w:after="0"/>
              <w:rPr>
                <w:sz w:val="20"/>
                <w:szCs w:val="20"/>
                <w:color w:val="auto"/>
              </w:rPr>
            </w:pPr>
            <w:r>
              <w:rPr>
                <w:rFonts w:ascii="Arial" w:cs="Arial" w:eastAsia="Arial" w:hAnsi="Arial"/>
                <w:sz w:val="19"/>
                <w:szCs w:val="19"/>
                <w:color w:val="auto"/>
              </w:rPr>
              <w:t>125</w:t>
            </w:r>
          </w:p>
        </w:tc>
        <w:tc>
          <w:tcPr>
            <w:tcW w:w="3500" w:type="dxa"/>
            <w:vAlign w:val="bottom"/>
          </w:tcPr>
          <w:p>
            <w:pPr>
              <w:spacing w:after="0"/>
              <w:rPr>
                <w:sz w:val="19"/>
                <w:szCs w:val="19"/>
                <w:color w:val="auto"/>
              </w:rPr>
            </w:pPr>
          </w:p>
        </w:tc>
      </w:tr>
      <w:tr>
        <w:trPr>
          <w:trHeight w:val="201"/>
        </w:trPr>
        <w:tc>
          <w:tcPr>
            <w:tcW w:w="1100" w:type="dxa"/>
            <w:vAlign w:val="bottom"/>
          </w:tcPr>
          <w:p>
            <w:pPr>
              <w:spacing w:after="0" w:line="201" w:lineRule="exact"/>
              <w:rPr>
                <w:sz w:val="20"/>
                <w:szCs w:val="20"/>
                <w:color w:val="auto"/>
              </w:rPr>
            </w:pPr>
            <w:r>
              <w:rPr>
                <w:rFonts w:ascii="Arial" w:cs="Arial" w:eastAsia="Arial" w:hAnsi="Arial"/>
                <w:sz w:val="19"/>
                <w:szCs w:val="19"/>
                <w:color w:val="auto"/>
                <w:w w:val="97"/>
              </w:rPr>
              <w:t>Section 5.14.</w:t>
            </w:r>
          </w:p>
        </w:tc>
        <w:tc>
          <w:tcPr>
            <w:tcW w:w="1180" w:type="dxa"/>
            <w:vAlign w:val="bottom"/>
            <w:gridSpan w:val="2"/>
          </w:tcPr>
          <w:p>
            <w:pPr>
              <w:ind w:left="100"/>
              <w:spacing w:after="0" w:line="201"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Reserved</w:t>
            </w:r>
            <w:r>
              <w:rPr>
                <w:rFonts w:ascii="Arial" w:cs="Arial" w:eastAsia="Arial" w:hAnsi="Arial"/>
                <w:sz w:val="19"/>
                <w:szCs w:val="19"/>
                <w:color w:val="auto"/>
              </w:rPr>
              <w:t>.]</w:t>
            </w:r>
          </w:p>
        </w:tc>
        <w:tc>
          <w:tcPr>
            <w:tcW w:w="280" w:type="dxa"/>
            <w:vAlign w:val="bottom"/>
            <w:gridSpan w:val="2"/>
          </w:tcPr>
          <w:p>
            <w:pPr>
              <w:spacing w:after="0" w:line="201" w:lineRule="exact"/>
              <w:rPr>
                <w:sz w:val="20"/>
                <w:szCs w:val="20"/>
                <w:color w:val="auto"/>
              </w:rPr>
            </w:pPr>
            <w:r>
              <w:rPr>
                <w:rFonts w:ascii="Arial" w:cs="Arial" w:eastAsia="Arial" w:hAnsi="Arial"/>
                <w:sz w:val="19"/>
                <w:szCs w:val="19"/>
                <w:color w:val="FF0000"/>
                <w:strike w:val="1"/>
                <w:w w:val="81"/>
              </w:rPr>
              <w:t>126</w:t>
            </w:r>
          </w:p>
        </w:tc>
        <w:tc>
          <w:tcPr>
            <w:tcW w:w="300" w:type="dxa"/>
            <w:vAlign w:val="bottom"/>
            <w:tcBorders>
              <w:bottom w:val="single" w:sz="8" w:color="0000FF"/>
            </w:tcBorders>
            <w:gridSpan w:val="2"/>
          </w:tcPr>
          <w:p>
            <w:pPr>
              <w:jc w:val="right"/>
              <w:spacing w:after="0" w:line="201" w:lineRule="exact"/>
              <w:rPr>
                <w:sz w:val="20"/>
                <w:szCs w:val="20"/>
                <w:color w:val="auto"/>
              </w:rPr>
            </w:pPr>
            <w:r>
              <w:rPr>
                <w:rFonts w:ascii="Arial" w:cs="Arial" w:eastAsia="Arial" w:hAnsi="Arial"/>
                <w:sz w:val="19"/>
                <w:szCs w:val="19"/>
                <w:color w:val="0000FF"/>
                <w:w w:val="88"/>
              </w:rPr>
              <w:t>125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3"/>
        </w:trPr>
        <w:tc>
          <w:tcPr>
            <w:tcW w:w="1100" w:type="dxa"/>
            <w:vAlign w:val="bottom"/>
          </w:tcPr>
          <w:p>
            <w:pPr>
              <w:spacing w:after="0" w:line="204" w:lineRule="exact"/>
              <w:rPr>
                <w:sz w:val="20"/>
                <w:szCs w:val="20"/>
                <w:color w:val="auto"/>
              </w:rPr>
            </w:pPr>
            <w:r>
              <w:rPr>
                <w:rFonts w:ascii="Arial" w:cs="Arial" w:eastAsia="Arial" w:hAnsi="Arial"/>
                <w:sz w:val="19"/>
                <w:szCs w:val="19"/>
                <w:color w:val="auto"/>
                <w:w w:val="97"/>
              </w:rPr>
              <w:t>Section 5.15.</w:t>
            </w:r>
          </w:p>
        </w:tc>
        <w:tc>
          <w:tcPr>
            <w:tcW w:w="1980" w:type="dxa"/>
            <w:vAlign w:val="bottom"/>
            <w:gridSpan w:val="7"/>
          </w:tcPr>
          <w:p>
            <w:pPr>
              <w:ind w:left="100"/>
              <w:spacing w:after="0" w:line="204" w:lineRule="exact"/>
              <w:rPr>
                <w:sz w:val="20"/>
                <w:szCs w:val="20"/>
                <w:color w:val="auto"/>
              </w:rPr>
            </w:pPr>
            <w:r>
              <w:rPr>
                <w:rFonts w:ascii="Arial" w:cs="Arial" w:eastAsia="Arial" w:hAnsi="Arial"/>
                <w:sz w:val="19"/>
                <w:szCs w:val="19"/>
                <w:i w:val="1"/>
                <w:iCs w:val="1"/>
                <w:color w:val="auto"/>
                <w:w w:val="93"/>
              </w:rPr>
              <w:t>Maintenance of Ratings</w:t>
            </w:r>
          </w:p>
        </w:tc>
        <w:tc>
          <w:tcPr>
            <w:tcW w:w="160" w:type="dxa"/>
            <w:vAlign w:val="bottom"/>
          </w:tcPr>
          <w:p>
            <w:pPr>
              <w:spacing w:after="0"/>
              <w:rPr>
                <w:sz w:val="17"/>
                <w:szCs w:val="17"/>
                <w:color w:val="auto"/>
              </w:rPr>
            </w:pPr>
          </w:p>
        </w:tc>
        <w:tc>
          <w:tcPr>
            <w:tcW w:w="280" w:type="dxa"/>
            <w:vAlign w:val="bottom"/>
            <w:gridSpan w:val="2"/>
          </w:tcPr>
          <w:p>
            <w:pPr>
              <w:jc w:val="right"/>
              <w:spacing w:after="0" w:line="204" w:lineRule="exact"/>
              <w:rPr>
                <w:sz w:val="20"/>
                <w:szCs w:val="20"/>
                <w:color w:val="auto"/>
              </w:rPr>
            </w:pPr>
            <w:r>
              <w:rPr>
                <w:rFonts w:ascii="Arial" w:cs="Arial" w:eastAsia="Arial" w:hAnsi="Arial"/>
                <w:sz w:val="19"/>
                <w:szCs w:val="19"/>
                <w:color w:val="FF0000"/>
                <w:strike w:val="1"/>
                <w:w w:val="81"/>
              </w:rPr>
              <w:t>126</w:t>
            </w:r>
          </w:p>
        </w:tc>
        <w:tc>
          <w:tcPr>
            <w:tcW w:w="30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9"/>
                <w:szCs w:val="19"/>
                <w:color w:val="0000FF"/>
                <w:w w:val="88"/>
              </w:rPr>
              <w:t>125</w:t>
            </w:r>
          </w:p>
        </w:tc>
        <w:tc>
          <w:tcPr>
            <w:tcW w:w="22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26"/>
        </w:trPr>
        <w:tc>
          <w:tcPr>
            <w:tcW w:w="1100" w:type="dxa"/>
            <w:vAlign w:val="bottom"/>
          </w:tcPr>
          <w:p>
            <w:pPr>
              <w:spacing w:after="0"/>
              <w:rPr>
                <w:sz w:val="20"/>
                <w:szCs w:val="20"/>
                <w:color w:val="auto"/>
              </w:rPr>
            </w:pPr>
            <w:r>
              <w:rPr>
                <w:rFonts w:ascii="Arial" w:cs="Arial" w:eastAsia="Arial" w:hAnsi="Arial"/>
                <w:sz w:val="19"/>
                <w:szCs w:val="19"/>
                <w:color w:val="auto"/>
                <w:w w:val="97"/>
              </w:rPr>
              <w:t>Section 5.16.</w:t>
            </w:r>
          </w:p>
        </w:tc>
        <w:tc>
          <w:tcPr>
            <w:tcW w:w="1060" w:type="dxa"/>
            <w:vAlign w:val="bottom"/>
          </w:tcPr>
          <w:p>
            <w:pPr>
              <w:ind w:left="10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i w:val="1"/>
                <w:iCs w:val="1"/>
                <w:color w:val="auto"/>
                <w:w w:val="96"/>
              </w:rPr>
              <w:t>Reserved</w:t>
            </w:r>
            <w:r>
              <w:rPr>
                <w:rFonts w:ascii="Arial" w:cs="Arial" w:eastAsia="Arial" w:hAnsi="Arial"/>
                <w:sz w:val="19"/>
                <w:szCs w:val="19"/>
                <w:color w:val="auto"/>
                <w:w w:val="96"/>
              </w:rPr>
              <w:t>.]</w:t>
            </w:r>
          </w:p>
        </w:tc>
        <w:tc>
          <w:tcPr>
            <w:tcW w:w="580" w:type="dxa"/>
            <w:vAlign w:val="bottom"/>
            <w:gridSpan w:val="4"/>
          </w:tcPr>
          <w:p>
            <w:pPr>
              <w:ind w:left="120"/>
              <w:spacing w:after="0"/>
              <w:rPr>
                <w:sz w:val="20"/>
                <w:szCs w:val="20"/>
                <w:color w:val="auto"/>
              </w:rPr>
            </w:pPr>
            <w:r>
              <w:rPr>
                <w:rFonts w:ascii="Arial" w:cs="Arial" w:eastAsia="Arial" w:hAnsi="Arial"/>
                <w:sz w:val="19"/>
                <w:szCs w:val="19"/>
                <w:color w:val="auto"/>
              </w:rPr>
              <w:t>126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45"/>
        </w:trPr>
        <w:tc>
          <w:tcPr>
            <w:tcW w:w="1100" w:type="dxa"/>
            <w:vAlign w:val="bottom"/>
          </w:tcPr>
          <w:p>
            <w:pPr>
              <w:spacing w:after="0"/>
              <w:rPr>
                <w:sz w:val="20"/>
                <w:szCs w:val="20"/>
                <w:color w:val="auto"/>
              </w:rPr>
            </w:pPr>
            <w:r>
              <w:rPr>
                <w:rFonts w:ascii="Arial" w:cs="Arial" w:eastAsia="Arial" w:hAnsi="Arial"/>
                <w:sz w:val="19"/>
                <w:szCs w:val="19"/>
                <w:color w:val="auto"/>
                <w:w w:val="97"/>
              </w:rPr>
              <w:t>Section 5.17.</w:t>
            </w:r>
          </w:p>
        </w:tc>
        <w:tc>
          <w:tcPr>
            <w:tcW w:w="1760" w:type="dxa"/>
            <w:vAlign w:val="bottom"/>
            <w:gridSpan w:val="6"/>
          </w:tcPr>
          <w:p>
            <w:pPr>
              <w:ind w:left="100"/>
              <w:spacing w:after="0"/>
              <w:rPr>
                <w:sz w:val="20"/>
                <w:szCs w:val="20"/>
                <w:color w:val="auto"/>
              </w:rPr>
            </w:pPr>
            <w:r>
              <w:rPr>
                <w:rFonts w:ascii="Arial" w:cs="Arial" w:eastAsia="Arial" w:hAnsi="Arial"/>
                <w:sz w:val="19"/>
                <w:szCs w:val="19"/>
                <w:i w:val="1"/>
                <w:iCs w:val="1"/>
                <w:color w:val="auto"/>
              </w:rPr>
              <w:t>Regulatory Matters</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w w:val="94"/>
              </w:rPr>
              <w:t>126</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tcPr>
          <w:p>
            <w:pPr>
              <w:spacing w:after="0"/>
              <w:rPr>
                <w:sz w:val="21"/>
                <w:szCs w:val="2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60" w:type="dxa"/>
            <w:vAlign w:val="bottom"/>
            <w:gridSpan w:val="5"/>
          </w:tcPr>
          <w:p>
            <w:pPr>
              <w:ind w:left="280"/>
              <w:spacing w:after="0"/>
              <w:rPr>
                <w:sz w:val="20"/>
                <w:szCs w:val="20"/>
                <w:color w:val="auto"/>
              </w:rPr>
            </w:pPr>
            <w:r>
              <w:rPr>
                <w:rFonts w:ascii="Arial" w:cs="Arial" w:eastAsia="Arial" w:hAnsi="Arial"/>
                <w:sz w:val="21"/>
                <w:szCs w:val="21"/>
                <w:color w:val="auto"/>
                <w:w w:val="98"/>
              </w:rPr>
              <w:t>ARTICLE 6 NEGATIVE COVENANTS  126</w:t>
            </w:r>
          </w:p>
        </w:tc>
      </w:tr>
      <w:tr>
        <w:trPr>
          <w:trHeight w:val="407"/>
        </w:trPr>
        <w:tc>
          <w:tcPr>
            <w:tcW w:w="1100" w:type="dxa"/>
            <w:vAlign w:val="bottom"/>
          </w:tcPr>
          <w:p>
            <w:pPr>
              <w:spacing w:after="0"/>
              <w:rPr>
                <w:sz w:val="20"/>
                <w:szCs w:val="20"/>
                <w:color w:val="auto"/>
              </w:rPr>
            </w:pPr>
            <w:r>
              <w:rPr>
                <w:rFonts w:ascii="Arial" w:cs="Arial" w:eastAsia="Arial" w:hAnsi="Arial"/>
                <w:sz w:val="19"/>
                <w:szCs w:val="19"/>
                <w:color w:val="auto"/>
                <w:w w:val="97"/>
              </w:rPr>
              <w:t>Section 6.01.</w:t>
            </w:r>
          </w:p>
        </w:tc>
        <w:tc>
          <w:tcPr>
            <w:tcW w:w="6600" w:type="dxa"/>
            <w:vAlign w:val="bottom"/>
            <w:gridSpan w:val="11"/>
          </w:tcPr>
          <w:p>
            <w:pPr>
              <w:ind w:left="100"/>
              <w:spacing w:after="0"/>
              <w:rPr>
                <w:sz w:val="20"/>
                <w:szCs w:val="20"/>
                <w:color w:val="auto"/>
              </w:rPr>
            </w:pPr>
            <w:r>
              <w:rPr>
                <w:rFonts w:ascii="Arial" w:cs="Arial" w:eastAsia="Arial" w:hAnsi="Arial"/>
                <w:sz w:val="19"/>
                <w:szCs w:val="19"/>
                <w:i w:val="1"/>
                <w:iCs w:val="1"/>
                <w:color w:val="auto"/>
              </w:rPr>
              <w:t xml:space="preserve">Indebtedness; Certain Equity Securities  </w:t>
            </w:r>
            <w:r>
              <w:rPr>
                <w:rFonts w:ascii="Arial" w:cs="Arial" w:eastAsia="Arial" w:hAnsi="Arial"/>
                <w:sz w:val="19"/>
                <w:szCs w:val="19"/>
                <w:color w:val="auto"/>
              </w:rPr>
              <w:t>126</w:t>
            </w: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6.02.</w:t>
            </w:r>
          </w:p>
        </w:tc>
        <w:tc>
          <w:tcPr>
            <w:tcW w:w="1480" w:type="dxa"/>
            <w:vAlign w:val="bottom"/>
            <w:gridSpan w:val="3"/>
          </w:tcPr>
          <w:p>
            <w:pPr>
              <w:ind w:left="100"/>
              <w:spacing w:after="0"/>
              <w:rPr>
                <w:sz w:val="20"/>
                <w:szCs w:val="20"/>
                <w:color w:val="auto"/>
              </w:rPr>
            </w:pPr>
            <w:r>
              <w:rPr>
                <w:rFonts w:ascii="Arial" w:cs="Arial" w:eastAsia="Arial" w:hAnsi="Arial"/>
                <w:sz w:val="19"/>
                <w:szCs w:val="19"/>
                <w:i w:val="1"/>
                <w:iCs w:val="1"/>
                <w:color w:val="auto"/>
              </w:rPr>
              <w:t xml:space="preserve">Liens  </w:t>
            </w:r>
            <w:r>
              <w:rPr>
                <w:rFonts w:ascii="Arial" w:cs="Arial" w:eastAsia="Arial" w:hAnsi="Arial"/>
                <w:sz w:val="19"/>
                <w:szCs w:val="19"/>
                <w:color w:val="auto"/>
              </w:rPr>
              <w:t>131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6.03.</w:t>
            </w:r>
          </w:p>
        </w:tc>
        <w:tc>
          <w:tcPr>
            <w:tcW w:w="2000" w:type="dxa"/>
            <w:vAlign w:val="bottom"/>
            <w:gridSpan w:val="5"/>
          </w:tcPr>
          <w:p>
            <w:pPr>
              <w:ind w:left="100"/>
              <w:spacing w:after="0"/>
              <w:rPr>
                <w:sz w:val="20"/>
                <w:szCs w:val="20"/>
                <w:color w:val="auto"/>
              </w:rPr>
            </w:pPr>
            <w:r>
              <w:rPr>
                <w:rFonts w:ascii="Arial" w:cs="Arial" w:eastAsia="Arial" w:hAnsi="Arial"/>
                <w:sz w:val="19"/>
                <w:szCs w:val="19"/>
                <w:i w:val="1"/>
                <w:iCs w:val="1"/>
                <w:color w:val="auto"/>
                <w:w w:val="97"/>
              </w:rPr>
              <w:t>Fundamental Changes</w:t>
            </w:r>
          </w:p>
        </w:tc>
        <w:tc>
          <w:tcPr>
            <w:tcW w:w="340" w:type="dxa"/>
            <w:vAlign w:val="bottom"/>
          </w:tcPr>
          <w:p>
            <w:pPr>
              <w:jc w:val="right"/>
              <w:spacing w:after="0"/>
              <w:rPr>
                <w:sz w:val="20"/>
                <w:szCs w:val="20"/>
                <w:color w:val="auto"/>
              </w:rPr>
            </w:pPr>
            <w:r>
              <w:rPr>
                <w:rFonts w:ascii="Arial" w:cs="Arial" w:eastAsia="Arial" w:hAnsi="Arial"/>
                <w:sz w:val="19"/>
                <w:szCs w:val="19"/>
                <w:color w:val="auto"/>
              </w:rPr>
              <w:t>134</w:t>
            </w: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1"/>
        </w:trPr>
        <w:tc>
          <w:tcPr>
            <w:tcW w:w="1100" w:type="dxa"/>
            <w:vAlign w:val="bottom"/>
          </w:tcPr>
          <w:p>
            <w:pPr>
              <w:spacing w:after="0" w:line="201" w:lineRule="exact"/>
              <w:rPr>
                <w:sz w:val="20"/>
                <w:szCs w:val="20"/>
                <w:color w:val="auto"/>
              </w:rPr>
            </w:pPr>
            <w:r>
              <w:rPr>
                <w:rFonts w:ascii="Arial" w:cs="Arial" w:eastAsia="Arial" w:hAnsi="Arial"/>
                <w:sz w:val="19"/>
                <w:szCs w:val="19"/>
                <w:color w:val="auto"/>
                <w:w w:val="97"/>
              </w:rPr>
              <w:t>Section 6.04.</w:t>
            </w:r>
          </w:p>
        </w:tc>
        <w:tc>
          <w:tcPr>
            <w:tcW w:w="4940" w:type="dxa"/>
            <w:vAlign w:val="bottom"/>
            <w:gridSpan w:val="8"/>
          </w:tcPr>
          <w:p>
            <w:pPr>
              <w:ind w:left="100"/>
              <w:spacing w:after="0" w:line="201" w:lineRule="exact"/>
              <w:rPr>
                <w:sz w:val="20"/>
                <w:szCs w:val="20"/>
                <w:color w:val="auto"/>
              </w:rPr>
            </w:pPr>
            <w:r>
              <w:rPr>
                <w:rFonts w:ascii="Arial" w:cs="Arial" w:eastAsia="Arial" w:hAnsi="Arial"/>
                <w:sz w:val="19"/>
                <w:szCs w:val="19"/>
                <w:i w:val="1"/>
                <w:iCs w:val="1"/>
                <w:color w:val="auto"/>
                <w:w w:val="94"/>
              </w:rPr>
              <w:t>Investments, Loans, Advances, Guarantees and Acquisitions</w:t>
            </w:r>
          </w:p>
        </w:tc>
        <w:tc>
          <w:tcPr>
            <w:tcW w:w="280" w:type="dxa"/>
            <w:vAlign w:val="bottom"/>
          </w:tcPr>
          <w:p>
            <w:pPr>
              <w:jc w:val="right"/>
              <w:spacing w:after="0" w:line="201" w:lineRule="exact"/>
              <w:rPr>
                <w:sz w:val="20"/>
                <w:szCs w:val="20"/>
                <w:color w:val="auto"/>
              </w:rPr>
            </w:pPr>
            <w:r>
              <w:rPr>
                <w:rFonts w:ascii="Arial" w:cs="Arial" w:eastAsia="Arial" w:hAnsi="Arial"/>
                <w:sz w:val="19"/>
                <w:szCs w:val="19"/>
                <w:color w:val="FF0000"/>
                <w:strike w:val="1"/>
                <w:w w:val="81"/>
              </w:rPr>
              <w:t>138</w:t>
            </w:r>
          </w:p>
        </w:tc>
        <w:tc>
          <w:tcPr>
            <w:tcW w:w="300" w:type="dxa"/>
            <w:vAlign w:val="bottom"/>
            <w:tcBorders>
              <w:bottom w:val="single" w:sz="8" w:color="0000FF"/>
            </w:tcBorders>
          </w:tcPr>
          <w:p>
            <w:pPr>
              <w:jc w:val="right"/>
              <w:spacing w:after="0" w:line="201" w:lineRule="exact"/>
              <w:rPr>
                <w:sz w:val="20"/>
                <w:szCs w:val="20"/>
                <w:color w:val="auto"/>
              </w:rPr>
            </w:pPr>
            <w:r>
              <w:rPr>
                <w:rFonts w:ascii="Arial" w:cs="Arial" w:eastAsia="Arial" w:hAnsi="Arial"/>
                <w:sz w:val="19"/>
                <w:szCs w:val="19"/>
                <w:color w:val="0000FF"/>
                <w:w w:val="88"/>
              </w:rPr>
              <w:t>137</w:t>
            </w:r>
          </w:p>
        </w:tc>
        <w:tc>
          <w:tcPr>
            <w:tcW w:w="1080" w:type="dxa"/>
            <w:vAlign w:val="bottom"/>
          </w:tcPr>
          <w:p>
            <w:pPr>
              <w:spacing w:after="0"/>
              <w:rPr>
                <w:sz w:val="17"/>
                <w:szCs w:val="17"/>
                <w:color w:val="auto"/>
              </w:rPr>
            </w:pPr>
          </w:p>
        </w:tc>
      </w:tr>
      <w:tr>
        <w:trPr>
          <w:trHeight w:val="203"/>
        </w:trPr>
        <w:tc>
          <w:tcPr>
            <w:tcW w:w="1100" w:type="dxa"/>
            <w:vAlign w:val="bottom"/>
          </w:tcPr>
          <w:p>
            <w:pPr>
              <w:spacing w:after="0" w:line="204" w:lineRule="exact"/>
              <w:rPr>
                <w:sz w:val="20"/>
                <w:szCs w:val="20"/>
                <w:color w:val="auto"/>
              </w:rPr>
            </w:pPr>
            <w:r>
              <w:rPr>
                <w:rFonts w:ascii="Arial" w:cs="Arial" w:eastAsia="Arial" w:hAnsi="Arial"/>
                <w:sz w:val="19"/>
                <w:szCs w:val="19"/>
                <w:color w:val="auto"/>
                <w:w w:val="97"/>
              </w:rPr>
              <w:t>Section 6.05.</w:t>
            </w:r>
          </w:p>
        </w:tc>
        <w:tc>
          <w:tcPr>
            <w:tcW w:w="1160" w:type="dxa"/>
            <w:vAlign w:val="bottom"/>
          </w:tcPr>
          <w:p>
            <w:pPr>
              <w:ind w:left="100"/>
              <w:spacing w:after="0" w:line="204" w:lineRule="exact"/>
              <w:rPr>
                <w:sz w:val="20"/>
                <w:szCs w:val="20"/>
                <w:color w:val="auto"/>
              </w:rPr>
            </w:pPr>
            <w:r>
              <w:rPr>
                <w:rFonts w:ascii="Arial" w:cs="Arial" w:eastAsia="Arial" w:hAnsi="Arial"/>
                <w:sz w:val="19"/>
                <w:szCs w:val="19"/>
                <w:i w:val="1"/>
                <w:iCs w:val="1"/>
                <w:color w:val="auto"/>
              </w:rPr>
              <w:t>Asset Sales</w:t>
            </w:r>
          </w:p>
        </w:tc>
        <w:tc>
          <w:tcPr>
            <w:tcW w:w="280" w:type="dxa"/>
            <w:vAlign w:val="bottom"/>
          </w:tcPr>
          <w:p>
            <w:pPr>
              <w:jc w:val="right"/>
              <w:spacing w:after="0" w:line="204" w:lineRule="exact"/>
              <w:rPr>
                <w:sz w:val="20"/>
                <w:szCs w:val="20"/>
                <w:color w:val="auto"/>
              </w:rPr>
            </w:pPr>
            <w:r>
              <w:rPr>
                <w:rFonts w:ascii="Arial" w:cs="Arial" w:eastAsia="Arial" w:hAnsi="Arial"/>
                <w:sz w:val="19"/>
                <w:szCs w:val="19"/>
                <w:color w:val="FF0000"/>
                <w:strike w:val="1"/>
                <w:w w:val="81"/>
              </w:rPr>
              <w:t>141</w:t>
            </w:r>
          </w:p>
        </w:tc>
        <w:tc>
          <w:tcPr>
            <w:tcW w:w="30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9"/>
                <w:szCs w:val="19"/>
                <w:color w:val="0000FF"/>
                <w:w w:val="88"/>
              </w:rPr>
              <w:t>140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6"/>
        </w:trPr>
        <w:tc>
          <w:tcPr>
            <w:tcW w:w="1100" w:type="dxa"/>
            <w:vAlign w:val="bottom"/>
          </w:tcPr>
          <w:p>
            <w:pPr>
              <w:spacing w:after="0"/>
              <w:rPr>
                <w:sz w:val="20"/>
                <w:szCs w:val="20"/>
                <w:color w:val="auto"/>
              </w:rPr>
            </w:pPr>
            <w:r>
              <w:rPr>
                <w:rFonts w:ascii="Arial" w:cs="Arial" w:eastAsia="Arial" w:hAnsi="Arial"/>
                <w:sz w:val="19"/>
                <w:szCs w:val="19"/>
                <w:color w:val="auto"/>
                <w:w w:val="97"/>
              </w:rPr>
              <w:t>Section 6.06.</w:t>
            </w:r>
          </w:p>
        </w:tc>
        <w:tc>
          <w:tcPr>
            <w:tcW w:w="2740" w:type="dxa"/>
            <w:vAlign w:val="bottom"/>
            <w:gridSpan w:val="7"/>
          </w:tcPr>
          <w:p>
            <w:pPr>
              <w:ind w:left="100"/>
              <w:spacing w:after="0"/>
              <w:rPr>
                <w:sz w:val="20"/>
                <w:szCs w:val="20"/>
                <w:color w:val="auto"/>
              </w:rPr>
            </w:pPr>
            <w:r>
              <w:rPr>
                <w:rFonts w:ascii="Arial" w:cs="Arial" w:eastAsia="Arial" w:hAnsi="Arial"/>
                <w:sz w:val="19"/>
                <w:szCs w:val="19"/>
                <w:i w:val="1"/>
                <w:iCs w:val="1"/>
                <w:color w:val="auto"/>
                <w:w w:val="91"/>
              </w:rPr>
              <w:t>Sale and Leaseback Transactions</w:t>
            </w:r>
          </w:p>
        </w:tc>
        <w:tc>
          <w:tcPr>
            <w:tcW w:w="2200" w:type="dxa"/>
            <w:vAlign w:val="bottom"/>
          </w:tcPr>
          <w:p>
            <w:pPr>
              <w:jc w:val="right"/>
              <w:ind w:right="1684"/>
              <w:spacing w:after="0"/>
              <w:rPr>
                <w:sz w:val="20"/>
                <w:szCs w:val="20"/>
                <w:color w:val="auto"/>
              </w:rPr>
            </w:pPr>
            <w:r>
              <w:rPr>
                <w:rFonts w:ascii="Arial" w:cs="Arial" w:eastAsia="Arial" w:hAnsi="Arial"/>
                <w:sz w:val="19"/>
                <w:szCs w:val="19"/>
                <w:color w:val="auto"/>
              </w:rPr>
              <w:t>143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6.07.</w:t>
            </w:r>
          </w:p>
        </w:tc>
        <w:tc>
          <w:tcPr>
            <w:tcW w:w="1480" w:type="dxa"/>
            <w:vAlign w:val="bottom"/>
            <w:gridSpan w:val="3"/>
          </w:tcPr>
          <w:p>
            <w:pPr>
              <w:ind w:left="100"/>
              <w:spacing w:after="0"/>
              <w:rPr>
                <w:sz w:val="20"/>
                <w:szCs w:val="20"/>
                <w:color w:val="auto"/>
              </w:rPr>
            </w:pPr>
            <w:r>
              <w:rPr>
                <w:rFonts w:ascii="Arial" w:cs="Arial" w:eastAsia="Arial" w:hAnsi="Arial"/>
                <w:sz w:val="19"/>
                <w:szCs w:val="19"/>
                <w:i w:val="1"/>
                <w:iCs w:val="1"/>
                <w:color w:val="auto"/>
                <w:w w:val="87"/>
              </w:rPr>
              <w:t>Swap Agreements</w:t>
            </w:r>
          </w:p>
        </w:tc>
        <w:tc>
          <w:tcPr>
            <w:tcW w:w="520" w:type="dxa"/>
            <w:vAlign w:val="bottom"/>
            <w:gridSpan w:val="2"/>
          </w:tcPr>
          <w:p>
            <w:pPr>
              <w:jc w:val="right"/>
              <w:ind w:right="40"/>
              <w:spacing w:after="0"/>
              <w:rPr>
                <w:sz w:val="20"/>
                <w:szCs w:val="20"/>
                <w:color w:val="auto"/>
              </w:rPr>
            </w:pPr>
            <w:r>
              <w:rPr>
                <w:rFonts w:ascii="Arial" w:cs="Arial" w:eastAsia="Arial" w:hAnsi="Arial"/>
                <w:sz w:val="19"/>
                <w:szCs w:val="19"/>
                <w:color w:val="auto"/>
              </w:rPr>
              <w:t>143</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6.08.</w:t>
            </w:r>
          </w:p>
        </w:tc>
        <w:tc>
          <w:tcPr>
            <w:tcW w:w="6600" w:type="dxa"/>
            <w:vAlign w:val="bottom"/>
            <w:gridSpan w:val="11"/>
          </w:tcPr>
          <w:p>
            <w:pPr>
              <w:ind w:left="100"/>
              <w:spacing w:after="0"/>
              <w:rPr>
                <w:sz w:val="20"/>
                <w:szCs w:val="20"/>
                <w:color w:val="auto"/>
              </w:rPr>
            </w:pPr>
            <w:r>
              <w:rPr>
                <w:rFonts w:ascii="Arial" w:cs="Arial" w:eastAsia="Arial" w:hAnsi="Arial"/>
                <w:sz w:val="19"/>
                <w:szCs w:val="19"/>
                <w:i w:val="1"/>
                <w:iCs w:val="1"/>
                <w:color w:val="auto"/>
              </w:rPr>
              <w:t xml:space="preserve">Restricted Payments; Certain Payments of Indebtedness  </w:t>
            </w:r>
            <w:r>
              <w:rPr>
                <w:rFonts w:ascii="Arial" w:cs="Arial" w:eastAsia="Arial" w:hAnsi="Arial"/>
                <w:sz w:val="19"/>
                <w:szCs w:val="19"/>
                <w:color w:val="auto"/>
              </w:rPr>
              <w:t>143</w:t>
            </w: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6.09.</w:t>
            </w:r>
          </w:p>
        </w:tc>
        <w:tc>
          <w:tcPr>
            <w:tcW w:w="2340" w:type="dxa"/>
            <w:vAlign w:val="bottom"/>
            <w:gridSpan w:val="6"/>
          </w:tcPr>
          <w:p>
            <w:pPr>
              <w:ind w:left="100"/>
              <w:spacing w:after="0"/>
              <w:rPr>
                <w:sz w:val="20"/>
                <w:szCs w:val="20"/>
                <w:color w:val="auto"/>
              </w:rPr>
            </w:pPr>
            <w:r>
              <w:rPr>
                <w:rFonts w:ascii="Arial" w:cs="Arial" w:eastAsia="Arial" w:hAnsi="Arial"/>
                <w:sz w:val="19"/>
                <w:szCs w:val="19"/>
                <w:i w:val="1"/>
                <w:iCs w:val="1"/>
                <w:color w:val="auto"/>
                <w:w w:val="98"/>
              </w:rPr>
              <w:t>Transactions with Affiliates</w:t>
            </w:r>
          </w:p>
        </w:tc>
        <w:tc>
          <w:tcPr>
            <w:tcW w:w="400" w:type="dxa"/>
            <w:vAlign w:val="bottom"/>
          </w:tcPr>
          <w:p>
            <w:pPr>
              <w:jc w:val="right"/>
              <w:spacing w:after="0"/>
              <w:rPr>
                <w:sz w:val="20"/>
                <w:szCs w:val="20"/>
                <w:color w:val="auto"/>
              </w:rPr>
            </w:pPr>
            <w:r>
              <w:rPr>
                <w:rFonts w:ascii="Arial" w:cs="Arial" w:eastAsia="Arial" w:hAnsi="Arial"/>
                <w:sz w:val="19"/>
                <w:szCs w:val="19"/>
                <w:color w:val="auto"/>
              </w:rPr>
              <w:t>148</w:t>
            </w: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6.10.</w:t>
            </w:r>
          </w:p>
        </w:tc>
        <w:tc>
          <w:tcPr>
            <w:tcW w:w="2000" w:type="dxa"/>
            <w:vAlign w:val="bottom"/>
            <w:gridSpan w:val="5"/>
          </w:tcPr>
          <w:p>
            <w:pPr>
              <w:ind w:left="100"/>
              <w:spacing w:after="0"/>
              <w:rPr>
                <w:sz w:val="20"/>
                <w:szCs w:val="20"/>
                <w:color w:val="auto"/>
              </w:rPr>
            </w:pPr>
            <w:r>
              <w:rPr>
                <w:rFonts w:ascii="Arial" w:cs="Arial" w:eastAsia="Arial" w:hAnsi="Arial"/>
                <w:sz w:val="19"/>
                <w:szCs w:val="19"/>
                <w:i w:val="1"/>
                <w:iCs w:val="1"/>
                <w:color w:val="auto"/>
                <w:w w:val="95"/>
              </w:rPr>
              <w:t>Restrictive Agreements</w:t>
            </w:r>
          </w:p>
        </w:tc>
        <w:tc>
          <w:tcPr>
            <w:tcW w:w="740" w:type="dxa"/>
            <w:vAlign w:val="bottom"/>
            <w:gridSpan w:val="2"/>
          </w:tcPr>
          <w:p>
            <w:pPr>
              <w:jc w:val="right"/>
              <w:ind w:right="281"/>
              <w:spacing w:after="0"/>
              <w:rPr>
                <w:sz w:val="20"/>
                <w:szCs w:val="20"/>
                <w:color w:val="auto"/>
              </w:rPr>
            </w:pPr>
            <w:r>
              <w:rPr>
                <w:rFonts w:ascii="Arial" w:cs="Arial" w:eastAsia="Arial" w:hAnsi="Arial"/>
                <w:sz w:val="19"/>
                <w:szCs w:val="19"/>
                <w:color w:val="auto"/>
              </w:rPr>
              <w:t>149</w:t>
            </w: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6.11.</w:t>
            </w:r>
          </w:p>
        </w:tc>
        <w:tc>
          <w:tcPr>
            <w:tcW w:w="2740" w:type="dxa"/>
            <w:vAlign w:val="bottom"/>
            <w:gridSpan w:val="7"/>
          </w:tcPr>
          <w:p>
            <w:pPr>
              <w:ind w:left="100"/>
              <w:spacing w:after="0"/>
              <w:rPr>
                <w:sz w:val="20"/>
                <w:szCs w:val="20"/>
                <w:color w:val="auto"/>
              </w:rPr>
            </w:pPr>
            <w:r>
              <w:rPr>
                <w:rFonts w:ascii="Arial" w:cs="Arial" w:eastAsia="Arial" w:hAnsi="Arial"/>
                <w:sz w:val="19"/>
                <w:szCs w:val="19"/>
                <w:i w:val="1"/>
                <w:iCs w:val="1"/>
                <w:color w:val="auto"/>
                <w:w w:val="97"/>
              </w:rPr>
              <w:t>Amendment of Junior Financing</w:t>
            </w:r>
          </w:p>
        </w:tc>
        <w:tc>
          <w:tcPr>
            <w:tcW w:w="2200" w:type="dxa"/>
            <w:vAlign w:val="bottom"/>
          </w:tcPr>
          <w:p>
            <w:pPr>
              <w:jc w:val="right"/>
              <w:ind w:right="1764"/>
              <w:spacing w:after="0"/>
              <w:rPr>
                <w:sz w:val="20"/>
                <w:szCs w:val="20"/>
                <w:color w:val="auto"/>
              </w:rPr>
            </w:pPr>
            <w:r>
              <w:rPr>
                <w:rFonts w:ascii="Arial" w:cs="Arial" w:eastAsia="Arial" w:hAnsi="Arial"/>
                <w:sz w:val="19"/>
                <w:szCs w:val="19"/>
                <w:color w:val="auto"/>
              </w:rPr>
              <w:t>150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6.12.</w:t>
            </w:r>
          </w:p>
        </w:tc>
        <w:tc>
          <w:tcPr>
            <w:tcW w:w="2000" w:type="dxa"/>
            <w:vAlign w:val="bottom"/>
            <w:gridSpan w:val="5"/>
          </w:tcPr>
          <w:p>
            <w:pPr>
              <w:ind w:left="100"/>
              <w:spacing w:after="0"/>
              <w:rPr>
                <w:sz w:val="20"/>
                <w:szCs w:val="20"/>
                <w:color w:val="auto"/>
              </w:rPr>
            </w:pPr>
            <w:r>
              <w:rPr>
                <w:rFonts w:ascii="Arial" w:cs="Arial" w:eastAsia="Arial" w:hAnsi="Arial"/>
                <w:sz w:val="19"/>
                <w:szCs w:val="19"/>
                <w:i w:val="1"/>
                <w:iCs w:val="1"/>
                <w:color w:val="auto"/>
                <w:w w:val="93"/>
              </w:rPr>
              <w:t>Interest Coverage Ratio</w:t>
            </w:r>
          </w:p>
        </w:tc>
        <w:tc>
          <w:tcPr>
            <w:tcW w:w="740" w:type="dxa"/>
            <w:vAlign w:val="bottom"/>
            <w:gridSpan w:val="2"/>
          </w:tcPr>
          <w:p>
            <w:pPr>
              <w:jc w:val="right"/>
              <w:ind w:right="221"/>
              <w:spacing w:after="0"/>
              <w:rPr>
                <w:sz w:val="20"/>
                <w:szCs w:val="20"/>
                <w:color w:val="auto"/>
              </w:rPr>
            </w:pPr>
            <w:r>
              <w:rPr>
                <w:rFonts w:ascii="Arial" w:cs="Arial" w:eastAsia="Arial" w:hAnsi="Arial"/>
                <w:sz w:val="19"/>
                <w:szCs w:val="19"/>
                <w:color w:val="auto"/>
              </w:rPr>
              <w:t>150</w:t>
            </w: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6.13.</w:t>
            </w:r>
          </w:p>
        </w:tc>
        <w:tc>
          <w:tcPr>
            <w:tcW w:w="1480" w:type="dxa"/>
            <w:vAlign w:val="bottom"/>
            <w:gridSpan w:val="3"/>
          </w:tcPr>
          <w:p>
            <w:pPr>
              <w:ind w:left="100"/>
              <w:spacing w:after="0"/>
              <w:rPr>
                <w:sz w:val="20"/>
                <w:szCs w:val="20"/>
                <w:color w:val="auto"/>
              </w:rPr>
            </w:pPr>
            <w:r>
              <w:rPr>
                <w:rFonts w:ascii="Arial" w:cs="Arial" w:eastAsia="Arial" w:hAnsi="Arial"/>
                <w:sz w:val="19"/>
                <w:szCs w:val="19"/>
                <w:i w:val="1"/>
                <w:iCs w:val="1"/>
                <w:color w:val="auto"/>
              </w:rPr>
              <w:t>Leverage Ratio</w:t>
            </w:r>
          </w:p>
        </w:tc>
        <w:tc>
          <w:tcPr>
            <w:tcW w:w="520" w:type="dxa"/>
            <w:vAlign w:val="bottom"/>
            <w:gridSpan w:val="2"/>
          </w:tcPr>
          <w:p>
            <w:pPr>
              <w:jc w:val="right"/>
              <w:ind w:right="240"/>
              <w:spacing w:after="0"/>
              <w:rPr>
                <w:sz w:val="20"/>
                <w:szCs w:val="20"/>
                <w:color w:val="auto"/>
              </w:rPr>
            </w:pPr>
            <w:r>
              <w:rPr>
                <w:rFonts w:ascii="Arial" w:cs="Arial" w:eastAsia="Arial" w:hAnsi="Arial"/>
                <w:sz w:val="19"/>
                <w:szCs w:val="19"/>
                <w:color w:val="auto"/>
                <w:w w:val="81"/>
              </w:rPr>
              <w:t>150</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9"/>
                <w:szCs w:val="19"/>
                <w:color w:val="auto"/>
                <w:w w:val="97"/>
              </w:rPr>
              <w:t>Section 6.14.</w:t>
            </w:r>
          </w:p>
        </w:tc>
        <w:tc>
          <w:tcPr>
            <w:tcW w:w="1480" w:type="dxa"/>
            <w:vAlign w:val="bottom"/>
            <w:gridSpan w:val="3"/>
          </w:tcPr>
          <w:p>
            <w:pPr>
              <w:ind w:left="100"/>
              <w:spacing w:after="0"/>
              <w:rPr>
                <w:sz w:val="20"/>
                <w:szCs w:val="20"/>
                <w:color w:val="auto"/>
              </w:rPr>
            </w:pPr>
            <w:r>
              <w:rPr>
                <w:rFonts w:ascii="Arial" w:cs="Arial" w:eastAsia="Arial" w:hAnsi="Arial"/>
                <w:sz w:val="19"/>
                <w:szCs w:val="19"/>
                <w:i w:val="1"/>
                <w:iCs w:val="1"/>
                <w:color w:val="auto"/>
              </w:rPr>
              <w:t>Equity Interests</w:t>
            </w:r>
          </w:p>
        </w:tc>
        <w:tc>
          <w:tcPr>
            <w:tcW w:w="520" w:type="dxa"/>
            <w:vAlign w:val="bottom"/>
            <w:gridSpan w:val="2"/>
          </w:tcPr>
          <w:p>
            <w:pPr>
              <w:jc w:val="right"/>
              <w:ind w:right="200"/>
              <w:spacing w:after="0"/>
              <w:rPr>
                <w:sz w:val="20"/>
                <w:szCs w:val="20"/>
                <w:color w:val="auto"/>
              </w:rPr>
            </w:pPr>
            <w:r>
              <w:rPr>
                <w:rFonts w:ascii="Arial" w:cs="Arial" w:eastAsia="Arial" w:hAnsi="Arial"/>
                <w:sz w:val="19"/>
                <w:szCs w:val="19"/>
                <w:color w:val="auto"/>
                <w:w w:val="94"/>
              </w:rPr>
              <w:t>150</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1100" w:type="dxa"/>
            <w:vAlign w:val="bottom"/>
          </w:tcPr>
          <w:p>
            <w:pPr>
              <w:spacing w:after="0"/>
              <w:rPr>
                <w:sz w:val="20"/>
                <w:szCs w:val="20"/>
                <w:color w:val="auto"/>
              </w:rPr>
            </w:pPr>
            <w:r>
              <w:rPr>
                <w:rFonts w:ascii="Arial" w:cs="Arial" w:eastAsia="Arial" w:hAnsi="Arial"/>
                <w:sz w:val="19"/>
                <w:szCs w:val="19"/>
                <w:color w:val="auto"/>
                <w:w w:val="97"/>
              </w:rPr>
              <w:t>Section 6.15.</w:t>
            </w:r>
          </w:p>
        </w:tc>
        <w:tc>
          <w:tcPr>
            <w:tcW w:w="2340" w:type="dxa"/>
            <w:vAlign w:val="bottom"/>
            <w:gridSpan w:val="6"/>
          </w:tcPr>
          <w:p>
            <w:pPr>
              <w:ind w:left="100"/>
              <w:spacing w:after="0"/>
              <w:rPr>
                <w:sz w:val="20"/>
                <w:szCs w:val="20"/>
                <w:color w:val="auto"/>
              </w:rPr>
            </w:pPr>
            <w:r>
              <w:rPr>
                <w:rFonts w:ascii="Arial" w:cs="Arial" w:eastAsia="Arial" w:hAnsi="Arial"/>
                <w:sz w:val="19"/>
                <w:szCs w:val="19"/>
                <w:i w:val="1"/>
                <w:iCs w:val="1"/>
                <w:color w:val="auto"/>
              </w:rPr>
              <w:t>Changes in Fiscal Periods</w:t>
            </w:r>
          </w:p>
        </w:tc>
        <w:tc>
          <w:tcPr>
            <w:tcW w:w="400" w:type="dxa"/>
            <w:vAlign w:val="bottom"/>
          </w:tcPr>
          <w:p>
            <w:pPr>
              <w:jc w:val="right"/>
              <w:ind w:right="1"/>
              <w:spacing w:after="0"/>
              <w:rPr>
                <w:sz w:val="20"/>
                <w:szCs w:val="20"/>
                <w:color w:val="auto"/>
              </w:rPr>
            </w:pPr>
            <w:r>
              <w:rPr>
                <w:rFonts w:ascii="Arial" w:cs="Arial" w:eastAsia="Arial" w:hAnsi="Arial"/>
                <w:sz w:val="19"/>
                <w:szCs w:val="19"/>
                <w:color w:val="auto"/>
                <w:w w:val="88"/>
              </w:rPr>
              <w:t>151</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vMerge w:val="restart"/>
          </w:tcPr>
          <w:p>
            <w:pPr>
              <w:spacing w:after="0"/>
              <w:rPr>
                <w:sz w:val="20"/>
                <w:szCs w:val="20"/>
                <w:color w:val="auto"/>
              </w:rPr>
            </w:pPr>
            <w:r>
              <w:rPr>
                <w:rFonts w:ascii="Arial" w:cs="Arial" w:eastAsia="Arial" w:hAnsi="Arial"/>
                <w:sz w:val="19"/>
                <w:szCs w:val="19"/>
                <w:color w:val="auto"/>
                <w:w w:val="99"/>
              </w:rPr>
              <w:t>Section 7.01.</w:t>
            </w:r>
          </w:p>
        </w:tc>
        <w:tc>
          <w:tcPr>
            <w:tcW w:w="1620" w:type="dxa"/>
            <w:vAlign w:val="bottom"/>
            <w:vMerge w:val="restart"/>
          </w:tcPr>
          <w:p>
            <w:pPr>
              <w:ind w:left="80"/>
              <w:spacing w:after="0"/>
              <w:rPr>
                <w:sz w:val="20"/>
                <w:szCs w:val="20"/>
                <w:color w:val="auto"/>
              </w:rPr>
            </w:pPr>
            <w:r>
              <w:rPr>
                <w:rFonts w:ascii="Arial" w:cs="Arial" w:eastAsia="Arial" w:hAnsi="Arial"/>
                <w:sz w:val="19"/>
                <w:szCs w:val="19"/>
                <w:i w:val="1"/>
                <w:iCs w:val="1"/>
                <w:color w:val="auto"/>
              </w:rPr>
              <w:t>Events of Default</w:t>
            </w:r>
          </w:p>
        </w:tc>
        <w:tc>
          <w:tcPr>
            <w:tcW w:w="280" w:type="dxa"/>
            <w:vAlign w:val="bottom"/>
            <w:vMerge w:val="restart"/>
          </w:tcPr>
          <w:p>
            <w:pPr>
              <w:jc w:val="right"/>
              <w:spacing w:after="0"/>
              <w:rPr>
                <w:sz w:val="20"/>
                <w:szCs w:val="20"/>
                <w:color w:val="auto"/>
              </w:rPr>
            </w:pPr>
            <w:r>
              <w:rPr>
                <w:rFonts w:ascii="Arial" w:cs="Arial" w:eastAsia="Arial" w:hAnsi="Arial"/>
                <w:sz w:val="19"/>
                <w:szCs w:val="19"/>
                <w:color w:val="FF0000"/>
                <w:strike w:val="1"/>
                <w:w w:val="81"/>
              </w:rPr>
              <w:t>152</w:t>
            </w:r>
          </w:p>
        </w:tc>
        <w:tc>
          <w:tcPr>
            <w:tcW w:w="300" w:type="dxa"/>
            <w:vAlign w:val="bottom"/>
            <w:vMerge w:val="restart"/>
          </w:tcPr>
          <w:p>
            <w:pPr>
              <w:jc w:val="right"/>
              <w:spacing w:after="0"/>
              <w:rPr>
                <w:sz w:val="20"/>
                <w:szCs w:val="20"/>
                <w:color w:val="auto"/>
              </w:rPr>
            </w:pPr>
            <w:r>
              <w:rPr>
                <w:rFonts w:ascii="Arial" w:cs="Arial" w:eastAsia="Arial" w:hAnsi="Arial"/>
                <w:sz w:val="19"/>
                <w:szCs w:val="19"/>
                <w:color w:val="0000FF"/>
                <w:w w:val="88"/>
              </w:rPr>
              <w:t>151</w:t>
            </w:r>
          </w:p>
        </w:tc>
        <w:tc>
          <w:tcPr>
            <w:tcW w:w="3600" w:type="dxa"/>
            <w:vAlign w:val="bottom"/>
          </w:tcPr>
          <w:p>
            <w:pPr>
              <w:jc w:val="center"/>
              <w:ind w:left="235"/>
              <w:spacing w:after="0"/>
              <w:rPr>
                <w:sz w:val="20"/>
                <w:szCs w:val="20"/>
                <w:color w:val="auto"/>
              </w:rPr>
            </w:pPr>
            <w:r>
              <w:rPr>
                <w:rFonts w:ascii="Arial" w:cs="Arial" w:eastAsia="Arial" w:hAnsi="Arial"/>
                <w:sz w:val="21"/>
                <w:szCs w:val="21"/>
                <w:color w:val="auto"/>
                <w:w w:val="95"/>
              </w:rPr>
              <w:t>ARTICLE 7 EVENTS OF DEFAULT</w:t>
            </w:r>
          </w:p>
        </w:tc>
        <w:tc>
          <w:tcPr>
            <w:tcW w:w="480" w:type="dxa"/>
            <w:vAlign w:val="bottom"/>
            <w:gridSpan w:val="2"/>
          </w:tcPr>
          <w:p>
            <w:pPr>
              <w:jc w:val="right"/>
              <w:spacing w:after="0"/>
              <w:rPr>
                <w:sz w:val="20"/>
                <w:szCs w:val="20"/>
                <w:color w:val="auto"/>
              </w:rPr>
            </w:pPr>
            <w:r>
              <w:rPr>
                <w:rFonts w:ascii="Arial" w:cs="Arial" w:eastAsia="Arial" w:hAnsi="Arial"/>
                <w:sz w:val="21"/>
                <w:szCs w:val="21"/>
                <w:color w:val="FF0000"/>
                <w:strike w:val="1"/>
              </w:rPr>
              <w:t>152</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1"/>
                <w:szCs w:val="21"/>
                <w:color w:val="0000FF"/>
                <w:w w:val="85"/>
              </w:rPr>
              <w:t>151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2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300" w:type="dxa"/>
            <w:vAlign w:val="bottom"/>
            <w:tcBorders>
              <w:bottom w:val="single" w:sz="8" w:color="0000FF"/>
            </w:tcBorders>
            <w:vMerge w:val="continue"/>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120" w:type="dxa"/>
            <w:vAlign w:val="bottom"/>
          </w:tcPr>
          <w:p>
            <w:pPr>
              <w:spacing w:after="0"/>
              <w:rPr>
                <w:sz w:val="20"/>
                <w:szCs w:val="20"/>
                <w:color w:val="auto"/>
              </w:rPr>
            </w:pPr>
            <w:r>
              <w:rPr>
                <w:rFonts w:ascii="Arial" w:cs="Arial" w:eastAsia="Arial" w:hAnsi="Arial"/>
                <w:sz w:val="19"/>
                <w:szCs w:val="19"/>
                <w:color w:val="auto"/>
                <w:w w:val="99"/>
              </w:rPr>
              <w:t>Section 7.02.</w:t>
            </w:r>
          </w:p>
        </w:tc>
        <w:tc>
          <w:tcPr>
            <w:tcW w:w="5800" w:type="dxa"/>
            <w:vAlign w:val="bottom"/>
            <w:gridSpan w:val="4"/>
          </w:tcPr>
          <w:p>
            <w:pPr>
              <w:ind w:left="80"/>
              <w:spacing w:after="0"/>
              <w:rPr>
                <w:sz w:val="20"/>
                <w:szCs w:val="20"/>
                <w:color w:val="auto"/>
              </w:rPr>
            </w:pPr>
            <w:r>
              <w:rPr>
                <w:rFonts w:ascii="Arial" w:cs="Arial" w:eastAsia="Arial" w:hAnsi="Arial"/>
                <w:sz w:val="19"/>
                <w:szCs w:val="19"/>
                <w:i w:val="1"/>
                <w:iCs w:val="1"/>
                <w:color w:val="auto"/>
              </w:rPr>
              <w:t xml:space="preserve">Right to Cure  </w:t>
            </w:r>
            <w:r>
              <w:rPr>
                <w:rFonts w:ascii="Arial" w:cs="Arial" w:eastAsia="Arial" w:hAnsi="Arial"/>
                <w:sz w:val="19"/>
                <w:szCs w:val="19"/>
                <w:color w:val="auto"/>
              </w:rPr>
              <w:t>155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3"/>
        </w:trPr>
        <w:tc>
          <w:tcPr>
            <w:tcW w:w="1120" w:type="dxa"/>
            <w:vAlign w:val="bottom"/>
          </w:tcPr>
          <w:p>
            <w:pPr>
              <w:spacing w:after="0"/>
              <w:rPr>
                <w:sz w:val="24"/>
                <w:szCs w:val="24"/>
                <w:color w:val="auto"/>
              </w:rPr>
            </w:pPr>
          </w:p>
        </w:tc>
        <w:tc>
          <w:tcPr>
            <w:tcW w:w="8000" w:type="dxa"/>
            <w:vAlign w:val="bottom"/>
            <w:gridSpan w:val="9"/>
          </w:tcPr>
          <w:p>
            <w:pPr>
              <w:ind w:left="1180"/>
              <w:spacing w:after="0"/>
              <w:rPr>
                <w:sz w:val="20"/>
                <w:szCs w:val="20"/>
                <w:color w:val="auto"/>
              </w:rPr>
            </w:pPr>
            <w:r>
              <w:rPr>
                <w:rFonts w:ascii="Arial" w:cs="Arial" w:eastAsia="Arial" w:hAnsi="Arial"/>
                <w:sz w:val="21"/>
                <w:szCs w:val="21"/>
                <w:color w:val="auto"/>
                <w:w w:val="99"/>
              </w:rPr>
              <w:t>ARTICLE 8 ADMINISTRATIVE AGENT AND COLLATERAL AGENT  156</w:t>
            </w:r>
          </w:p>
        </w:tc>
        <w:tc>
          <w:tcPr>
            <w:tcW w:w="0" w:type="dxa"/>
            <w:vAlign w:val="bottom"/>
          </w:tcPr>
          <w:p>
            <w:pPr>
              <w:spacing w:after="0"/>
              <w:rPr>
                <w:sz w:val="1"/>
                <w:szCs w:val="1"/>
                <w:color w:val="auto"/>
              </w:rPr>
            </w:pPr>
          </w:p>
        </w:tc>
      </w:tr>
      <w:tr>
        <w:trPr>
          <w:trHeight w:val="620"/>
        </w:trPr>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0" w:type="dxa"/>
            <w:vAlign w:val="bottom"/>
          </w:tcPr>
          <w:p>
            <w:pPr>
              <w:jc w:val="center"/>
              <w:ind w:left="255"/>
              <w:spacing w:after="0"/>
              <w:rPr>
                <w:sz w:val="20"/>
                <w:szCs w:val="20"/>
                <w:color w:val="auto"/>
              </w:rPr>
            </w:pPr>
            <w:r>
              <w:rPr>
                <w:rFonts w:ascii="Arial" w:cs="Arial" w:eastAsia="Arial" w:hAnsi="Arial"/>
                <w:sz w:val="21"/>
                <w:szCs w:val="21"/>
                <w:color w:val="auto"/>
                <w:w w:val="97"/>
              </w:rPr>
              <w:t>ARTICLE 9 MISCELLANEOUS</w:t>
            </w:r>
          </w:p>
        </w:tc>
        <w:tc>
          <w:tcPr>
            <w:tcW w:w="320" w:type="dxa"/>
            <w:vAlign w:val="bottom"/>
          </w:tcPr>
          <w:p>
            <w:pPr>
              <w:jc w:val="right"/>
              <w:spacing w:after="0"/>
              <w:rPr>
                <w:sz w:val="20"/>
                <w:szCs w:val="20"/>
                <w:color w:val="auto"/>
              </w:rPr>
            </w:pPr>
            <w:r>
              <w:rPr>
                <w:rFonts w:ascii="Arial" w:cs="Arial" w:eastAsia="Arial" w:hAnsi="Arial"/>
                <w:sz w:val="21"/>
                <w:szCs w:val="21"/>
                <w:color w:val="FF0000"/>
                <w:strike w:val="1"/>
                <w:w w:val="85"/>
              </w:rPr>
              <w:t>161</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1"/>
                <w:szCs w:val="21"/>
                <w:color w:val="0000FF"/>
                <w:w w:val="85"/>
              </w:rPr>
              <w:t>160</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1" w:right="1440" w:bottom="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tcPr>
          <w:p>
            <w:pPr>
              <w:spacing w:after="0"/>
              <w:rPr>
                <w:sz w:val="20"/>
                <w:szCs w:val="20"/>
                <w:color w:val="auto"/>
              </w:rPr>
            </w:pPr>
            <w:r>
              <w:rPr>
                <w:rFonts w:ascii="Arial" w:cs="Arial" w:eastAsia="Arial" w:hAnsi="Arial"/>
                <w:sz w:val="19"/>
                <w:szCs w:val="19"/>
                <w:color w:val="auto"/>
                <w:w w:val="99"/>
              </w:rPr>
              <w:t>Section 9.01.</w:t>
            </w:r>
          </w:p>
        </w:tc>
        <w:tc>
          <w:tcPr>
            <w:tcW w:w="860" w:type="dxa"/>
            <w:vAlign w:val="bottom"/>
          </w:tcPr>
          <w:p>
            <w:pPr>
              <w:ind w:left="80"/>
              <w:spacing w:after="0"/>
              <w:rPr>
                <w:sz w:val="20"/>
                <w:szCs w:val="20"/>
                <w:color w:val="auto"/>
              </w:rPr>
            </w:pPr>
            <w:r>
              <w:rPr>
                <w:rFonts w:ascii="Arial" w:cs="Arial" w:eastAsia="Arial" w:hAnsi="Arial"/>
                <w:sz w:val="19"/>
                <w:szCs w:val="19"/>
                <w:i w:val="1"/>
                <w:iCs w:val="1"/>
                <w:color w:val="auto"/>
              </w:rPr>
              <w:t>Notices</w:t>
            </w:r>
          </w:p>
        </w:tc>
        <w:tc>
          <w:tcPr>
            <w:tcW w:w="280" w:type="dxa"/>
            <w:vAlign w:val="bottom"/>
          </w:tcPr>
          <w:p>
            <w:pPr>
              <w:jc w:val="right"/>
              <w:spacing w:after="0"/>
              <w:rPr>
                <w:sz w:val="20"/>
                <w:szCs w:val="20"/>
                <w:color w:val="auto"/>
              </w:rPr>
            </w:pPr>
            <w:r>
              <w:rPr>
                <w:rFonts w:ascii="Arial" w:cs="Arial" w:eastAsia="Arial" w:hAnsi="Arial"/>
                <w:sz w:val="19"/>
                <w:szCs w:val="19"/>
                <w:color w:val="FF0000"/>
                <w:strike w:val="1"/>
                <w:w w:val="81"/>
              </w:rPr>
              <w:t>161</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9"/>
                <w:szCs w:val="19"/>
                <w:color w:val="0000FF"/>
                <w:w w:val="88"/>
              </w:rPr>
              <w:t>160</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3"/>
        </w:trPr>
        <w:tc>
          <w:tcPr>
            <w:tcW w:w="1120" w:type="dxa"/>
            <w:vAlign w:val="bottom"/>
          </w:tcPr>
          <w:p>
            <w:pPr>
              <w:spacing w:after="0" w:line="204" w:lineRule="exact"/>
              <w:rPr>
                <w:sz w:val="20"/>
                <w:szCs w:val="20"/>
                <w:color w:val="auto"/>
              </w:rPr>
            </w:pPr>
            <w:r>
              <w:rPr>
                <w:rFonts w:ascii="Arial" w:cs="Arial" w:eastAsia="Arial" w:hAnsi="Arial"/>
                <w:sz w:val="19"/>
                <w:szCs w:val="19"/>
                <w:color w:val="auto"/>
                <w:w w:val="99"/>
              </w:rPr>
              <w:t>Section 9.02.</w:t>
            </w:r>
          </w:p>
        </w:tc>
        <w:tc>
          <w:tcPr>
            <w:tcW w:w="1980" w:type="dxa"/>
            <w:vAlign w:val="bottom"/>
            <w:gridSpan w:val="4"/>
          </w:tcPr>
          <w:p>
            <w:pPr>
              <w:ind w:left="80"/>
              <w:spacing w:after="0" w:line="204" w:lineRule="exact"/>
              <w:rPr>
                <w:sz w:val="20"/>
                <w:szCs w:val="20"/>
                <w:color w:val="auto"/>
              </w:rPr>
            </w:pPr>
            <w:r>
              <w:rPr>
                <w:rFonts w:ascii="Arial" w:cs="Arial" w:eastAsia="Arial" w:hAnsi="Arial"/>
                <w:sz w:val="19"/>
                <w:szCs w:val="19"/>
                <w:i w:val="1"/>
                <w:iCs w:val="1"/>
                <w:color w:val="auto"/>
                <w:w w:val="98"/>
              </w:rPr>
              <w:t>Waivers; Amendments</w:t>
            </w:r>
          </w:p>
        </w:tc>
        <w:tc>
          <w:tcPr>
            <w:tcW w:w="300" w:type="dxa"/>
            <w:vAlign w:val="bottom"/>
          </w:tcPr>
          <w:p>
            <w:pPr>
              <w:jc w:val="right"/>
              <w:spacing w:after="0" w:line="204" w:lineRule="exact"/>
              <w:rPr>
                <w:sz w:val="20"/>
                <w:szCs w:val="20"/>
                <w:color w:val="auto"/>
              </w:rPr>
            </w:pPr>
            <w:r>
              <w:rPr>
                <w:rFonts w:ascii="Arial" w:cs="Arial" w:eastAsia="Arial" w:hAnsi="Arial"/>
                <w:sz w:val="19"/>
                <w:szCs w:val="19"/>
                <w:color w:val="FF0000"/>
                <w:strike w:val="1"/>
                <w:w w:val="88"/>
              </w:rPr>
              <w:t>163</w:t>
            </w:r>
          </w:p>
        </w:tc>
        <w:tc>
          <w:tcPr>
            <w:tcW w:w="280" w:type="dxa"/>
            <w:vAlign w:val="bottom"/>
            <w:tcBorders>
              <w:bottom w:val="single" w:sz="8" w:color="0000FF"/>
            </w:tcBorders>
          </w:tcPr>
          <w:p>
            <w:pPr>
              <w:jc w:val="right"/>
              <w:spacing w:after="0" w:line="204" w:lineRule="exact"/>
              <w:rPr>
                <w:sz w:val="20"/>
                <w:szCs w:val="20"/>
                <w:color w:val="auto"/>
              </w:rPr>
            </w:pPr>
            <w:r>
              <w:rPr>
                <w:rFonts w:ascii="Arial" w:cs="Arial" w:eastAsia="Arial" w:hAnsi="Arial"/>
                <w:sz w:val="19"/>
                <w:szCs w:val="19"/>
                <w:color w:val="0000FF"/>
                <w:w w:val="81"/>
              </w:rPr>
              <w:t>162</w:t>
            </w:r>
          </w:p>
        </w:tc>
      </w:tr>
    </w:tbl>
    <w:p>
      <w:pPr>
        <w:sectPr>
          <w:pgSz w:w="11900" w:h="16838" w:orient="portrait"/>
          <w:cols w:equalWidth="0" w:num="1">
            <w:col w:w="10219"/>
          </w:cols>
          <w:pgMar w:left="240" w:top="121" w:right="1440" w:bottom="0" w:gutter="0" w:footer="0" w:header="0"/>
          <w:type w:val="continuous"/>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80" w:type="dxa"/>
            <w:vAlign w:val="bottom"/>
          </w:tcPr>
          <w:p>
            <w:pPr>
              <w:spacing w:after="0"/>
              <w:rPr>
                <w:sz w:val="20"/>
                <w:szCs w:val="20"/>
                <w:color w:val="auto"/>
              </w:rPr>
            </w:pPr>
            <w:r>
              <w:rPr>
                <w:rFonts w:ascii="Arial" w:cs="Arial" w:eastAsia="Arial" w:hAnsi="Arial"/>
                <w:sz w:val="19"/>
                <w:szCs w:val="19"/>
                <w:color w:val="auto"/>
              </w:rPr>
              <w:t>Section 9.03.</w:t>
            </w:r>
          </w:p>
        </w:tc>
        <w:tc>
          <w:tcPr>
            <w:tcW w:w="3160" w:type="dxa"/>
            <w:vAlign w:val="bottom"/>
            <w:gridSpan w:val="12"/>
          </w:tcPr>
          <w:p>
            <w:pPr>
              <w:ind w:left="20"/>
              <w:spacing w:after="0"/>
              <w:rPr>
                <w:sz w:val="20"/>
                <w:szCs w:val="20"/>
                <w:color w:val="auto"/>
              </w:rPr>
            </w:pPr>
            <w:r>
              <w:rPr>
                <w:rFonts w:ascii="Arial" w:cs="Arial" w:eastAsia="Arial" w:hAnsi="Arial"/>
                <w:sz w:val="19"/>
                <w:szCs w:val="19"/>
                <w:i w:val="1"/>
                <w:iCs w:val="1"/>
                <w:color w:val="auto"/>
                <w:w w:val="96"/>
              </w:rPr>
              <w:t>Expenses; Indemnity; Damage Waiver</w:t>
            </w:r>
          </w:p>
        </w:tc>
        <w:tc>
          <w:tcPr>
            <w:tcW w:w="300" w:type="dxa"/>
            <w:vAlign w:val="bottom"/>
            <w:gridSpan w:val="3"/>
          </w:tcPr>
          <w:p>
            <w:pPr>
              <w:jc w:val="right"/>
              <w:spacing w:after="0"/>
              <w:rPr>
                <w:sz w:val="20"/>
                <w:szCs w:val="20"/>
                <w:color w:val="auto"/>
              </w:rPr>
            </w:pPr>
            <w:r>
              <w:rPr>
                <w:rFonts w:ascii="Arial" w:cs="Arial" w:eastAsia="Arial" w:hAnsi="Arial"/>
                <w:sz w:val="19"/>
                <w:szCs w:val="19"/>
                <w:color w:val="FF0000"/>
                <w:strike w:val="1"/>
                <w:w w:val="88"/>
              </w:rPr>
              <w:t>166</w:t>
            </w:r>
          </w:p>
        </w:tc>
        <w:tc>
          <w:tcPr>
            <w:tcW w:w="280" w:type="dxa"/>
            <w:vAlign w:val="bottom"/>
            <w:tcBorders>
              <w:bottom w:val="single" w:sz="8" w:color="0000FF"/>
            </w:tcBorders>
          </w:tcPr>
          <w:p>
            <w:pPr>
              <w:jc w:val="right"/>
              <w:spacing w:after="0"/>
              <w:rPr>
                <w:sz w:val="20"/>
                <w:szCs w:val="20"/>
                <w:color w:val="auto"/>
              </w:rPr>
            </w:pPr>
            <w:r>
              <w:rPr>
                <w:rFonts w:ascii="Arial" w:cs="Arial" w:eastAsia="Arial" w:hAnsi="Arial"/>
                <w:sz w:val="19"/>
                <w:szCs w:val="19"/>
                <w:color w:val="0000FF"/>
                <w:w w:val="81"/>
              </w:rPr>
              <w:t>165</w:t>
            </w:r>
          </w:p>
        </w:tc>
        <w:tc>
          <w:tcPr>
            <w:tcW w:w="1400" w:type="dxa"/>
            <w:vAlign w:val="bottom"/>
          </w:tcPr>
          <w:p>
            <w:pPr>
              <w:spacing w:after="0"/>
              <w:rPr>
                <w:sz w:val="18"/>
                <w:szCs w:val="18"/>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9"/>
                <w:szCs w:val="19"/>
                <w:color w:val="auto"/>
              </w:rPr>
              <w:t>Section 9.04.</w:t>
            </w:r>
          </w:p>
        </w:tc>
        <w:tc>
          <w:tcPr>
            <w:tcW w:w="2000" w:type="dxa"/>
            <w:vAlign w:val="bottom"/>
            <w:gridSpan w:val="5"/>
          </w:tcPr>
          <w:p>
            <w:pPr>
              <w:ind w:left="20"/>
              <w:spacing w:after="0"/>
              <w:rPr>
                <w:sz w:val="20"/>
                <w:szCs w:val="20"/>
                <w:color w:val="auto"/>
              </w:rPr>
            </w:pPr>
            <w:r>
              <w:rPr>
                <w:rFonts w:ascii="Arial" w:cs="Arial" w:eastAsia="Arial" w:hAnsi="Arial"/>
                <w:sz w:val="19"/>
                <w:szCs w:val="19"/>
                <w:i w:val="1"/>
                <w:iCs w:val="1"/>
                <w:color w:val="auto"/>
                <w:w w:val="94"/>
              </w:rPr>
              <w:t>Successors and Assigns</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w w:val="94"/>
              </w:rPr>
              <w:t>168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rPr>
              <w:t>Section 9.05.</w:t>
            </w:r>
          </w:p>
        </w:tc>
        <w:tc>
          <w:tcPr>
            <w:tcW w:w="1300" w:type="dxa"/>
            <w:vAlign w:val="bottom"/>
            <w:gridSpan w:val="3"/>
          </w:tcPr>
          <w:p>
            <w:pPr>
              <w:ind w:left="20"/>
              <w:spacing w:after="0"/>
              <w:rPr>
                <w:sz w:val="20"/>
                <w:szCs w:val="20"/>
                <w:color w:val="auto"/>
              </w:rPr>
            </w:pPr>
            <w:r>
              <w:rPr>
                <w:rFonts w:ascii="Arial" w:cs="Arial" w:eastAsia="Arial" w:hAnsi="Arial"/>
                <w:sz w:val="19"/>
                <w:szCs w:val="19"/>
                <w:i w:val="1"/>
                <w:iCs w:val="1"/>
                <w:color w:val="auto"/>
              </w:rPr>
              <w:t xml:space="preserve">Survival  </w:t>
            </w:r>
            <w:r>
              <w:rPr>
                <w:rFonts w:ascii="Arial" w:cs="Arial" w:eastAsia="Arial" w:hAnsi="Arial"/>
                <w:sz w:val="19"/>
                <w:szCs w:val="19"/>
                <w:color w:val="auto"/>
              </w:rPr>
              <w:t>173</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rPr>
              <w:t>Section 9.06.</w:t>
            </w:r>
          </w:p>
        </w:tc>
        <w:tc>
          <w:tcPr>
            <w:tcW w:w="3160" w:type="dxa"/>
            <w:vAlign w:val="bottom"/>
            <w:gridSpan w:val="12"/>
          </w:tcPr>
          <w:p>
            <w:pPr>
              <w:ind w:left="20"/>
              <w:spacing w:after="0"/>
              <w:rPr>
                <w:sz w:val="20"/>
                <w:szCs w:val="20"/>
                <w:color w:val="auto"/>
              </w:rPr>
            </w:pPr>
            <w:r>
              <w:rPr>
                <w:rFonts w:ascii="Arial" w:cs="Arial" w:eastAsia="Arial" w:hAnsi="Arial"/>
                <w:sz w:val="19"/>
                <w:szCs w:val="19"/>
                <w:i w:val="1"/>
                <w:iCs w:val="1"/>
                <w:color w:val="auto"/>
                <w:w w:val="93"/>
              </w:rPr>
              <w:t>Counterparts; Integration; Effectiveness</w:t>
            </w:r>
          </w:p>
        </w:tc>
        <w:tc>
          <w:tcPr>
            <w:tcW w:w="580" w:type="dxa"/>
            <w:vAlign w:val="bottom"/>
            <w:gridSpan w:val="4"/>
          </w:tcPr>
          <w:p>
            <w:pPr>
              <w:jc w:val="right"/>
              <w:ind w:right="24"/>
              <w:spacing w:after="0"/>
              <w:rPr>
                <w:sz w:val="20"/>
                <w:szCs w:val="20"/>
                <w:color w:val="auto"/>
              </w:rPr>
            </w:pPr>
            <w:r>
              <w:rPr>
                <w:rFonts w:ascii="Arial" w:cs="Arial" w:eastAsia="Arial" w:hAnsi="Arial"/>
                <w:sz w:val="19"/>
                <w:szCs w:val="19"/>
                <w:color w:val="auto"/>
              </w:rPr>
              <w:t>173</w:t>
            </w: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rPr>
              <w:t>Section 9.07.</w:t>
            </w:r>
          </w:p>
        </w:tc>
        <w:tc>
          <w:tcPr>
            <w:tcW w:w="940" w:type="dxa"/>
            <w:vAlign w:val="bottom"/>
            <w:gridSpan w:val="2"/>
          </w:tcPr>
          <w:p>
            <w:pPr>
              <w:ind w:left="20"/>
              <w:spacing w:after="0"/>
              <w:rPr>
                <w:sz w:val="20"/>
                <w:szCs w:val="20"/>
                <w:color w:val="auto"/>
              </w:rPr>
            </w:pPr>
            <w:r>
              <w:rPr>
                <w:rFonts w:ascii="Arial" w:cs="Arial" w:eastAsia="Arial" w:hAnsi="Arial"/>
                <w:sz w:val="19"/>
                <w:szCs w:val="19"/>
                <w:i w:val="1"/>
                <w:iCs w:val="1"/>
                <w:color w:val="auto"/>
                <w:w w:val="91"/>
              </w:rPr>
              <w:t>Severability</w:t>
            </w:r>
          </w:p>
        </w:tc>
        <w:tc>
          <w:tcPr>
            <w:tcW w:w="580" w:type="dxa"/>
            <w:vAlign w:val="bottom"/>
            <w:gridSpan w:val="2"/>
          </w:tcPr>
          <w:p>
            <w:pPr>
              <w:jc w:val="right"/>
              <w:ind w:right="6"/>
              <w:spacing w:after="0"/>
              <w:rPr>
                <w:sz w:val="20"/>
                <w:szCs w:val="20"/>
                <w:color w:val="auto"/>
              </w:rPr>
            </w:pPr>
            <w:r>
              <w:rPr>
                <w:rFonts w:ascii="Arial" w:cs="Arial" w:eastAsia="Arial" w:hAnsi="Arial"/>
                <w:sz w:val="19"/>
                <w:szCs w:val="19"/>
                <w:color w:val="auto"/>
              </w:rPr>
              <w:t>174</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rPr>
              <w:t>Section 9.08.</w:t>
            </w:r>
          </w:p>
        </w:tc>
        <w:tc>
          <w:tcPr>
            <w:tcW w:w="1300" w:type="dxa"/>
            <w:vAlign w:val="bottom"/>
            <w:gridSpan w:val="3"/>
          </w:tcPr>
          <w:p>
            <w:pPr>
              <w:ind w:left="20"/>
              <w:spacing w:after="0"/>
              <w:rPr>
                <w:sz w:val="20"/>
                <w:szCs w:val="20"/>
                <w:color w:val="auto"/>
              </w:rPr>
            </w:pPr>
            <w:r>
              <w:rPr>
                <w:rFonts w:ascii="Arial" w:cs="Arial" w:eastAsia="Arial" w:hAnsi="Arial"/>
                <w:sz w:val="19"/>
                <w:szCs w:val="19"/>
                <w:i w:val="1"/>
                <w:iCs w:val="1"/>
                <w:color w:val="auto"/>
              </w:rPr>
              <w:t>Right of Setoff</w:t>
            </w:r>
          </w:p>
        </w:tc>
        <w:tc>
          <w:tcPr>
            <w:tcW w:w="700" w:type="dxa"/>
            <w:vAlign w:val="bottom"/>
            <w:gridSpan w:val="2"/>
          </w:tcPr>
          <w:p>
            <w:pPr>
              <w:jc w:val="right"/>
              <w:ind w:right="400"/>
              <w:spacing w:after="0"/>
              <w:rPr>
                <w:sz w:val="20"/>
                <w:szCs w:val="20"/>
                <w:color w:val="auto"/>
              </w:rPr>
            </w:pPr>
            <w:r>
              <w:rPr>
                <w:rFonts w:ascii="Arial" w:cs="Arial" w:eastAsia="Arial" w:hAnsi="Arial"/>
                <w:sz w:val="19"/>
                <w:szCs w:val="19"/>
                <w:color w:val="auto"/>
                <w:w w:val="88"/>
              </w:rPr>
              <w:t>174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rPr>
              <w:t>Section 9.09.</w:t>
            </w:r>
          </w:p>
        </w:tc>
        <w:tc>
          <w:tcPr>
            <w:tcW w:w="5140" w:type="dxa"/>
            <w:vAlign w:val="bottom"/>
            <w:gridSpan w:val="17"/>
          </w:tcPr>
          <w:p>
            <w:pPr>
              <w:ind w:left="20"/>
              <w:spacing w:after="0"/>
              <w:rPr>
                <w:sz w:val="20"/>
                <w:szCs w:val="20"/>
                <w:color w:val="auto"/>
              </w:rPr>
            </w:pPr>
            <w:r>
              <w:rPr>
                <w:rFonts w:ascii="Arial" w:cs="Arial" w:eastAsia="Arial" w:hAnsi="Arial"/>
                <w:sz w:val="19"/>
                <w:szCs w:val="19"/>
                <w:i w:val="1"/>
                <w:iCs w:val="1"/>
                <w:color w:val="auto"/>
                <w:w w:val="94"/>
              </w:rPr>
              <w:t xml:space="preserve">Governing Law; Jurisdiction; Consent to Service of Process  </w:t>
            </w:r>
            <w:r>
              <w:rPr>
                <w:rFonts w:ascii="Arial" w:cs="Arial" w:eastAsia="Arial" w:hAnsi="Arial"/>
                <w:sz w:val="19"/>
                <w:szCs w:val="19"/>
                <w:color w:val="auto"/>
                <w:w w:val="94"/>
              </w:rPr>
              <w:t>175</w:t>
            </w: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rPr>
              <w:t>Section 9.10.</w:t>
            </w:r>
          </w:p>
        </w:tc>
        <w:tc>
          <w:tcPr>
            <w:tcW w:w="2760" w:type="dxa"/>
            <w:vAlign w:val="bottom"/>
            <w:gridSpan w:val="9"/>
          </w:tcPr>
          <w:p>
            <w:pPr>
              <w:ind w:left="20"/>
              <w:spacing w:after="0"/>
              <w:rPr>
                <w:sz w:val="20"/>
                <w:szCs w:val="20"/>
                <w:color w:val="auto"/>
              </w:rPr>
            </w:pPr>
            <w:r>
              <w:rPr>
                <w:rFonts w:ascii="Arial" w:cs="Arial" w:eastAsia="Arial" w:hAnsi="Arial"/>
                <w:sz w:val="19"/>
                <w:szCs w:val="19"/>
                <w:i w:val="1"/>
                <w:iCs w:val="1"/>
                <w:color w:val="auto"/>
              </w:rPr>
              <w:t xml:space="preserve">Waiver of Jury Trial  </w:t>
            </w:r>
            <w:r>
              <w:rPr>
                <w:rFonts w:ascii="Arial" w:cs="Arial" w:eastAsia="Arial" w:hAnsi="Arial"/>
                <w:sz w:val="19"/>
                <w:szCs w:val="19"/>
                <w:color w:val="auto"/>
              </w:rPr>
              <w:t>175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1"/>
        </w:trPr>
        <w:tc>
          <w:tcPr>
            <w:tcW w:w="1180" w:type="dxa"/>
            <w:vAlign w:val="bottom"/>
          </w:tcPr>
          <w:p>
            <w:pPr>
              <w:spacing w:after="0" w:line="201" w:lineRule="exact"/>
              <w:rPr>
                <w:sz w:val="20"/>
                <w:szCs w:val="20"/>
                <w:color w:val="auto"/>
              </w:rPr>
            </w:pPr>
            <w:r>
              <w:rPr>
                <w:rFonts w:ascii="Arial" w:cs="Arial" w:eastAsia="Arial" w:hAnsi="Arial"/>
                <w:sz w:val="19"/>
                <w:szCs w:val="19"/>
                <w:color w:val="auto"/>
              </w:rPr>
              <w:t>Section 9.11.</w:t>
            </w:r>
          </w:p>
        </w:tc>
        <w:tc>
          <w:tcPr>
            <w:tcW w:w="940" w:type="dxa"/>
            <w:vAlign w:val="bottom"/>
            <w:gridSpan w:val="2"/>
          </w:tcPr>
          <w:p>
            <w:pPr>
              <w:ind w:left="20"/>
              <w:spacing w:after="0" w:line="201" w:lineRule="exact"/>
              <w:rPr>
                <w:sz w:val="20"/>
                <w:szCs w:val="20"/>
                <w:color w:val="auto"/>
              </w:rPr>
            </w:pPr>
            <w:r>
              <w:rPr>
                <w:rFonts w:ascii="Arial" w:cs="Arial" w:eastAsia="Arial" w:hAnsi="Arial"/>
                <w:sz w:val="19"/>
                <w:szCs w:val="19"/>
                <w:i w:val="1"/>
                <w:iCs w:val="1"/>
                <w:color w:val="auto"/>
              </w:rPr>
              <w:t>Headings</w:t>
            </w:r>
          </w:p>
        </w:tc>
        <w:tc>
          <w:tcPr>
            <w:tcW w:w="360" w:type="dxa"/>
            <w:vAlign w:val="bottom"/>
          </w:tcPr>
          <w:p>
            <w:pPr>
              <w:jc w:val="right"/>
              <w:spacing w:after="0" w:line="201" w:lineRule="exact"/>
              <w:rPr>
                <w:sz w:val="20"/>
                <w:szCs w:val="20"/>
                <w:color w:val="auto"/>
              </w:rPr>
            </w:pPr>
            <w:r>
              <w:rPr>
                <w:rFonts w:ascii="Arial" w:cs="Arial" w:eastAsia="Arial" w:hAnsi="Arial"/>
                <w:sz w:val="19"/>
                <w:szCs w:val="19"/>
                <w:color w:val="FF0000"/>
                <w:strike w:val="1"/>
                <w:w w:val="88"/>
              </w:rPr>
              <w:t>176</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0000FF"/>
                <w:w w:val="70"/>
              </w:rPr>
              <w:t>175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9"/>
                <w:szCs w:val="19"/>
                <w:color w:val="auto"/>
              </w:rPr>
              <w:t>Section 9.12.</w:t>
            </w:r>
          </w:p>
        </w:tc>
        <w:tc>
          <w:tcPr>
            <w:tcW w:w="1300" w:type="dxa"/>
            <w:vAlign w:val="bottom"/>
            <w:gridSpan w:val="3"/>
          </w:tcPr>
          <w:p>
            <w:pPr>
              <w:ind w:left="20"/>
              <w:spacing w:after="0"/>
              <w:rPr>
                <w:sz w:val="20"/>
                <w:szCs w:val="20"/>
                <w:color w:val="auto"/>
              </w:rPr>
            </w:pPr>
            <w:r>
              <w:rPr>
                <w:rFonts w:ascii="Arial" w:cs="Arial" w:eastAsia="Arial" w:hAnsi="Arial"/>
                <w:sz w:val="19"/>
                <w:szCs w:val="19"/>
                <w:i w:val="1"/>
                <w:iCs w:val="1"/>
                <w:color w:val="auto"/>
              </w:rPr>
              <w:t>Confidentiality</w:t>
            </w:r>
          </w:p>
        </w:tc>
        <w:tc>
          <w:tcPr>
            <w:tcW w:w="700" w:type="dxa"/>
            <w:vAlign w:val="bottom"/>
            <w:gridSpan w:val="2"/>
          </w:tcPr>
          <w:p>
            <w:pPr>
              <w:jc w:val="right"/>
              <w:ind w:right="340"/>
              <w:spacing w:after="0"/>
              <w:rPr>
                <w:sz w:val="20"/>
                <w:szCs w:val="20"/>
                <w:color w:val="auto"/>
              </w:rPr>
            </w:pPr>
            <w:r>
              <w:rPr>
                <w:rFonts w:ascii="Arial" w:cs="Arial" w:eastAsia="Arial" w:hAnsi="Arial"/>
                <w:sz w:val="19"/>
                <w:szCs w:val="19"/>
                <w:color w:val="auto"/>
              </w:rPr>
              <w:t>176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rPr>
              <w:t>Section 9.13.</w:t>
            </w:r>
          </w:p>
        </w:tc>
        <w:tc>
          <w:tcPr>
            <w:tcW w:w="1300" w:type="dxa"/>
            <w:vAlign w:val="bottom"/>
            <w:gridSpan w:val="3"/>
          </w:tcPr>
          <w:p>
            <w:pPr>
              <w:ind w:left="20"/>
              <w:spacing w:after="0"/>
              <w:rPr>
                <w:sz w:val="20"/>
                <w:szCs w:val="20"/>
                <w:color w:val="auto"/>
              </w:rPr>
            </w:pPr>
            <w:r>
              <w:rPr>
                <w:rFonts w:ascii="Arial" w:cs="Arial" w:eastAsia="Arial" w:hAnsi="Arial"/>
                <w:sz w:val="19"/>
                <w:szCs w:val="19"/>
                <w:i w:val="1"/>
                <w:iCs w:val="1"/>
                <w:color w:val="auto"/>
                <w:w w:val="93"/>
              </w:rPr>
              <w:t>USA Patriot Act</w:t>
            </w:r>
          </w:p>
        </w:tc>
        <w:tc>
          <w:tcPr>
            <w:tcW w:w="700" w:type="dxa"/>
            <w:vAlign w:val="bottom"/>
            <w:gridSpan w:val="2"/>
          </w:tcPr>
          <w:p>
            <w:pPr>
              <w:jc w:val="right"/>
              <w:ind w:right="240"/>
              <w:spacing w:after="0"/>
              <w:rPr>
                <w:sz w:val="20"/>
                <w:szCs w:val="20"/>
                <w:color w:val="auto"/>
              </w:rPr>
            </w:pPr>
            <w:r>
              <w:rPr>
                <w:rFonts w:ascii="Arial" w:cs="Arial" w:eastAsia="Arial" w:hAnsi="Arial"/>
                <w:sz w:val="19"/>
                <w:szCs w:val="19"/>
                <w:color w:val="auto"/>
              </w:rPr>
              <w:t>177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1"/>
        </w:trPr>
        <w:tc>
          <w:tcPr>
            <w:tcW w:w="1180" w:type="dxa"/>
            <w:vAlign w:val="bottom"/>
          </w:tcPr>
          <w:p>
            <w:pPr>
              <w:spacing w:after="0" w:line="201" w:lineRule="exact"/>
              <w:rPr>
                <w:sz w:val="20"/>
                <w:szCs w:val="20"/>
                <w:color w:val="auto"/>
              </w:rPr>
            </w:pPr>
            <w:r>
              <w:rPr>
                <w:rFonts w:ascii="Arial" w:cs="Arial" w:eastAsia="Arial" w:hAnsi="Arial"/>
                <w:sz w:val="19"/>
                <w:szCs w:val="19"/>
                <w:color w:val="auto"/>
              </w:rPr>
              <w:t>Section 9.14.</w:t>
            </w:r>
          </w:p>
        </w:tc>
        <w:tc>
          <w:tcPr>
            <w:tcW w:w="2760" w:type="dxa"/>
            <w:vAlign w:val="bottom"/>
            <w:gridSpan w:val="9"/>
          </w:tcPr>
          <w:p>
            <w:pPr>
              <w:ind w:left="20"/>
              <w:spacing w:after="0" w:line="201" w:lineRule="exact"/>
              <w:rPr>
                <w:sz w:val="20"/>
                <w:szCs w:val="20"/>
                <w:color w:val="auto"/>
              </w:rPr>
            </w:pPr>
            <w:r>
              <w:rPr>
                <w:rFonts w:ascii="Arial" w:cs="Arial" w:eastAsia="Arial" w:hAnsi="Arial"/>
                <w:sz w:val="19"/>
                <w:szCs w:val="19"/>
                <w:i w:val="1"/>
                <w:iCs w:val="1"/>
                <w:color w:val="auto"/>
                <w:w w:val="96"/>
              </w:rPr>
              <w:t>Release of Liens and Guarantees</w:t>
            </w:r>
          </w:p>
        </w:tc>
        <w:tc>
          <w:tcPr>
            <w:tcW w:w="300" w:type="dxa"/>
            <w:vAlign w:val="bottom"/>
          </w:tcPr>
          <w:p>
            <w:pPr>
              <w:jc w:val="right"/>
              <w:spacing w:after="0" w:line="201" w:lineRule="exact"/>
              <w:rPr>
                <w:sz w:val="20"/>
                <w:szCs w:val="20"/>
                <w:color w:val="auto"/>
              </w:rPr>
            </w:pPr>
            <w:r>
              <w:rPr>
                <w:rFonts w:ascii="Arial" w:cs="Arial" w:eastAsia="Arial" w:hAnsi="Arial"/>
                <w:sz w:val="19"/>
                <w:szCs w:val="19"/>
                <w:color w:val="FF0000"/>
                <w:strike w:val="1"/>
                <w:w w:val="88"/>
              </w:rPr>
              <w:t>178</w:t>
            </w:r>
          </w:p>
        </w:tc>
        <w:tc>
          <w:tcPr>
            <w:tcW w:w="280" w:type="dxa"/>
            <w:vAlign w:val="bottom"/>
            <w:tcBorders>
              <w:bottom w:val="single" w:sz="8" w:color="0000FF"/>
            </w:tcBorders>
            <w:gridSpan w:val="3"/>
          </w:tcPr>
          <w:p>
            <w:pPr>
              <w:spacing w:after="0" w:line="201" w:lineRule="exact"/>
              <w:rPr>
                <w:sz w:val="20"/>
                <w:szCs w:val="20"/>
                <w:color w:val="auto"/>
              </w:rPr>
            </w:pPr>
            <w:r>
              <w:rPr>
                <w:rFonts w:ascii="Arial" w:cs="Arial" w:eastAsia="Arial" w:hAnsi="Arial"/>
                <w:sz w:val="19"/>
                <w:szCs w:val="19"/>
                <w:color w:val="0000FF"/>
                <w:w w:val="81"/>
              </w:rPr>
              <w:t>177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9"/>
                <w:szCs w:val="19"/>
                <w:color w:val="auto"/>
              </w:rPr>
              <w:t>Section 9.15.</w:t>
            </w:r>
          </w:p>
        </w:tc>
        <w:tc>
          <w:tcPr>
            <w:tcW w:w="3160" w:type="dxa"/>
            <w:vAlign w:val="bottom"/>
            <w:gridSpan w:val="12"/>
          </w:tcPr>
          <w:p>
            <w:pPr>
              <w:ind w:left="20"/>
              <w:spacing w:after="0"/>
              <w:rPr>
                <w:sz w:val="20"/>
                <w:szCs w:val="20"/>
                <w:color w:val="auto"/>
              </w:rPr>
            </w:pPr>
            <w:r>
              <w:rPr>
                <w:rFonts w:ascii="Arial" w:cs="Arial" w:eastAsia="Arial" w:hAnsi="Arial"/>
                <w:sz w:val="19"/>
                <w:szCs w:val="19"/>
                <w:i w:val="1"/>
                <w:iCs w:val="1"/>
                <w:color w:val="auto"/>
                <w:w w:val="94"/>
              </w:rPr>
              <w:t>No Advisory or Fiduciary Responsibility</w:t>
            </w:r>
          </w:p>
        </w:tc>
        <w:tc>
          <w:tcPr>
            <w:tcW w:w="580" w:type="dxa"/>
            <w:vAlign w:val="bottom"/>
            <w:gridSpan w:val="4"/>
          </w:tcPr>
          <w:p>
            <w:pPr>
              <w:jc w:val="right"/>
              <w:ind w:right="24"/>
              <w:spacing w:after="0"/>
              <w:rPr>
                <w:sz w:val="20"/>
                <w:szCs w:val="20"/>
                <w:color w:val="auto"/>
              </w:rPr>
            </w:pPr>
            <w:r>
              <w:rPr>
                <w:rFonts w:ascii="Arial" w:cs="Arial" w:eastAsia="Arial" w:hAnsi="Arial"/>
                <w:sz w:val="19"/>
                <w:szCs w:val="19"/>
                <w:color w:val="auto"/>
              </w:rPr>
              <w:t>178</w:t>
            </w: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rPr>
              <w:t>Section 9.16.</w:t>
            </w:r>
          </w:p>
        </w:tc>
        <w:tc>
          <w:tcPr>
            <w:tcW w:w="2000" w:type="dxa"/>
            <w:vAlign w:val="bottom"/>
            <w:gridSpan w:val="5"/>
          </w:tcPr>
          <w:p>
            <w:pPr>
              <w:ind w:left="20"/>
              <w:spacing w:after="0"/>
              <w:rPr>
                <w:sz w:val="20"/>
                <w:szCs w:val="20"/>
                <w:color w:val="auto"/>
              </w:rPr>
            </w:pPr>
            <w:r>
              <w:rPr>
                <w:rFonts w:ascii="Arial" w:cs="Arial" w:eastAsia="Arial" w:hAnsi="Arial"/>
                <w:sz w:val="19"/>
                <w:szCs w:val="19"/>
                <w:i w:val="1"/>
                <w:iCs w:val="1"/>
                <w:color w:val="auto"/>
              </w:rPr>
              <w:t>Interest Rate Limitation</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179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rPr>
              <w:t>Section 9.17.</w:t>
            </w:r>
          </w:p>
        </w:tc>
        <w:tc>
          <w:tcPr>
            <w:tcW w:w="1300" w:type="dxa"/>
            <w:vAlign w:val="bottom"/>
            <w:gridSpan w:val="3"/>
          </w:tcPr>
          <w:p>
            <w:pPr>
              <w:ind w:left="20"/>
              <w:spacing w:after="0"/>
              <w:rPr>
                <w:sz w:val="20"/>
                <w:szCs w:val="20"/>
                <w:color w:val="auto"/>
              </w:rPr>
            </w:pPr>
            <w:r>
              <w:rPr>
                <w:rFonts w:ascii="Arial" w:cs="Arial" w:eastAsia="Arial" w:hAnsi="Arial"/>
                <w:sz w:val="19"/>
                <w:szCs w:val="19"/>
                <w:i w:val="1"/>
                <w:iCs w:val="1"/>
                <w:color w:val="auto"/>
              </w:rPr>
              <w:t>Lender Action</w:t>
            </w:r>
          </w:p>
        </w:tc>
        <w:tc>
          <w:tcPr>
            <w:tcW w:w="700" w:type="dxa"/>
            <w:vAlign w:val="bottom"/>
            <w:gridSpan w:val="2"/>
          </w:tcPr>
          <w:p>
            <w:pPr>
              <w:jc w:val="right"/>
              <w:ind w:right="400"/>
              <w:spacing w:after="0"/>
              <w:rPr>
                <w:sz w:val="20"/>
                <w:szCs w:val="20"/>
                <w:color w:val="auto"/>
              </w:rPr>
            </w:pPr>
            <w:r>
              <w:rPr>
                <w:rFonts w:ascii="Arial" w:cs="Arial" w:eastAsia="Arial" w:hAnsi="Arial"/>
                <w:sz w:val="19"/>
                <w:szCs w:val="19"/>
                <w:color w:val="auto"/>
                <w:w w:val="88"/>
              </w:rPr>
              <w:t>179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1"/>
        </w:trPr>
        <w:tc>
          <w:tcPr>
            <w:tcW w:w="1180" w:type="dxa"/>
            <w:vAlign w:val="bottom"/>
          </w:tcPr>
          <w:p>
            <w:pPr>
              <w:spacing w:after="0" w:line="201" w:lineRule="exact"/>
              <w:rPr>
                <w:sz w:val="20"/>
                <w:szCs w:val="20"/>
                <w:color w:val="auto"/>
              </w:rPr>
            </w:pPr>
            <w:r>
              <w:rPr>
                <w:rFonts w:ascii="Arial" w:cs="Arial" w:eastAsia="Arial" w:hAnsi="Arial"/>
                <w:sz w:val="19"/>
                <w:szCs w:val="19"/>
                <w:color w:val="auto"/>
              </w:rPr>
              <w:t>Section 9.18.</w:t>
            </w:r>
          </w:p>
        </w:tc>
        <w:tc>
          <w:tcPr>
            <w:tcW w:w="2760" w:type="dxa"/>
            <w:vAlign w:val="bottom"/>
            <w:gridSpan w:val="9"/>
          </w:tcPr>
          <w:p>
            <w:pPr>
              <w:ind w:left="20"/>
              <w:spacing w:after="0" w:line="201" w:lineRule="exact"/>
              <w:rPr>
                <w:sz w:val="20"/>
                <w:szCs w:val="20"/>
                <w:color w:val="auto"/>
              </w:rPr>
            </w:pPr>
            <w:r>
              <w:rPr>
                <w:rFonts w:ascii="Arial" w:cs="Arial" w:eastAsia="Arial" w:hAnsi="Arial"/>
                <w:sz w:val="19"/>
                <w:szCs w:val="19"/>
                <w:i w:val="1"/>
                <w:iCs w:val="1"/>
                <w:color w:val="auto"/>
                <w:w w:val="97"/>
              </w:rPr>
              <w:t>Marshalling; Payments Set Aside</w:t>
            </w:r>
          </w:p>
        </w:tc>
        <w:tc>
          <w:tcPr>
            <w:tcW w:w="320" w:type="dxa"/>
            <w:vAlign w:val="bottom"/>
            <w:gridSpan w:val="2"/>
          </w:tcPr>
          <w:p>
            <w:pPr>
              <w:jc w:val="right"/>
              <w:spacing w:after="0" w:line="201" w:lineRule="exact"/>
              <w:rPr>
                <w:sz w:val="20"/>
                <w:szCs w:val="20"/>
                <w:color w:val="auto"/>
              </w:rPr>
            </w:pPr>
            <w:r>
              <w:rPr>
                <w:rFonts w:ascii="Arial" w:cs="Arial" w:eastAsia="Arial" w:hAnsi="Arial"/>
                <w:sz w:val="19"/>
                <w:szCs w:val="19"/>
                <w:color w:val="FF0000"/>
                <w:strike w:val="1"/>
                <w:w w:val="94"/>
              </w:rPr>
              <w:t>180</w:t>
            </w:r>
          </w:p>
        </w:tc>
        <w:tc>
          <w:tcPr>
            <w:tcW w:w="380" w:type="dxa"/>
            <w:vAlign w:val="bottom"/>
            <w:gridSpan w:val="4"/>
          </w:tcPr>
          <w:p>
            <w:pPr>
              <w:spacing w:after="0" w:line="201" w:lineRule="exact"/>
              <w:rPr>
                <w:sz w:val="20"/>
                <w:szCs w:val="20"/>
                <w:color w:val="auto"/>
              </w:rPr>
            </w:pPr>
            <w:r>
              <w:rPr>
                <w:rFonts w:ascii="Arial" w:cs="Arial" w:eastAsia="Arial" w:hAnsi="Arial"/>
                <w:sz w:val="19"/>
                <w:szCs w:val="19"/>
                <w:color w:val="0000FF"/>
              </w:rPr>
              <w:t>179</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9"/>
                <w:szCs w:val="19"/>
                <w:color w:val="auto"/>
              </w:rPr>
              <w:t>Section 9.19.</w:t>
            </w:r>
          </w:p>
        </w:tc>
        <w:tc>
          <w:tcPr>
            <w:tcW w:w="2000" w:type="dxa"/>
            <w:vAlign w:val="bottom"/>
            <w:gridSpan w:val="5"/>
          </w:tcPr>
          <w:p>
            <w:pPr>
              <w:ind w:left="20"/>
              <w:spacing w:after="0"/>
              <w:rPr>
                <w:sz w:val="20"/>
                <w:szCs w:val="20"/>
                <w:color w:val="auto"/>
              </w:rPr>
            </w:pPr>
            <w:r>
              <w:rPr>
                <w:rFonts w:ascii="Arial" w:cs="Arial" w:eastAsia="Arial" w:hAnsi="Arial"/>
                <w:sz w:val="19"/>
                <w:szCs w:val="19"/>
                <w:i w:val="1"/>
                <w:iCs w:val="1"/>
                <w:color w:val="auto"/>
                <w:w w:val="97"/>
              </w:rPr>
              <w:t>Margin Stock; Collateral</w:t>
            </w:r>
          </w:p>
        </w:tc>
        <w:tc>
          <w:tcPr>
            <w:tcW w:w="640" w:type="dxa"/>
            <w:vAlign w:val="bottom"/>
            <w:gridSpan w:val="3"/>
          </w:tcPr>
          <w:p>
            <w:pPr>
              <w:jc w:val="right"/>
              <w:ind w:right="104"/>
              <w:spacing w:after="0"/>
              <w:rPr>
                <w:sz w:val="20"/>
                <w:szCs w:val="20"/>
                <w:color w:val="auto"/>
              </w:rPr>
            </w:pPr>
            <w:r>
              <w:rPr>
                <w:rFonts w:ascii="Arial" w:cs="Arial" w:eastAsia="Arial" w:hAnsi="Arial"/>
                <w:sz w:val="19"/>
                <w:szCs w:val="19"/>
                <w:color w:val="auto"/>
              </w:rPr>
              <w:t>180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6320" w:type="dxa"/>
            <w:vAlign w:val="bottom"/>
            <w:gridSpan w:val="18"/>
          </w:tcPr>
          <w:p>
            <w:pPr>
              <w:spacing w:after="0"/>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i w:val="1"/>
                <w:iCs w:val="1"/>
                <w:color w:val="auto"/>
              </w:rPr>
              <w:t>Acknowledgement and Consent to Bail</w:t>
            </w:r>
            <w:r>
              <w:rPr>
                <w:rFonts w:ascii="Arial" w:cs="Arial" w:eastAsia="Arial" w:hAnsi="Arial"/>
                <w:sz w:val="19"/>
                <w:szCs w:val="19"/>
                <w:color w:val="auto"/>
              </w:rPr>
              <w:t>-</w:t>
            </w:r>
            <w:r>
              <w:rPr>
                <w:rFonts w:ascii="Arial" w:cs="Arial" w:eastAsia="Arial" w:hAnsi="Arial"/>
                <w:sz w:val="19"/>
                <w:szCs w:val="19"/>
                <w:i w:val="1"/>
                <w:iCs w:val="1"/>
                <w:color w:val="auto"/>
              </w:rPr>
              <w:t>in of EEA Financial</w:t>
            </w:r>
          </w:p>
        </w:tc>
      </w:tr>
      <w:tr>
        <w:trPr>
          <w:trHeight w:val="223"/>
        </w:trPr>
        <w:tc>
          <w:tcPr>
            <w:tcW w:w="1580" w:type="dxa"/>
            <w:vAlign w:val="bottom"/>
            <w:gridSpan w:val="2"/>
          </w:tcPr>
          <w:p>
            <w:pPr>
              <w:spacing w:after="0"/>
              <w:rPr>
                <w:sz w:val="20"/>
                <w:szCs w:val="20"/>
                <w:color w:val="auto"/>
              </w:rPr>
            </w:pPr>
            <w:r>
              <w:rPr>
                <w:rFonts w:ascii="Arial" w:cs="Arial" w:eastAsia="Arial" w:hAnsi="Arial"/>
                <w:sz w:val="19"/>
                <w:szCs w:val="19"/>
                <w:i w:val="1"/>
                <w:iCs w:val="1"/>
                <w:color w:val="auto"/>
              </w:rPr>
              <w:t xml:space="preserve">Institutions  </w:t>
            </w:r>
            <w:r>
              <w:rPr>
                <w:rFonts w:ascii="Arial" w:cs="Arial" w:eastAsia="Arial" w:hAnsi="Arial"/>
                <w:sz w:val="19"/>
                <w:szCs w:val="19"/>
                <w:color w:val="auto"/>
              </w:rPr>
              <w:t>180</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1"/>
        </w:trPr>
        <w:tc>
          <w:tcPr>
            <w:tcW w:w="3240" w:type="dxa"/>
            <w:vAlign w:val="bottom"/>
            <w:gridSpan w:val="7"/>
          </w:tcPr>
          <w:p>
            <w:pPr>
              <w:spacing w:after="0" w:line="201" w:lineRule="exact"/>
              <w:rPr>
                <w:sz w:val="20"/>
                <w:szCs w:val="20"/>
                <w:color w:val="auto"/>
              </w:rPr>
            </w:pPr>
            <w:r>
              <w:rPr>
                <w:rFonts w:ascii="Arial" w:cs="Arial" w:eastAsia="Arial" w:hAnsi="Arial"/>
                <w:sz w:val="19"/>
                <w:szCs w:val="19"/>
                <w:color w:val="auto"/>
              </w:rPr>
              <w:t xml:space="preserve">Section 9.21.  </w:t>
            </w:r>
            <w:r>
              <w:rPr>
                <w:rFonts w:ascii="Arial" w:cs="Arial" w:eastAsia="Arial" w:hAnsi="Arial"/>
                <w:sz w:val="19"/>
                <w:szCs w:val="19"/>
                <w:i w:val="1"/>
                <w:iCs w:val="1"/>
                <w:color w:val="auto"/>
              </w:rPr>
              <w:t>Certain ERISA Matters</w:t>
            </w:r>
            <w:r>
              <w:rPr>
                <w:rFonts w:ascii="Arial" w:cs="Arial" w:eastAsia="Arial" w:hAnsi="Arial"/>
                <w:sz w:val="19"/>
                <w:szCs w:val="19"/>
                <w:color w:val="auto"/>
              </w:rPr>
              <w:t>.</w:t>
            </w:r>
          </w:p>
        </w:tc>
        <w:tc>
          <w:tcPr>
            <w:tcW w:w="300" w:type="dxa"/>
            <w:vAlign w:val="bottom"/>
          </w:tcPr>
          <w:p>
            <w:pPr>
              <w:jc w:val="right"/>
              <w:spacing w:after="0" w:line="201" w:lineRule="exact"/>
              <w:rPr>
                <w:sz w:val="20"/>
                <w:szCs w:val="20"/>
                <w:color w:val="auto"/>
              </w:rPr>
            </w:pPr>
            <w:r>
              <w:rPr>
                <w:rFonts w:ascii="Arial" w:cs="Arial" w:eastAsia="Arial" w:hAnsi="Arial"/>
                <w:sz w:val="19"/>
                <w:szCs w:val="19"/>
                <w:color w:val="FF0000"/>
                <w:strike w:val="1"/>
                <w:w w:val="88"/>
              </w:rPr>
              <w:t>181</w:t>
            </w:r>
          </w:p>
        </w:tc>
        <w:tc>
          <w:tcPr>
            <w:tcW w:w="280" w:type="dxa"/>
            <w:vAlign w:val="bottom"/>
            <w:tcBorders>
              <w:bottom w:val="single" w:sz="8" w:color="0000FF"/>
            </w:tcBorders>
          </w:tcPr>
          <w:p>
            <w:pPr>
              <w:jc w:val="right"/>
              <w:spacing w:after="0" w:line="201" w:lineRule="exact"/>
              <w:rPr>
                <w:sz w:val="20"/>
                <w:szCs w:val="20"/>
                <w:color w:val="auto"/>
              </w:rPr>
            </w:pPr>
            <w:r>
              <w:rPr>
                <w:rFonts w:ascii="Arial" w:cs="Arial" w:eastAsia="Arial" w:hAnsi="Arial"/>
                <w:sz w:val="19"/>
                <w:szCs w:val="19"/>
                <w:color w:val="0000FF"/>
                <w:w w:val="81"/>
              </w:rPr>
              <w:t>180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9"/>
                <w:szCs w:val="19"/>
                <w:color w:val="auto"/>
                <w:w w:val="95"/>
              </w:rPr>
              <w:t>SCHEDULES:</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3940" w:type="dxa"/>
            <w:vAlign w:val="bottom"/>
            <w:gridSpan w:val="10"/>
          </w:tcPr>
          <w:p>
            <w:pPr>
              <w:spacing w:after="0"/>
              <w:rPr>
                <w:sz w:val="20"/>
                <w:szCs w:val="20"/>
                <w:color w:val="auto"/>
              </w:rPr>
            </w:pPr>
            <w:r>
              <w:rPr>
                <w:rFonts w:ascii="Arial" w:cs="Arial" w:eastAsia="Arial" w:hAnsi="Arial"/>
                <w:sz w:val="19"/>
                <w:szCs w:val="19"/>
                <w:color w:val="auto"/>
              </w:rPr>
              <w:t>Schedule 1.01  —  Disqualified Lenders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w w:val="95"/>
              </w:rPr>
              <w:t>Schedule 2.01</w:t>
            </w:r>
          </w:p>
        </w:tc>
        <w:tc>
          <w:tcPr>
            <w:tcW w:w="400" w:type="dxa"/>
            <w:vAlign w:val="bottom"/>
          </w:tcPr>
          <w:p>
            <w:pPr>
              <w:ind w:left="100"/>
              <w:spacing w:after="0"/>
              <w:rPr>
                <w:sz w:val="20"/>
                <w:szCs w:val="20"/>
                <w:color w:val="auto"/>
              </w:rPr>
            </w:pPr>
            <w:r>
              <w:rPr>
                <w:rFonts w:ascii="Arial" w:cs="Arial" w:eastAsia="Arial" w:hAnsi="Arial"/>
                <w:sz w:val="19"/>
                <w:szCs w:val="19"/>
                <w:color w:val="auto"/>
              </w:rPr>
              <w:t>—</w:t>
            </w:r>
          </w:p>
        </w:tc>
        <w:tc>
          <w:tcPr>
            <w:tcW w:w="1600" w:type="dxa"/>
            <w:vAlign w:val="bottom"/>
            <w:gridSpan w:val="4"/>
          </w:tcPr>
          <w:p>
            <w:pPr>
              <w:ind w:left="100"/>
              <w:spacing w:after="0"/>
              <w:rPr>
                <w:sz w:val="20"/>
                <w:szCs w:val="20"/>
                <w:color w:val="auto"/>
              </w:rPr>
            </w:pPr>
            <w:r>
              <w:rPr>
                <w:rFonts w:ascii="Arial" w:cs="Arial" w:eastAsia="Arial" w:hAnsi="Arial"/>
                <w:sz w:val="19"/>
                <w:szCs w:val="19"/>
                <w:color w:val="auto"/>
              </w:rPr>
              <w:t>Commitments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w w:val="95"/>
              </w:rPr>
              <w:t>Schedule 3.12</w:t>
            </w:r>
          </w:p>
        </w:tc>
        <w:tc>
          <w:tcPr>
            <w:tcW w:w="400" w:type="dxa"/>
            <w:vAlign w:val="bottom"/>
          </w:tcPr>
          <w:p>
            <w:pPr>
              <w:ind w:left="100"/>
              <w:spacing w:after="0"/>
              <w:rPr>
                <w:sz w:val="20"/>
                <w:szCs w:val="20"/>
                <w:color w:val="auto"/>
              </w:rPr>
            </w:pPr>
            <w:r>
              <w:rPr>
                <w:rFonts w:ascii="Arial" w:cs="Arial" w:eastAsia="Arial" w:hAnsi="Arial"/>
                <w:sz w:val="19"/>
                <w:szCs w:val="19"/>
                <w:color w:val="auto"/>
              </w:rPr>
              <w:t>—</w:t>
            </w:r>
          </w:p>
        </w:tc>
        <w:tc>
          <w:tcPr>
            <w:tcW w:w="1600" w:type="dxa"/>
            <w:vAlign w:val="bottom"/>
            <w:gridSpan w:val="4"/>
          </w:tcPr>
          <w:p>
            <w:pPr>
              <w:ind w:left="100"/>
              <w:spacing w:after="0"/>
              <w:rPr>
                <w:sz w:val="20"/>
                <w:szCs w:val="20"/>
                <w:color w:val="auto"/>
              </w:rPr>
            </w:pPr>
            <w:r>
              <w:rPr>
                <w:rFonts w:ascii="Arial" w:cs="Arial" w:eastAsia="Arial" w:hAnsi="Arial"/>
                <w:sz w:val="19"/>
                <w:szCs w:val="19"/>
                <w:color w:val="auto"/>
              </w:rPr>
              <w:t>Subsidiaries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6320" w:type="dxa"/>
            <w:vAlign w:val="bottom"/>
            <w:gridSpan w:val="18"/>
          </w:tcPr>
          <w:p>
            <w:pPr>
              <w:spacing w:after="0"/>
              <w:rPr>
                <w:sz w:val="20"/>
                <w:szCs w:val="20"/>
                <w:color w:val="auto"/>
              </w:rPr>
            </w:pPr>
            <w:r>
              <w:rPr>
                <w:rFonts w:ascii="Arial" w:cs="Arial" w:eastAsia="Arial" w:hAnsi="Arial"/>
                <w:sz w:val="19"/>
                <w:szCs w:val="19"/>
                <w:color w:val="auto"/>
              </w:rPr>
              <w:t>Schedule 3.18  —  Regulatory Status and Memberships Held</w:t>
            </w:r>
          </w:p>
        </w:tc>
      </w:tr>
      <w:tr>
        <w:trPr>
          <w:trHeight w:val="223"/>
        </w:trPr>
        <w:tc>
          <w:tcPr>
            <w:tcW w:w="3940" w:type="dxa"/>
            <w:vAlign w:val="bottom"/>
            <w:gridSpan w:val="10"/>
          </w:tcPr>
          <w:p>
            <w:pPr>
              <w:spacing w:after="0"/>
              <w:rPr>
                <w:sz w:val="20"/>
                <w:szCs w:val="20"/>
                <w:color w:val="auto"/>
              </w:rPr>
            </w:pPr>
            <w:r>
              <w:rPr>
                <w:rFonts w:ascii="Arial" w:cs="Arial" w:eastAsia="Arial" w:hAnsi="Arial"/>
                <w:sz w:val="19"/>
                <w:szCs w:val="19"/>
                <w:color w:val="auto"/>
              </w:rPr>
              <w:t>Schedule 6.01  —  Existing Indebtedness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3180" w:type="dxa"/>
            <w:vAlign w:val="bottom"/>
            <w:gridSpan w:val="6"/>
          </w:tcPr>
          <w:p>
            <w:pPr>
              <w:spacing w:after="0"/>
              <w:rPr>
                <w:sz w:val="20"/>
                <w:szCs w:val="20"/>
                <w:color w:val="auto"/>
              </w:rPr>
            </w:pPr>
            <w:r>
              <w:rPr>
                <w:rFonts w:ascii="Arial" w:cs="Arial" w:eastAsia="Arial" w:hAnsi="Arial"/>
                <w:sz w:val="19"/>
                <w:szCs w:val="19"/>
                <w:color w:val="auto"/>
              </w:rPr>
              <w:t>Schedule 6.02  —  Existing Liens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3940" w:type="dxa"/>
            <w:vAlign w:val="bottom"/>
            <w:gridSpan w:val="10"/>
          </w:tcPr>
          <w:p>
            <w:pPr>
              <w:spacing w:after="0"/>
              <w:rPr>
                <w:sz w:val="20"/>
                <w:szCs w:val="20"/>
                <w:color w:val="auto"/>
              </w:rPr>
            </w:pPr>
            <w:r>
              <w:rPr>
                <w:rFonts w:ascii="Arial" w:cs="Arial" w:eastAsia="Arial" w:hAnsi="Arial"/>
                <w:sz w:val="19"/>
                <w:szCs w:val="19"/>
                <w:color w:val="auto"/>
              </w:rPr>
              <w:t>Schedule 6.04(e)  —  Existing Investments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9"/>
                <w:szCs w:val="19"/>
                <w:color w:val="auto"/>
                <w:w w:val="95"/>
              </w:rPr>
              <w:t>Schedule 6.05</w:t>
            </w:r>
          </w:p>
        </w:tc>
        <w:tc>
          <w:tcPr>
            <w:tcW w:w="400" w:type="dxa"/>
            <w:vAlign w:val="bottom"/>
          </w:tcPr>
          <w:p>
            <w:pPr>
              <w:ind w:left="100"/>
              <w:spacing w:after="0"/>
              <w:rPr>
                <w:sz w:val="20"/>
                <w:szCs w:val="20"/>
                <w:color w:val="auto"/>
              </w:rPr>
            </w:pPr>
            <w:r>
              <w:rPr>
                <w:rFonts w:ascii="Arial" w:cs="Arial" w:eastAsia="Arial" w:hAnsi="Arial"/>
                <w:sz w:val="19"/>
                <w:szCs w:val="19"/>
                <w:color w:val="auto"/>
              </w:rPr>
              <w:t>—</w:t>
            </w:r>
          </w:p>
        </w:tc>
        <w:tc>
          <w:tcPr>
            <w:tcW w:w="1600" w:type="dxa"/>
            <w:vAlign w:val="bottom"/>
            <w:gridSpan w:val="4"/>
          </w:tcPr>
          <w:p>
            <w:pPr>
              <w:ind w:left="100"/>
              <w:spacing w:after="0"/>
              <w:rPr>
                <w:sz w:val="20"/>
                <w:szCs w:val="20"/>
                <w:color w:val="auto"/>
              </w:rPr>
            </w:pPr>
            <w:r>
              <w:rPr>
                <w:rFonts w:ascii="Arial" w:cs="Arial" w:eastAsia="Arial" w:hAnsi="Arial"/>
                <w:sz w:val="19"/>
                <w:szCs w:val="19"/>
                <w:color w:val="auto"/>
              </w:rPr>
              <w:t>Dispositions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4340" w:type="dxa"/>
            <w:vAlign w:val="bottom"/>
            <w:gridSpan w:val="13"/>
          </w:tcPr>
          <w:p>
            <w:pPr>
              <w:spacing w:after="0"/>
              <w:rPr>
                <w:sz w:val="20"/>
                <w:szCs w:val="20"/>
                <w:color w:val="auto"/>
              </w:rPr>
            </w:pPr>
            <w:r>
              <w:rPr>
                <w:rFonts w:ascii="Arial" w:cs="Arial" w:eastAsia="Arial" w:hAnsi="Arial"/>
                <w:sz w:val="19"/>
                <w:szCs w:val="19"/>
                <w:color w:val="auto"/>
              </w:rPr>
              <w:t>Schedule 6.09  —  Existing Affiliate Transactions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3940" w:type="dxa"/>
            <w:vAlign w:val="bottom"/>
            <w:gridSpan w:val="10"/>
          </w:tcPr>
          <w:p>
            <w:pPr>
              <w:spacing w:after="0"/>
              <w:rPr>
                <w:sz w:val="20"/>
                <w:szCs w:val="20"/>
                <w:color w:val="auto"/>
              </w:rPr>
            </w:pPr>
            <w:r>
              <w:rPr>
                <w:rFonts w:ascii="Arial" w:cs="Arial" w:eastAsia="Arial" w:hAnsi="Arial"/>
                <w:sz w:val="19"/>
                <w:szCs w:val="19"/>
                <w:color w:val="auto"/>
              </w:rPr>
              <w:t>Schedule 6.10  —  Existing Restrictions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19"/>
                <w:szCs w:val="19"/>
                <w:color w:val="auto"/>
                <w:w w:val="95"/>
              </w:rPr>
              <w:t>Schedule 9.01</w:t>
            </w:r>
          </w:p>
        </w:tc>
        <w:tc>
          <w:tcPr>
            <w:tcW w:w="400" w:type="dxa"/>
            <w:vAlign w:val="bottom"/>
          </w:tcPr>
          <w:p>
            <w:pPr>
              <w:ind w:left="100"/>
              <w:spacing w:after="0"/>
              <w:rPr>
                <w:sz w:val="20"/>
                <w:szCs w:val="20"/>
                <w:color w:val="auto"/>
              </w:rPr>
            </w:pPr>
            <w:r>
              <w:rPr>
                <w:rFonts w:ascii="Arial" w:cs="Arial" w:eastAsia="Arial" w:hAnsi="Arial"/>
                <w:sz w:val="19"/>
                <w:szCs w:val="19"/>
                <w:color w:val="auto"/>
              </w:rPr>
              <w:t>—</w:t>
            </w:r>
          </w:p>
        </w:tc>
        <w:tc>
          <w:tcPr>
            <w:tcW w:w="900" w:type="dxa"/>
            <w:vAlign w:val="bottom"/>
            <w:gridSpan w:val="2"/>
          </w:tcPr>
          <w:p>
            <w:pPr>
              <w:ind w:left="100"/>
              <w:spacing w:after="0"/>
              <w:rPr>
                <w:sz w:val="20"/>
                <w:szCs w:val="20"/>
                <w:color w:val="auto"/>
              </w:rPr>
            </w:pPr>
            <w:r>
              <w:rPr>
                <w:rFonts w:ascii="Arial" w:cs="Arial" w:eastAsia="Arial" w:hAnsi="Arial"/>
                <w:sz w:val="19"/>
                <w:szCs w:val="19"/>
                <w:color w:val="auto"/>
              </w:rPr>
              <w:t>Notices</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27" w:lineRule="exact"/>
        <w:rPr>
          <w:sz w:val="20"/>
          <w:szCs w:val="20"/>
          <w:color w:val="auto"/>
        </w:rPr>
      </w:pPr>
    </w:p>
    <w:p>
      <w:pPr>
        <w:ind w:left="1680" w:hanging="415"/>
        <w:spacing w:after="0"/>
        <w:tabs>
          <w:tab w:leader="none" w:pos="1680" w:val="left"/>
        </w:tabs>
        <w:numPr>
          <w:ilvl w:val="0"/>
          <w:numId w:val="32"/>
        </w:numPr>
        <w:rPr>
          <w:rFonts w:ascii="Arial" w:cs="Arial" w:eastAsia="Arial" w:hAnsi="Arial"/>
          <w:sz w:val="21"/>
          <w:szCs w:val="21"/>
          <w:color w:val="auto"/>
        </w:rPr>
      </w:pPr>
      <w:r>
        <w:rPr>
          <w:rFonts w:ascii="Arial" w:cs="Arial" w:eastAsia="Arial" w:hAnsi="Arial"/>
          <w:sz w:val="19"/>
          <w:szCs w:val="19"/>
          <w:color w:val="auto"/>
        </w:rPr>
        <w:t>EXHIBITS:</w:t>
      </w:r>
    </w:p>
    <w:p>
      <w:pPr>
        <w:spacing w:after="0" w:line="205"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Exhibit A-1</w:t>
        <w:tab/>
        <w:t>—</w:t>
      </w:r>
      <w:r>
        <w:rPr>
          <w:sz w:val="20"/>
          <w:szCs w:val="20"/>
          <w:color w:val="auto"/>
        </w:rPr>
        <w:tab/>
      </w:r>
      <w:r>
        <w:rPr>
          <w:rFonts w:ascii="Arial" w:cs="Arial" w:eastAsia="Arial" w:hAnsi="Arial"/>
          <w:sz w:val="17"/>
          <w:szCs w:val="17"/>
          <w:color w:val="auto"/>
        </w:rPr>
        <w:t>Form of Assignment and Assumption</w:t>
      </w:r>
    </w:p>
    <w:p>
      <w:pPr>
        <w:spacing w:after="0" w:line="2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Exhibit A-2</w:t>
        <w:tab/>
        <w:t>—</w:t>
      </w:r>
      <w:r>
        <w:rPr>
          <w:sz w:val="20"/>
          <w:szCs w:val="20"/>
          <w:color w:val="auto"/>
        </w:rPr>
        <w:tab/>
      </w:r>
      <w:r>
        <w:rPr>
          <w:rFonts w:ascii="Arial" w:cs="Arial" w:eastAsia="Arial" w:hAnsi="Arial"/>
          <w:sz w:val="17"/>
          <w:szCs w:val="17"/>
          <w:color w:val="auto"/>
        </w:rPr>
        <w:t>Form of Borrower Assignment and Assumption</w:t>
      </w:r>
    </w:p>
    <w:p>
      <w:pPr>
        <w:spacing w:after="0" w:line="5" w:lineRule="exact"/>
        <w:rPr>
          <w:sz w:val="20"/>
          <w:szCs w:val="20"/>
          <w:color w:val="auto"/>
        </w:rPr>
      </w:pPr>
    </w:p>
    <w:p>
      <w:pPr>
        <w:spacing w:after="0"/>
        <w:tabs>
          <w:tab w:leader="none" w:pos="920" w:val="left"/>
          <w:tab w:leader="none" w:pos="1300" w:val="left"/>
        </w:tabs>
        <w:rPr>
          <w:sz w:val="20"/>
          <w:szCs w:val="20"/>
          <w:color w:val="auto"/>
        </w:rPr>
      </w:pPr>
      <w:r>
        <w:rPr>
          <w:rFonts w:ascii="Arial" w:cs="Arial" w:eastAsia="Arial" w:hAnsi="Arial"/>
          <w:sz w:val="19"/>
          <w:szCs w:val="19"/>
          <w:color w:val="auto"/>
        </w:rPr>
        <w:t>Exhibit B</w:t>
        <w:tab/>
        <w:t>—</w:t>
      </w:r>
      <w:r>
        <w:rPr>
          <w:sz w:val="20"/>
          <w:szCs w:val="20"/>
          <w:color w:val="auto"/>
        </w:rPr>
        <w:tab/>
      </w:r>
      <w:r>
        <w:rPr>
          <w:rFonts w:ascii="Arial" w:cs="Arial" w:eastAsia="Arial" w:hAnsi="Arial"/>
          <w:sz w:val="17"/>
          <w:szCs w:val="17"/>
          <w:color w:val="auto"/>
        </w:rPr>
        <w:t>Form of Reaffirmation Agreement</w:t>
      </w:r>
    </w:p>
    <w:p>
      <w:pPr>
        <w:spacing w:after="0" w:line="5" w:lineRule="exact"/>
        <w:rPr>
          <w:sz w:val="20"/>
          <w:szCs w:val="20"/>
          <w:color w:val="auto"/>
        </w:rPr>
      </w:pPr>
    </w:p>
    <w:p>
      <w:pPr>
        <w:spacing w:after="0"/>
        <w:tabs>
          <w:tab w:leader="none" w:pos="920" w:val="left"/>
          <w:tab w:leader="none" w:pos="1300" w:val="left"/>
        </w:tabs>
        <w:rPr>
          <w:sz w:val="20"/>
          <w:szCs w:val="20"/>
          <w:color w:val="auto"/>
        </w:rPr>
      </w:pPr>
      <w:r>
        <w:rPr>
          <w:rFonts w:ascii="Arial" w:cs="Arial" w:eastAsia="Arial" w:hAnsi="Arial"/>
          <w:sz w:val="19"/>
          <w:szCs w:val="19"/>
          <w:color w:val="auto"/>
        </w:rPr>
        <w:t>Exhibit C</w:t>
        <w:tab/>
        <w:t>—</w:t>
      </w:r>
      <w:r>
        <w:rPr>
          <w:sz w:val="20"/>
          <w:szCs w:val="20"/>
          <w:color w:val="auto"/>
        </w:rPr>
        <w:tab/>
      </w:r>
      <w:r>
        <w:rPr>
          <w:rFonts w:ascii="Arial" w:cs="Arial" w:eastAsia="Arial" w:hAnsi="Arial"/>
          <w:sz w:val="17"/>
          <w:szCs w:val="17"/>
          <w:color w:val="auto"/>
        </w:rPr>
        <w:t>Form of Perfection Certificate</w:t>
      </w:r>
    </w:p>
    <w:p>
      <w:pPr>
        <w:spacing w:after="0" w:line="5"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9"/>
          <w:szCs w:val="19"/>
          <w:color w:val="auto"/>
        </w:rPr>
        <w:t>Exhibit D</w:t>
        <w:tab/>
        <w:t>—</w:t>
      </w:r>
      <w:r>
        <w:rPr>
          <w:sz w:val="20"/>
          <w:szCs w:val="20"/>
          <w:color w:val="auto"/>
        </w:rPr>
        <w:tab/>
      </w:r>
      <w:r>
        <w:rPr>
          <w:rFonts w:ascii="Arial" w:cs="Arial" w:eastAsia="Arial" w:hAnsi="Arial"/>
          <w:sz w:val="17"/>
          <w:szCs w:val="17"/>
          <w:color w:val="auto"/>
        </w:rPr>
        <w:t>[Reserved]</w:t>
      </w:r>
    </w:p>
    <w:p>
      <w:pPr>
        <w:spacing w:after="0" w:line="5" w:lineRule="exact"/>
        <w:rPr>
          <w:sz w:val="20"/>
          <w:szCs w:val="20"/>
          <w:color w:val="auto"/>
        </w:rPr>
      </w:pPr>
    </w:p>
    <w:p>
      <w:pPr>
        <w:spacing w:after="0"/>
        <w:tabs>
          <w:tab w:leader="none" w:pos="900" w:val="left"/>
          <w:tab w:leader="none" w:pos="1300" w:val="left"/>
        </w:tabs>
        <w:rPr>
          <w:sz w:val="20"/>
          <w:szCs w:val="20"/>
          <w:color w:val="auto"/>
        </w:rPr>
      </w:pPr>
      <w:r>
        <w:rPr>
          <w:rFonts w:ascii="Arial" w:cs="Arial" w:eastAsia="Arial" w:hAnsi="Arial"/>
          <w:sz w:val="19"/>
          <w:szCs w:val="19"/>
          <w:color w:val="auto"/>
        </w:rPr>
        <w:t>Exhibit E</w:t>
        <w:tab/>
        <w:t>—</w:t>
      </w:r>
      <w:r>
        <w:rPr>
          <w:sz w:val="20"/>
          <w:szCs w:val="20"/>
          <w:color w:val="auto"/>
        </w:rPr>
        <w:tab/>
      </w:r>
      <w:r>
        <w:rPr>
          <w:rFonts w:ascii="Arial" w:cs="Arial" w:eastAsia="Arial" w:hAnsi="Arial"/>
          <w:sz w:val="17"/>
          <w:szCs w:val="17"/>
          <w:color w:val="auto"/>
        </w:rPr>
        <w:t>[Reserved]</w:t>
      </w:r>
    </w:p>
    <w:p>
      <w:pPr>
        <w:spacing w:after="0" w:line="5" w:lineRule="exact"/>
        <w:rPr>
          <w:sz w:val="20"/>
          <w:szCs w:val="20"/>
          <w:color w:val="auto"/>
        </w:rPr>
      </w:pPr>
    </w:p>
    <w:p>
      <w:pPr>
        <w:spacing w:after="0"/>
        <w:tabs>
          <w:tab w:leader="none" w:pos="1060" w:val="left"/>
          <w:tab w:leader="none" w:pos="1440" w:val="left"/>
        </w:tabs>
        <w:rPr>
          <w:sz w:val="20"/>
          <w:szCs w:val="20"/>
          <w:color w:val="auto"/>
        </w:rPr>
      </w:pPr>
      <w:r>
        <w:rPr>
          <w:rFonts w:ascii="Arial" w:cs="Arial" w:eastAsia="Arial" w:hAnsi="Arial"/>
          <w:sz w:val="19"/>
          <w:szCs w:val="19"/>
          <w:color w:val="auto"/>
        </w:rPr>
        <w:t>Exhibit F-1</w:t>
        <w:tab/>
        <w:t>—</w:t>
      </w:r>
      <w:r>
        <w:rPr>
          <w:sz w:val="20"/>
          <w:szCs w:val="20"/>
          <w:color w:val="auto"/>
        </w:rPr>
        <w:tab/>
      </w:r>
      <w:r>
        <w:rPr>
          <w:rFonts w:ascii="Arial" w:cs="Arial" w:eastAsia="Arial" w:hAnsi="Arial"/>
          <w:sz w:val="17"/>
          <w:szCs w:val="17"/>
          <w:color w:val="auto"/>
        </w:rPr>
        <w:t>Form of First Lien Intercreditor Agreement</w:t>
      </w:r>
    </w:p>
    <w:p>
      <w:pPr>
        <w:spacing w:after="0" w:line="5" w:lineRule="exact"/>
        <w:rPr>
          <w:sz w:val="20"/>
          <w:szCs w:val="20"/>
          <w:color w:val="auto"/>
        </w:rPr>
      </w:pPr>
    </w:p>
    <w:p>
      <w:pPr>
        <w:spacing w:after="0"/>
        <w:tabs>
          <w:tab w:leader="none" w:pos="1060" w:val="left"/>
          <w:tab w:leader="none" w:pos="1440" w:val="left"/>
        </w:tabs>
        <w:rPr>
          <w:sz w:val="20"/>
          <w:szCs w:val="20"/>
          <w:color w:val="auto"/>
        </w:rPr>
      </w:pPr>
      <w:r>
        <w:rPr>
          <w:rFonts w:ascii="Arial" w:cs="Arial" w:eastAsia="Arial" w:hAnsi="Arial"/>
          <w:sz w:val="19"/>
          <w:szCs w:val="19"/>
          <w:color w:val="auto"/>
        </w:rPr>
        <w:t>Exhibit F-2</w:t>
        <w:tab/>
        <w:t>—</w:t>
      </w:r>
      <w:r>
        <w:rPr>
          <w:sz w:val="20"/>
          <w:szCs w:val="20"/>
          <w:color w:val="auto"/>
        </w:rPr>
        <w:tab/>
      </w:r>
      <w:r>
        <w:rPr>
          <w:rFonts w:ascii="Arial" w:cs="Arial" w:eastAsia="Arial" w:hAnsi="Arial"/>
          <w:sz w:val="17"/>
          <w:szCs w:val="17"/>
          <w:color w:val="auto"/>
        </w:rPr>
        <w:t>Form of Junior Lien Intercreditor Agreement</w:t>
      </w:r>
    </w:p>
    <w:p>
      <w:pPr>
        <w:spacing w:after="0" w:line="5"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9"/>
          <w:szCs w:val="19"/>
          <w:color w:val="auto"/>
        </w:rPr>
        <w:t>Exhibit G</w:t>
        <w:tab/>
        <w:t>—</w:t>
      </w:r>
      <w:r>
        <w:rPr>
          <w:sz w:val="20"/>
          <w:szCs w:val="20"/>
          <w:color w:val="auto"/>
        </w:rPr>
        <w:tab/>
      </w:r>
      <w:r>
        <w:rPr>
          <w:rFonts w:ascii="Arial" w:cs="Arial" w:eastAsia="Arial" w:hAnsi="Arial"/>
          <w:sz w:val="17"/>
          <w:szCs w:val="17"/>
          <w:color w:val="auto"/>
        </w:rPr>
        <w:t>Form of Restatement Effective Date Certificate</w:t>
      </w:r>
    </w:p>
    <w:p>
      <w:pPr>
        <w:spacing w:after="0" w:line="5"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9"/>
          <w:szCs w:val="19"/>
          <w:color w:val="auto"/>
        </w:rPr>
        <w:t>Exhibit H</w:t>
        <w:tab/>
        <w:t>—</w:t>
      </w:r>
      <w:r>
        <w:rPr>
          <w:sz w:val="20"/>
          <w:szCs w:val="20"/>
          <w:color w:val="auto"/>
        </w:rPr>
        <w:tab/>
      </w:r>
      <w:r>
        <w:rPr>
          <w:rFonts w:ascii="Arial" w:cs="Arial" w:eastAsia="Arial" w:hAnsi="Arial"/>
          <w:sz w:val="17"/>
          <w:szCs w:val="17"/>
          <w:color w:val="auto"/>
        </w:rPr>
        <w:t>Form of Intercompany Note</w:t>
      </w:r>
    </w:p>
    <w:p>
      <w:pPr>
        <w:spacing w:after="0" w:line="5" w:lineRule="exact"/>
        <w:rPr>
          <w:sz w:val="20"/>
          <w:szCs w:val="20"/>
          <w:color w:val="auto"/>
        </w:rPr>
      </w:pPr>
    </w:p>
    <w:p>
      <w:pPr>
        <w:spacing w:after="0"/>
        <w:tabs>
          <w:tab w:leader="none" w:pos="860" w:val="left"/>
          <w:tab w:leader="none" w:pos="1240" w:val="left"/>
        </w:tabs>
        <w:rPr>
          <w:sz w:val="20"/>
          <w:szCs w:val="20"/>
          <w:color w:val="auto"/>
        </w:rPr>
      </w:pPr>
      <w:r>
        <w:rPr>
          <w:rFonts w:ascii="Arial" w:cs="Arial" w:eastAsia="Arial" w:hAnsi="Arial"/>
          <w:sz w:val="19"/>
          <w:szCs w:val="19"/>
          <w:color w:val="auto"/>
        </w:rPr>
        <w:t>Exhibit I</w:t>
        <w:tab/>
        <w:t>—</w:t>
      </w:r>
      <w:r>
        <w:rPr>
          <w:sz w:val="20"/>
          <w:szCs w:val="20"/>
          <w:color w:val="auto"/>
        </w:rPr>
        <w:tab/>
      </w:r>
      <w:r>
        <w:rPr>
          <w:rFonts w:ascii="Arial" w:cs="Arial" w:eastAsia="Arial" w:hAnsi="Arial"/>
          <w:sz w:val="17"/>
          <w:szCs w:val="17"/>
          <w:color w:val="auto"/>
        </w:rPr>
        <w:t>Form of Specified Discount Prepayment Notice</w:t>
      </w:r>
    </w:p>
    <w:p>
      <w:pPr>
        <w:spacing w:after="0" w:line="5" w:lineRule="exact"/>
        <w:rPr>
          <w:sz w:val="20"/>
          <w:szCs w:val="20"/>
          <w:color w:val="auto"/>
        </w:rPr>
      </w:pPr>
    </w:p>
    <w:p>
      <w:pPr>
        <w:spacing w:after="0"/>
        <w:tabs>
          <w:tab w:leader="none" w:pos="860" w:val="left"/>
          <w:tab w:leader="none" w:pos="1260" w:val="left"/>
        </w:tabs>
        <w:rPr>
          <w:sz w:val="20"/>
          <w:szCs w:val="20"/>
          <w:color w:val="auto"/>
        </w:rPr>
      </w:pPr>
      <w:r>
        <w:rPr>
          <w:rFonts w:ascii="Arial" w:cs="Arial" w:eastAsia="Arial" w:hAnsi="Arial"/>
          <w:sz w:val="19"/>
          <w:szCs w:val="19"/>
          <w:color w:val="auto"/>
        </w:rPr>
        <w:t>Exhibit J</w:t>
        <w:tab/>
        <w:t>—</w:t>
      </w:r>
      <w:r>
        <w:rPr>
          <w:sz w:val="20"/>
          <w:szCs w:val="20"/>
          <w:color w:val="auto"/>
        </w:rPr>
        <w:tab/>
      </w:r>
      <w:r>
        <w:rPr>
          <w:rFonts w:ascii="Arial" w:cs="Arial" w:eastAsia="Arial" w:hAnsi="Arial"/>
          <w:sz w:val="17"/>
          <w:szCs w:val="17"/>
          <w:color w:val="auto"/>
        </w:rPr>
        <w:t>Form of Specified Discount Prepayment Response</w:t>
      </w:r>
    </w:p>
    <w:p>
      <w:pPr>
        <w:spacing w:after="0" w:line="5"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9"/>
          <w:szCs w:val="19"/>
          <w:color w:val="auto"/>
        </w:rPr>
        <w:t>Exhibit K</w:t>
        <w:tab/>
        <w:t>—</w:t>
      </w:r>
      <w:r>
        <w:rPr>
          <w:sz w:val="20"/>
          <w:szCs w:val="20"/>
          <w:color w:val="auto"/>
        </w:rPr>
        <w:tab/>
      </w:r>
      <w:r>
        <w:rPr>
          <w:rFonts w:ascii="Arial" w:cs="Arial" w:eastAsia="Arial" w:hAnsi="Arial"/>
          <w:sz w:val="17"/>
          <w:szCs w:val="17"/>
          <w:color w:val="auto"/>
        </w:rPr>
        <w:t>Form of Discount Range Prepayment Notice</w:t>
      </w:r>
    </w:p>
    <w:p>
      <w:pPr>
        <w:spacing w:after="0" w:line="5" w:lineRule="exact"/>
        <w:rPr>
          <w:sz w:val="20"/>
          <w:szCs w:val="20"/>
          <w:color w:val="auto"/>
        </w:rPr>
      </w:pPr>
    </w:p>
    <w:p>
      <w:pPr>
        <w:spacing w:after="0"/>
        <w:tabs>
          <w:tab w:leader="none" w:pos="900" w:val="left"/>
          <w:tab w:leader="none" w:pos="1280" w:val="left"/>
        </w:tabs>
        <w:rPr>
          <w:sz w:val="20"/>
          <w:szCs w:val="20"/>
          <w:color w:val="auto"/>
        </w:rPr>
      </w:pPr>
      <w:r>
        <w:rPr>
          <w:rFonts w:ascii="Arial" w:cs="Arial" w:eastAsia="Arial" w:hAnsi="Arial"/>
          <w:sz w:val="19"/>
          <w:szCs w:val="19"/>
          <w:color w:val="auto"/>
        </w:rPr>
        <w:t>Exhibit L</w:t>
        <w:tab/>
        <w:t>—</w:t>
      </w:r>
      <w:r>
        <w:rPr>
          <w:sz w:val="20"/>
          <w:szCs w:val="20"/>
          <w:color w:val="auto"/>
        </w:rPr>
        <w:tab/>
      </w:r>
      <w:r>
        <w:rPr>
          <w:rFonts w:ascii="Arial" w:cs="Arial" w:eastAsia="Arial" w:hAnsi="Arial"/>
          <w:sz w:val="17"/>
          <w:szCs w:val="17"/>
          <w:color w:val="auto"/>
        </w:rPr>
        <w:t>Form of Discount Range Prepayment Offer</w:t>
      </w:r>
    </w:p>
    <w:p>
      <w:pPr>
        <w:spacing w:after="0" w:line="5" w:lineRule="exact"/>
        <w:rPr>
          <w:sz w:val="20"/>
          <w:szCs w:val="20"/>
          <w:color w:val="auto"/>
        </w:rPr>
      </w:pPr>
    </w:p>
    <w:p>
      <w:pPr>
        <w:spacing w:after="0"/>
        <w:tabs>
          <w:tab w:leader="none" w:pos="960" w:val="left"/>
          <w:tab w:leader="none" w:pos="1340" w:val="left"/>
        </w:tabs>
        <w:rPr>
          <w:sz w:val="20"/>
          <w:szCs w:val="20"/>
          <w:color w:val="auto"/>
        </w:rPr>
      </w:pPr>
      <w:r>
        <w:rPr>
          <w:rFonts w:ascii="Arial" w:cs="Arial" w:eastAsia="Arial" w:hAnsi="Arial"/>
          <w:sz w:val="19"/>
          <w:szCs w:val="19"/>
          <w:color w:val="auto"/>
        </w:rPr>
        <w:t>Exhibit M</w:t>
        <w:tab/>
        <w:t>—</w:t>
      </w:r>
      <w:r>
        <w:rPr>
          <w:sz w:val="20"/>
          <w:szCs w:val="20"/>
          <w:color w:val="auto"/>
        </w:rPr>
        <w:tab/>
      </w:r>
      <w:r>
        <w:rPr>
          <w:rFonts w:ascii="Arial" w:cs="Arial" w:eastAsia="Arial" w:hAnsi="Arial"/>
          <w:sz w:val="17"/>
          <w:szCs w:val="17"/>
          <w:color w:val="auto"/>
        </w:rPr>
        <w:t>Form of Solicited Discounted Prepayment Notice</w:t>
      </w:r>
    </w:p>
    <w:p>
      <w:pPr>
        <w:spacing w:after="0" w:line="5"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9"/>
          <w:szCs w:val="19"/>
          <w:color w:val="auto"/>
        </w:rPr>
        <w:t>Exhibit N</w:t>
        <w:tab/>
        <w:t>—</w:t>
      </w:r>
      <w:r>
        <w:rPr>
          <w:sz w:val="20"/>
          <w:szCs w:val="20"/>
          <w:color w:val="auto"/>
        </w:rPr>
        <w:tab/>
      </w:r>
      <w:r>
        <w:rPr>
          <w:rFonts w:ascii="Arial" w:cs="Arial" w:eastAsia="Arial" w:hAnsi="Arial"/>
          <w:sz w:val="17"/>
          <w:szCs w:val="17"/>
          <w:color w:val="auto"/>
        </w:rPr>
        <w:t>Form of Solicited Discounted Prepayment Offer</w:t>
      </w:r>
    </w:p>
    <w:p>
      <w:pPr>
        <w:spacing w:after="0" w:line="5"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9"/>
          <w:szCs w:val="19"/>
          <w:color w:val="auto"/>
        </w:rPr>
        <w:t>Exhibit O</w:t>
        <w:tab/>
        <w:t>—</w:t>
      </w:r>
      <w:r>
        <w:rPr>
          <w:sz w:val="20"/>
          <w:szCs w:val="20"/>
          <w:color w:val="auto"/>
        </w:rPr>
        <w:tab/>
      </w:r>
      <w:r>
        <w:rPr>
          <w:rFonts w:ascii="Arial" w:cs="Arial" w:eastAsia="Arial" w:hAnsi="Arial"/>
          <w:sz w:val="17"/>
          <w:szCs w:val="17"/>
          <w:color w:val="auto"/>
        </w:rPr>
        <w:t>Form of Acceptance and Prepayment Notice</w:t>
      </w:r>
    </w:p>
    <w:p>
      <w:pPr>
        <w:spacing w:after="0" w:line="5" w:lineRule="exact"/>
        <w:rPr>
          <w:sz w:val="20"/>
          <w:szCs w:val="20"/>
          <w:color w:val="auto"/>
        </w:rPr>
      </w:pPr>
    </w:p>
    <w:p>
      <w:pPr>
        <w:spacing w:after="0"/>
        <w:tabs>
          <w:tab w:leader="none" w:pos="1060" w:val="left"/>
          <w:tab w:leader="none" w:pos="1440" w:val="left"/>
        </w:tabs>
        <w:rPr>
          <w:sz w:val="20"/>
          <w:szCs w:val="20"/>
          <w:color w:val="auto"/>
        </w:rPr>
      </w:pPr>
      <w:r>
        <w:rPr>
          <w:rFonts w:ascii="Arial" w:cs="Arial" w:eastAsia="Arial" w:hAnsi="Arial"/>
          <w:sz w:val="19"/>
          <w:szCs w:val="19"/>
          <w:color w:val="auto"/>
        </w:rPr>
        <w:t>Exhibit P-1</w:t>
        <w:tab/>
        <w:t>—</w:t>
      </w:r>
      <w:r>
        <w:rPr>
          <w:sz w:val="20"/>
          <w:szCs w:val="20"/>
          <w:color w:val="auto"/>
        </w:rPr>
        <w:tab/>
      </w:r>
      <w:r>
        <w:rPr>
          <w:rFonts w:ascii="Arial" w:cs="Arial" w:eastAsia="Arial" w:hAnsi="Arial"/>
          <w:sz w:val="17"/>
          <w:szCs w:val="17"/>
          <w:color w:val="auto"/>
        </w:rPr>
        <w:t>Form of Tax Status Certificate 1</w:t>
      </w:r>
    </w:p>
    <w:p>
      <w:pPr>
        <w:spacing w:after="0" w:line="5" w:lineRule="exact"/>
        <w:rPr>
          <w:sz w:val="20"/>
          <w:szCs w:val="20"/>
          <w:color w:val="auto"/>
        </w:rPr>
      </w:pPr>
    </w:p>
    <w:p>
      <w:pPr>
        <w:spacing w:after="0"/>
        <w:tabs>
          <w:tab w:leader="none" w:pos="1060" w:val="left"/>
          <w:tab w:leader="none" w:pos="1440" w:val="left"/>
        </w:tabs>
        <w:rPr>
          <w:sz w:val="20"/>
          <w:szCs w:val="20"/>
          <w:color w:val="auto"/>
        </w:rPr>
      </w:pPr>
      <w:r>
        <w:rPr>
          <w:rFonts w:ascii="Arial" w:cs="Arial" w:eastAsia="Arial" w:hAnsi="Arial"/>
          <w:sz w:val="19"/>
          <w:szCs w:val="19"/>
          <w:color w:val="auto"/>
        </w:rPr>
        <w:t>Exhibit P-2</w:t>
        <w:tab/>
        <w:t>—</w:t>
      </w:r>
      <w:r>
        <w:rPr>
          <w:sz w:val="20"/>
          <w:szCs w:val="20"/>
          <w:color w:val="auto"/>
        </w:rPr>
        <w:tab/>
      </w:r>
      <w:r>
        <w:rPr>
          <w:rFonts w:ascii="Arial" w:cs="Arial" w:eastAsia="Arial" w:hAnsi="Arial"/>
          <w:sz w:val="17"/>
          <w:szCs w:val="17"/>
          <w:color w:val="auto"/>
        </w:rPr>
        <w:t>Form of Tax Status Certificate 2</w:t>
      </w:r>
    </w:p>
    <w:p>
      <w:pPr>
        <w:spacing w:after="0" w:line="5" w:lineRule="exact"/>
        <w:rPr>
          <w:sz w:val="20"/>
          <w:szCs w:val="20"/>
          <w:color w:val="auto"/>
        </w:rPr>
      </w:pPr>
    </w:p>
    <w:p>
      <w:pPr>
        <w:spacing w:after="0"/>
        <w:tabs>
          <w:tab w:leader="none" w:pos="1060" w:val="left"/>
          <w:tab w:leader="none" w:pos="1440" w:val="left"/>
        </w:tabs>
        <w:rPr>
          <w:sz w:val="20"/>
          <w:szCs w:val="20"/>
          <w:color w:val="auto"/>
        </w:rPr>
      </w:pPr>
      <w:r>
        <w:rPr>
          <w:rFonts w:ascii="Arial" w:cs="Arial" w:eastAsia="Arial" w:hAnsi="Arial"/>
          <w:sz w:val="19"/>
          <w:szCs w:val="19"/>
          <w:color w:val="auto"/>
        </w:rPr>
        <w:t>Exhibit P-3</w:t>
        <w:tab/>
        <w:t>—</w:t>
      </w:r>
      <w:r>
        <w:rPr>
          <w:sz w:val="20"/>
          <w:szCs w:val="20"/>
          <w:color w:val="auto"/>
        </w:rPr>
        <w:tab/>
      </w:r>
      <w:r>
        <w:rPr>
          <w:rFonts w:ascii="Arial" w:cs="Arial" w:eastAsia="Arial" w:hAnsi="Arial"/>
          <w:sz w:val="17"/>
          <w:szCs w:val="17"/>
          <w:color w:val="auto"/>
        </w:rPr>
        <w:t>Form of Tax Status Certificate 3</w:t>
      </w:r>
    </w:p>
    <w:p>
      <w:pPr>
        <w:spacing w:after="0" w:line="5" w:lineRule="exact"/>
        <w:rPr>
          <w:sz w:val="20"/>
          <w:szCs w:val="20"/>
          <w:color w:val="auto"/>
        </w:rPr>
      </w:pPr>
    </w:p>
    <w:p>
      <w:pPr>
        <w:spacing w:after="0"/>
        <w:tabs>
          <w:tab w:leader="none" w:pos="1060" w:val="left"/>
          <w:tab w:leader="none" w:pos="1440" w:val="left"/>
        </w:tabs>
        <w:rPr>
          <w:sz w:val="20"/>
          <w:szCs w:val="20"/>
          <w:color w:val="auto"/>
        </w:rPr>
      </w:pPr>
      <w:r>
        <w:rPr>
          <w:rFonts w:ascii="Arial" w:cs="Arial" w:eastAsia="Arial" w:hAnsi="Arial"/>
          <w:sz w:val="19"/>
          <w:szCs w:val="19"/>
          <w:color w:val="auto"/>
        </w:rPr>
        <w:t>Exhibit P-4</w:t>
        <w:tab/>
        <w:t>—</w:t>
      </w:r>
      <w:r>
        <w:rPr>
          <w:sz w:val="20"/>
          <w:szCs w:val="20"/>
          <w:color w:val="auto"/>
        </w:rPr>
        <w:tab/>
      </w:r>
      <w:r>
        <w:rPr>
          <w:rFonts w:ascii="Arial" w:cs="Arial" w:eastAsia="Arial" w:hAnsi="Arial"/>
          <w:sz w:val="17"/>
          <w:szCs w:val="17"/>
          <w:color w:val="auto"/>
        </w:rPr>
        <w:t>Form of Tax Status Certificate 4</w:t>
      </w:r>
    </w:p>
    <w:p>
      <w:pPr>
        <w:spacing w:after="0" w:line="5"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9"/>
          <w:szCs w:val="19"/>
          <w:color w:val="auto"/>
        </w:rPr>
        <w:t>Exhibit Q</w:t>
        <w:tab/>
        <w:t>—</w:t>
      </w:r>
      <w:r>
        <w:rPr>
          <w:sz w:val="20"/>
          <w:szCs w:val="20"/>
          <w:color w:val="auto"/>
        </w:rPr>
        <w:tab/>
      </w:r>
      <w:r>
        <w:rPr>
          <w:rFonts w:ascii="Arial" w:cs="Arial" w:eastAsia="Arial" w:hAnsi="Arial"/>
          <w:sz w:val="17"/>
          <w:szCs w:val="17"/>
          <w:color w:val="auto"/>
        </w:rPr>
        <w:t>Form of Solvency Certificate</w:t>
      </w:r>
    </w:p>
    <w:p>
      <w:pPr>
        <w:spacing w:after="0" w:line="5" w:lineRule="exact"/>
        <w:rPr>
          <w:sz w:val="20"/>
          <w:szCs w:val="20"/>
          <w:color w:val="auto"/>
        </w:rPr>
      </w:pPr>
    </w:p>
    <w:p>
      <w:pPr>
        <w:spacing w:after="0"/>
        <w:tabs>
          <w:tab w:leader="none" w:pos="920" w:val="left"/>
          <w:tab w:leader="none" w:pos="1300" w:val="left"/>
        </w:tabs>
        <w:rPr>
          <w:sz w:val="20"/>
          <w:szCs w:val="20"/>
          <w:color w:val="auto"/>
        </w:rPr>
      </w:pPr>
      <w:r>
        <w:rPr>
          <w:rFonts w:ascii="Arial" w:cs="Arial" w:eastAsia="Arial" w:hAnsi="Arial"/>
          <w:sz w:val="19"/>
          <w:szCs w:val="19"/>
          <w:color w:val="auto"/>
        </w:rPr>
        <w:t>Exhibit R</w:t>
        <w:tab/>
        <w:t>—</w:t>
      </w:r>
      <w:r>
        <w:rPr>
          <w:sz w:val="20"/>
          <w:szCs w:val="20"/>
          <w:color w:val="auto"/>
        </w:rPr>
        <w:tab/>
      </w:r>
      <w:r>
        <w:rPr>
          <w:rFonts w:ascii="Arial" w:cs="Arial" w:eastAsia="Arial" w:hAnsi="Arial"/>
          <w:sz w:val="17"/>
          <w:szCs w:val="17"/>
          <w:color w:val="auto"/>
        </w:rPr>
        <w:t>Form of Compliance Certificate</w:t>
      </w:r>
    </w:p>
    <w:p>
      <w:pPr>
        <w:spacing w:after="0" w:line="200" w:lineRule="exact"/>
        <w:rPr>
          <w:sz w:val="20"/>
          <w:szCs w:val="20"/>
          <w:color w:val="auto"/>
        </w:rPr>
      </w:pPr>
    </w:p>
    <w:p>
      <w:pPr>
        <w:spacing w:after="0" w:line="229"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b w:val="1"/>
          <w:bCs w:val="1"/>
          <w:color w:val="auto"/>
        </w:rPr>
        <w:t>FOURTH AMENDED AND RESTATED CREDIT AGREEMENT</w:t>
      </w:r>
      <w:r>
        <w:rPr>
          <w:rFonts w:ascii="Arial" w:cs="Arial" w:eastAsia="Arial" w:hAnsi="Arial"/>
          <w:sz w:val="19"/>
          <w:szCs w:val="19"/>
          <w:color w:val="auto"/>
        </w:rPr>
        <w:t>, dated as of June 30, 2017 (this “</w:t>
      </w:r>
      <w:r>
        <w:rPr>
          <w:rFonts w:ascii="Arial" w:cs="Arial" w:eastAsia="Arial" w:hAnsi="Arial"/>
          <w:sz w:val="19"/>
          <w:szCs w:val="19"/>
          <w:b w:val="1"/>
          <w:bCs w:val="1"/>
          <w:color w:val="auto"/>
        </w:rPr>
        <w:t>Agreement</w:t>
      </w:r>
      <w:r>
        <w:rPr>
          <w:rFonts w:ascii="Arial" w:cs="Arial" w:eastAsia="Arial" w:hAnsi="Arial"/>
          <w:sz w:val="19"/>
          <w:szCs w:val="19"/>
          <w:color w:val="auto"/>
        </w:rPr>
        <w:t>”), among VIRTU</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LLC, a Delaware limited liability company (“</w:t>
      </w:r>
      <w:r>
        <w:rPr>
          <w:rFonts w:ascii="Arial" w:cs="Arial" w:eastAsia="Arial" w:hAnsi="Arial"/>
          <w:sz w:val="19"/>
          <w:szCs w:val="19"/>
          <w:b w:val="1"/>
          <w:bCs w:val="1"/>
          <w:color w:val="auto"/>
        </w:rPr>
        <w:t>Holdings</w:t>
      </w:r>
      <w:r>
        <w:rPr>
          <w:rFonts w:ascii="Arial" w:cs="Arial" w:eastAsia="Arial" w:hAnsi="Arial"/>
          <w:sz w:val="19"/>
          <w:szCs w:val="19"/>
          <w:color w:val="auto"/>
        </w:rPr>
        <w:t>”), VFH PARENT LLC, a Delaware limited liability company (the “</w:t>
      </w:r>
      <w:r>
        <w:rPr>
          <w:rFonts w:ascii="Arial" w:cs="Arial" w:eastAsia="Arial" w:hAnsi="Arial"/>
          <w:sz w:val="19"/>
          <w:szCs w:val="19"/>
          <w:b w:val="1"/>
          <w:bCs w:val="1"/>
          <w:color w:val="auto"/>
        </w:rPr>
        <w:t>Borrower</w:t>
      </w:r>
      <w:r>
        <w:rPr>
          <w:rFonts w:ascii="Arial" w:cs="Arial" w:eastAsia="Arial" w:hAnsi="Arial"/>
          <w:sz w:val="19"/>
          <w:szCs w:val="19"/>
          <w:color w:val="auto"/>
        </w:rPr>
        <w:t>”), the LENDERS party hereto and JPMORGAN CHASE BANK, N.A., as administrative agent and collateral agent (in such capacities, including any successor thereto,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This Agreement amends and restates the Existing Credit Agreement (as defined below) in its entirety.</w:t>
      </w:r>
    </w:p>
    <w:p>
      <w:pPr>
        <w:spacing w:after="0" w:line="169"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Holdings, the Borrower, the Lenders, the Administrative Agent, and other parties are party to a credit agreement dated as of</w:t>
      </w:r>
      <w:r>
        <w:rPr>
          <w:rFonts w:ascii="Arial" w:cs="Arial" w:eastAsia="Arial" w:hAnsi="Arial"/>
          <w:sz w:val="19"/>
          <w:szCs w:val="19"/>
          <w:b w:val="1"/>
          <w:bCs w:val="1"/>
          <w:color w:val="auto"/>
        </w:rPr>
        <w:t xml:space="preserve"> </w:t>
      </w:r>
      <w:r>
        <w:rPr>
          <w:rFonts w:ascii="Arial" w:cs="Arial" w:eastAsia="Arial" w:hAnsi="Arial"/>
          <w:sz w:val="19"/>
          <w:szCs w:val="19"/>
          <w:color w:val="auto"/>
        </w:rPr>
        <w:t>October 27, 2016 (as amended, restated, supplemented or otherwise modified prior to the Restatement Effective Date, the “</w:t>
      </w:r>
      <w:r>
        <w:rPr>
          <w:rFonts w:ascii="Arial" w:cs="Arial" w:eastAsia="Arial" w:hAnsi="Arial"/>
          <w:sz w:val="19"/>
          <w:szCs w:val="19"/>
          <w:b w:val="1"/>
          <w:bCs w:val="1"/>
          <w:color w:val="auto"/>
        </w:rPr>
        <w:t>Existing Credit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and the parties to the Restatement Agreement (as defined below) have agreed to amend and restate in its entirety the Existing Credit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replace it in its entirety with this Agreement.</w:t>
      </w:r>
    </w:p>
    <w:p>
      <w:pPr>
        <w:spacing w:after="0" w:line="167"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further requested that on the Amendment No.</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all</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New</w:t>
      </w:r>
      <w:r>
        <w:rPr>
          <w:rFonts w:ascii="Arial" w:cs="Arial" w:eastAsia="Arial" w:hAnsi="Arial"/>
          <w:sz w:val="18"/>
          <w:szCs w:val="18"/>
          <w:b w:val="1"/>
          <w:bCs w:val="1"/>
          <w:color w:val="auto"/>
        </w:rPr>
        <w:t xml:space="preserve"> </w:t>
      </w:r>
      <w:r>
        <w:rPr>
          <w:rFonts w:ascii="Arial" w:cs="Arial" w:eastAsia="Arial" w:hAnsi="Arial"/>
          <w:sz w:val="18"/>
          <w:szCs w:val="18"/>
          <w:color w:val="auto"/>
        </w:rPr>
        <w:t>Term</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B-1</w:t>
      </w:r>
      <w:r>
        <w:rPr>
          <w:rFonts w:ascii="Arial" w:cs="Arial" w:eastAsia="Arial" w:hAnsi="Arial"/>
          <w:sz w:val="18"/>
          <w:szCs w:val="18"/>
          <w:b w:val="1"/>
          <w:bCs w:val="1"/>
          <w:color w:val="auto"/>
        </w:rPr>
        <w:t xml:space="preserve"> </w:t>
      </w:r>
      <w:r>
        <w:rPr>
          <w:rFonts w:ascii="Arial" w:cs="Arial" w:eastAsia="Arial" w:hAnsi="Arial"/>
          <w:sz w:val="18"/>
          <w:szCs w:val="18"/>
          <w:color w:val="auto"/>
        </w:rPr>
        <w:t>Loans be converted to</w:t>
      </w:r>
      <w:r>
        <w:rPr>
          <w:rFonts w:ascii="Arial" w:cs="Arial" w:eastAsia="Arial" w:hAnsi="Arial"/>
          <w:sz w:val="18"/>
          <w:szCs w:val="18"/>
          <w:b w:val="1"/>
          <w:bCs w:val="1"/>
          <w:color w:val="auto"/>
        </w:rPr>
        <w:t xml:space="preserve"> </w:t>
      </w:r>
      <w:r>
        <w:rPr>
          <w:rFonts w:ascii="Arial" w:cs="Arial" w:eastAsia="Arial" w:hAnsi="Arial"/>
          <w:sz w:val="18"/>
          <w:szCs w:val="18"/>
          <w:color w:val="auto"/>
        </w:rPr>
        <w:t>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Loans or be prepaid from the proceeds of newly funded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Loans and/or cash on hand of the Borrower. Subject to the</w:t>
      </w:r>
    </w:p>
    <w:p>
      <w:pPr>
        <w:sectPr>
          <w:pgSz w:w="11900" w:h="16838" w:orient="portrait"/>
          <w:cols w:equalWidth="0" w:num="1">
            <w:col w:w="11420"/>
          </w:cols>
          <w:pgMar w:left="240" w:top="105" w:right="239" w:bottom="0" w:gutter="0" w:footer="0" w:header="0"/>
        </w:sectPr>
      </w:pPr>
    </w:p>
    <w:bookmarkStart w:id="98" w:name="page99"/>
    <w:bookmarkEnd w:id="98"/>
    <w:p>
      <w:pPr>
        <w:jc w:val="both"/>
        <w:spacing w:after="0" w:line="304" w:lineRule="auto"/>
        <w:rPr>
          <w:sz w:val="20"/>
          <w:szCs w:val="20"/>
          <w:color w:val="auto"/>
        </w:rPr>
      </w:pPr>
      <w:r>
        <w:rPr>
          <w:rFonts w:ascii="Arial" w:cs="Arial" w:eastAsia="Arial" w:hAnsi="Arial"/>
          <w:sz w:val="18"/>
          <w:szCs w:val="18"/>
          <w:color w:val="auto"/>
        </w:rPr>
        <w:t xml:space="preserve">satisfaction of the conditions set forth in Section 2 of Amendment No.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the parties thereto have agreed to lend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Loans and/or convert their </w:t>
      </w:r>
      <w:r>
        <w:rPr>
          <w:rFonts w:ascii="Arial" w:cs="Arial" w:eastAsia="Arial" w:hAnsi="Arial"/>
          <w:sz w:val="18"/>
          <w:szCs w:val="18"/>
          <w:color w:val="FF0000"/>
          <w:strike w:val="1"/>
        </w:rPr>
        <w:t>New</w:t>
      </w:r>
      <w:r>
        <w:rPr>
          <w:rFonts w:ascii="Arial" w:cs="Arial" w:eastAsia="Arial" w:hAnsi="Arial"/>
          <w:sz w:val="18"/>
          <w:szCs w:val="18"/>
          <w:color w:val="auto"/>
        </w:rPr>
        <w:t xml:space="preserve"> Term </w:t>
      </w:r>
      <w:r>
        <w:rPr>
          <w:rFonts w:ascii="Arial" w:cs="Arial" w:eastAsia="Arial" w:hAnsi="Arial"/>
          <w:sz w:val="18"/>
          <w:szCs w:val="18"/>
          <w:u w:val="single" w:color="auto"/>
          <w:color w:val="0000FF"/>
        </w:rPr>
        <w:t>B-1</w:t>
      </w:r>
      <w:r>
        <w:rPr>
          <w:rFonts w:ascii="Arial" w:cs="Arial" w:eastAsia="Arial" w:hAnsi="Arial"/>
          <w:sz w:val="18"/>
          <w:szCs w:val="18"/>
          <w:color w:val="auto"/>
        </w:rPr>
        <w:t xml:space="preserve"> Loans into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Loans, in each case, on the terms and subject to the conditions set forth therein and herein.</w:t>
      </w:r>
    </w:p>
    <w:p>
      <w:pPr>
        <w:spacing w:after="0" w:line="12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premises and the agreements, provisions and covenants herein contained, the parties hereto</w:t>
      </w:r>
      <w:r>
        <w:rPr>
          <w:rFonts w:ascii="Arial" w:cs="Arial" w:eastAsia="Arial" w:hAnsi="Arial"/>
          <w:sz w:val="19"/>
          <w:szCs w:val="19"/>
          <w:b w:val="1"/>
          <w:bCs w:val="1"/>
          <w:color w:val="auto"/>
        </w:rPr>
        <w:t xml:space="preserve"> </w:t>
      </w:r>
      <w:r>
        <w:rPr>
          <w:rFonts w:ascii="Arial" w:cs="Arial" w:eastAsia="Arial" w:hAnsi="Arial"/>
          <w:sz w:val="19"/>
          <w:szCs w:val="19"/>
          <w:color w:val="auto"/>
        </w:rPr>
        <w:t>agree as follows:</w:t>
      </w:r>
    </w:p>
    <w:p>
      <w:pPr>
        <w:spacing w:after="0" w:line="19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Article 1</w:t>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Definitions</w:t>
      </w:r>
    </w:p>
    <w:p>
      <w:pPr>
        <w:spacing w:after="0" w:line="249"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1.01.</w:t>
      </w:r>
      <w:r>
        <w:rPr>
          <w:sz w:val="20"/>
          <w:szCs w:val="20"/>
          <w:color w:val="auto"/>
        </w:rPr>
        <w:tab/>
      </w:r>
      <w:r>
        <w:rPr>
          <w:rFonts w:ascii="Arial" w:cs="Arial" w:eastAsia="Arial" w:hAnsi="Arial"/>
          <w:sz w:val="19"/>
          <w:szCs w:val="19"/>
          <w:i w:val="1"/>
          <w:iCs w:val="1"/>
          <w:color w:val="auto"/>
        </w:rPr>
        <w:t xml:space="preserve">Defined Terms. </w:t>
      </w:r>
      <w:r>
        <w:rPr>
          <w:rFonts w:ascii="Arial" w:cs="Arial" w:eastAsia="Arial" w:hAnsi="Arial"/>
          <w:sz w:val="19"/>
          <w:szCs w:val="19"/>
          <w:color w:val="auto"/>
        </w:rPr>
        <w:t>As used in this Agreement, the following terms have the meanings specified below:</w:t>
      </w:r>
    </w:p>
    <w:p>
      <w:pPr>
        <w:spacing w:after="0" w:line="216"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ABR</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the Alternate Base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Acceptable Discount</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Acceptable Prepayment Amount</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Acceptance and Prepayment Notice</w:t>
      </w:r>
      <w:r>
        <w:rPr>
          <w:rFonts w:ascii="Arial" w:cs="Arial" w:eastAsia="Arial" w:hAnsi="Arial"/>
          <w:sz w:val="19"/>
          <w:szCs w:val="19"/>
          <w:color w:val="auto"/>
        </w:rPr>
        <w:t>” means an irrevocable written notice from the Borrower accepting a Solicited Discounted Prepayment Offer to make a Discounted Term Loan Prepayment at the Acceptable Discount specified therein pursuant to Section 2.09(a)(ii)(D) substantially in the form of Exhibit O.</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Acceptance Date</w:t>
      </w:r>
      <w:r>
        <w:rPr>
          <w:rFonts w:ascii="Arial" w:cs="Arial" w:eastAsia="Arial" w:hAnsi="Arial"/>
          <w:sz w:val="19"/>
          <w:szCs w:val="19"/>
          <w:color w:val="auto"/>
        </w:rPr>
        <w:t>” has the meaning specified in Section 2.09(a)(ii)(D).</w:t>
      </w:r>
    </w:p>
    <w:p>
      <w:pPr>
        <w:spacing w:after="0" w:line="215" w:lineRule="exact"/>
        <w:rPr>
          <w:sz w:val="20"/>
          <w:szCs w:val="20"/>
          <w:color w:val="auto"/>
        </w:rPr>
      </w:pPr>
    </w:p>
    <w:p>
      <w:pPr>
        <w:jc w:val="both"/>
        <w:ind w:firstLine="630"/>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Acquired EBITDA</w:t>
      </w:r>
      <w:r>
        <w:rPr>
          <w:rFonts w:ascii="Arial" w:cs="Arial" w:eastAsia="Arial" w:hAnsi="Arial"/>
          <w:sz w:val="17"/>
          <w:szCs w:val="17"/>
          <w:color w:val="auto"/>
        </w:rPr>
        <w:t>” means, with respect to any Acquired Entity or Business or any Converted Restricted Subsidiary (any of the foregoing, a “</w:t>
      </w:r>
      <w:r>
        <w:rPr>
          <w:rFonts w:ascii="Arial" w:cs="Arial" w:eastAsia="Arial" w:hAnsi="Arial"/>
          <w:sz w:val="17"/>
          <w:szCs w:val="17"/>
          <w:b w:val="1"/>
          <w:bCs w:val="1"/>
          <w:color w:val="auto"/>
        </w:rPr>
        <w:t>Pro Forma Entity</w:t>
      </w:r>
      <w:r>
        <w:rPr>
          <w:rFonts w:ascii="Arial" w:cs="Arial" w:eastAsia="Arial" w:hAnsi="Arial"/>
          <w:sz w:val="17"/>
          <w:szCs w:val="17"/>
          <w:color w:val="auto"/>
        </w:rPr>
        <w:t>”) for any period, the amount for such period of Consolidated EBITDA of such Pro Forma Entity (determined as if references to Holdings and the Restricted Subsidiaries in the definition of the term “</w:t>
      </w:r>
      <w:r>
        <w:rPr>
          <w:rFonts w:ascii="Arial" w:cs="Arial" w:eastAsia="Arial" w:hAnsi="Arial"/>
          <w:sz w:val="17"/>
          <w:szCs w:val="17"/>
          <w:b w:val="1"/>
          <w:bCs w:val="1"/>
          <w:color w:val="auto"/>
        </w:rPr>
        <w:t>Consolidated EBITDA</w:t>
      </w:r>
      <w:r>
        <w:rPr>
          <w:rFonts w:ascii="Arial" w:cs="Arial" w:eastAsia="Arial" w:hAnsi="Arial"/>
          <w:sz w:val="17"/>
          <w:szCs w:val="17"/>
          <w:color w:val="auto"/>
        </w:rPr>
        <w:t>” were references to such Pro Forma Entity and its subsidiaries which will become Restricted Subsidiaries), all as determined on a consolidated basis for such Pro Forma Entity.</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Acquired Entity or Business</w:t>
      </w:r>
      <w:r>
        <w:rPr>
          <w:rFonts w:ascii="Arial" w:cs="Arial" w:eastAsia="Arial" w:hAnsi="Arial"/>
          <w:sz w:val="19"/>
          <w:szCs w:val="19"/>
          <w:color w:val="auto"/>
        </w:rPr>
        <w:t>” has the meaning set forth in the definition of the term “Consolidated EBITDA”.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Lender</w:t>
      </w:r>
      <w:r>
        <w:rPr>
          <w:rFonts w:ascii="Arial" w:cs="Arial" w:eastAsia="Arial" w:hAnsi="Arial"/>
          <w:sz w:val="19"/>
          <w:szCs w:val="19"/>
          <w:color w:val="auto"/>
        </w:rPr>
        <w:t>” means any Additional Revolving Lender or any Additional Term Lender, as applicable.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Notes</w:t>
      </w:r>
      <w:r>
        <w:rPr>
          <w:rFonts w:ascii="Arial" w:cs="Arial" w:eastAsia="Arial" w:hAnsi="Arial"/>
          <w:sz w:val="19"/>
          <w:szCs w:val="19"/>
          <w:color w:val="auto"/>
        </w:rPr>
        <w:t>” has the meaning assigned to such term in Section 6.01(a)(xxii).</w:t>
      </w:r>
    </w:p>
    <w:p>
      <w:pPr>
        <w:spacing w:after="0" w:line="215"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Revolving Lender</w:t>
      </w:r>
      <w:r>
        <w:rPr>
          <w:rFonts w:ascii="Arial" w:cs="Arial" w:eastAsia="Arial" w:hAnsi="Arial"/>
          <w:sz w:val="19"/>
          <w:szCs w:val="19"/>
          <w:color w:val="auto"/>
        </w:rPr>
        <w:t xml:space="preserve">” means, at any time, any bank or other financial institution that agrees to provide any portion of any Incremental Revolving Facility pursuant to an Incremental Revolving Facility Amendment in accordance with Section 2.18;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Additional Revolving Lender (other than any Person that is a Revolving Lender, an Affiliate of a Revolving Lender or an Approved Fund of a Revolving Lender at such time) shall be subject to the approval of the Administrative Agent and, if such Additional Revolving Lender will provide loans under an Incremental Revolving Facility, a Revolving Commitment Increase or any Other Revolving Commitment, each Issuing Bank (such approval, in each case, not to be unreasonably withheld or delayed) and the Borrower.</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Term Lender</w:t>
      </w:r>
      <w:r>
        <w:rPr>
          <w:rFonts w:ascii="Arial" w:cs="Arial" w:eastAsia="Arial" w:hAnsi="Arial"/>
          <w:sz w:val="19"/>
          <w:szCs w:val="19"/>
          <w:color w:val="auto"/>
        </w:rPr>
        <w:t>” means, at any time, any bank or other financial institution that agrees to provide any portion of any</w:t>
      </w:r>
    </w:p>
    <w:p>
      <w:pPr>
        <w:spacing w:after="0" w:line="27" w:lineRule="exact"/>
        <w:rPr>
          <w:sz w:val="20"/>
          <w:szCs w:val="20"/>
          <w:color w:val="auto"/>
        </w:rPr>
      </w:pPr>
    </w:p>
    <w:p>
      <w:pPr>
        <w:jc w:val="both"/>
        <w:ind w:firstLine="5"/>
        <w:spacing w:after="0" w:line="267" w:lineRule="auto"/>
        <w:tabs>
          <w:tab w:leader="none" w:pos="2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Incremental Term Facility pursuant to an Incremental Term Facility Amendment in accordance with Section 2.18 or (b) Credit Agreement Refinancing Indebtedness pursuant to a Refinancing Amendment in accordance with Section 2.19;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Additional Term Lender (other than any Person that is a Lender, an Affiliate of a Lender or an Approved Fund of a Lender at such time) shall be subject to the approval of the Administrative Agent (such approval not to be unreasonably withheld or delayed) and the Borrower.</w:t>
      </w:r>
    </w:p>
    <w:p>
      <w:pPr>
        <w:spacing w:after="0" w:line="159"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LIBO Rate</w:t>
      </w:r>
      <w:r>
        <w:rPr>
          <w:rFonts w:ascii="Arial" w:cs="Arial" w:eastAsia="Arial" w:hAnsi="Arial"/>
          <w:sz w:val="19"/>
          <w:szCs w:val="19"/>
          <w:color w:val="auto"/>
        </w:rPr>
        <w:t xml:space="preserve">” means, with respect to any Eurodollar Borrowing for any Interest Period, an interest rate per annum equal to (i) the LIBO Rate for such Interest Period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(ii) the Statutory Reserve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Agent</w:t>
      </w:r>
      <w:r>
        <w:rPr>
          <w:rFonts w:ascii="Arial" w:cs="Arial" w:eastAsia="Arial" w:hAnsi="Arial"/>
          <w:sz w:val="19"/>
          <w:szCs w:val="19"/>
          <w:color w:val="auto"/>
        </w:rPr>
        <w:t>” has the meaning set forth in the preamble hereto.</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specified Person, another Person that directly or indirectly Controls or is Controlled by or is under common Control with the Person specified.</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Agency Transfer Agreement</w:t>
      </w:r>
      <w:r>
        <w:rPr>
          <w:rFonts w:ascii="Arial" w:cs="Arial" w:eastAsia="Arial" w:hAnsi="Arial"/>
          <w:sz w:val="19"/>
          <w:szCs w:val="19"/>
          <w:color w:val="auto"/>
        </w:rPr>
        <w:t>” means the Successor Agent Agreement, dated as of October 27, 2016, by and among the Loan Parties, the Former Agent and the Administrative Agent.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Agent Parties</w:t>
      </w:r>
      <w:r>
        <w:rPr>
          <w:rFonts w:ascii="Arial" w:cs="Arial" w:eastAsia="Arial" w:hAnsi="Arial"/>
          <w:sz w:val="19"/>
          <w:szCs w:val="19"/>
          <w:color w:val="auto"/>
        </w:rPr>
        <w:t>” has the meaning given to such term in Section 9.01(c).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given to such term in the preliminary statements hereto.</w:t>
      </w:r>
    </w:p>
    <w:p>
      <w:pPr>
        <w:spacing w:after="0" w:line="215" w:lineRule="exact"/>
        <w:rPr>
          <w:sz w:val="20"/>
          <w:szCs w:val="20"/>
          <w:color w:val="auto"/>
        </w:rPr>
      </w:pPr>
    </w:p>
    <w:p>
      <w:pPr>
        <w:jc w:val="both"/>
        <w:ind w:firstLine="630"/>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in effect on such day plus 1/2 of 1% and (c) the sum of (a) the Adjusted LIBO Rate (after giving effect to any Adjusted LIBO Rate “floor”) that would be payable on such day for a Eurodollar Borrowing with a one-month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1.00% per annum;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(x) solely with respect to the Term B-</w:t>
      </w:r>
      <w:r>
        <w:rPr>
          <w:rFonts w:ascii="Arial" w:cs="Arial" w:eastAsia="Arial" w:hAnsi="Arial"/>
          <w:sz w:val="17"/>
          <w:szCs w:val="17"/>
          <w:color w:val="FF0000"/>
          <w:strike w:val="1"/>
        </w:rPr>
        <w:t>1</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Loans, the Alternate Base Rate will be deemed to be 2.00% per annum if the Alternate Base Rate calculated pursuant to the foregoing provisions would otherwise be less than 2.00% per annum and (y) for all other purposes, the Alternate Base Rate will be deemed to be 1.00% annum if the Alternate Base Rate calculated pursuant to the foregoing provisions would otherwise be less than 1.00%. Any change in the Alternate Base Rate due to a change in the Prime Rate, the NYFRB Rate or the Adjusted</w:t>
      </w:r>
    </w:p>
    <w:p>
      <w:pPr>
        <w:sectPr>
          <w:pgSz w:w="11900" w:h="16838" w:orient="portrait"/>
          <w:cols w:equalWidth="0" w:num="1">
            <w:col w:w="11420"/>
          </w:cols>
          <w:pgMar w:left="240" w:top="121" w:right="239" w:bottom="0" w:gutter="0" w:footer="0" w:header="0"/>
        </w:sectPr>
      </w:pPr>
    </w:p>
    <w:bookmarkStart w:id="99" w:name="page100"/>
    <w:bookmarkEnd w:id="99"/>
    <w:p>
      <w:pPr>
        <w:jc w:val="both"/>
        <w:spacing w:after="0" w:line="260" w:lineRule="auto"/>
        <w:rPr>
          <w:sz w:val="20"/>
          <w:szCs w:val="20"/>
          <w:color w:val="auto"/>
        </w:rPr>
      </w:pPr>
      <w:r>
        <w:rPr>
          <w:rFonts w:ascii="Arial" w:cs="Arial" w:eastAsia="Arial" w:hAnsi="Arial"/>
          <w:sz w:val="19"/>
          <w:szCs w:val="19"/>
          <w:color w:val="auto"/>
        </w:rPr>
        <w:t>LIBO Rate shall be effective from and including the effective date of such change in the Prime Rate, the NYFRB Rate or the Adjusted LIBO Rate, respectively. If the Alternate Base Rate is being used as an alternate rate of interest pursuant to Section 2.12 hereof, then the Alternate Base Rate shall be the greater of clauses (a) and (b) above and shall be determined without reference to clause (c) above.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Amendment No. 1</w:t>
      </w:r>
      <w:r>
        <w:rPr>
          <w:rFonts w:ascii="Arial" w:cs="Arial" w:eastAsia="Arial" w:hAnsi="Arial"/>
          <w:sz w:val="19"/>
          <w:szCs w:val="19"/>
          <w:color w:val="auto"/>
        </w:rPr>
        <w:t>” means Amendment No. 1 to this Agreement dated as of January 2, 2018.</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Amendment No. 1 Consenting Lender</w:t>
      </w:r>
      <w:r>
        <w:rPr>
          <w:rFonts w:ascii="Arial" w:cs="Arial" w:eastAsia="Arial" w:hAnsi="Arial"/>
          <w:sz w:val="19"/>
          <w:szCs w:val="19"/>
          <w:color w:val="auto"/>
        </w:rPr>
        <w:t>” means each Lender that returned an executed counterpart to Amendment No. 1 to the Administrative Agent prior to the Amendment No. 1 Effective Date.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Amendment No. 1 Effective Date</w:t>
      </w:r>
      <w:r>
        <w:rPr>
          <w:rFonts w:ascii="Arial" w:cs="Arial" w:eastAsia="Arial" w:hAnsi="Arial"/>
          <w:sz w:val="19"/>
          <w:szCs w:val="19"/>
          <w:color w:val="auto"/>
        </w:rPr>
        <w:t>” has the meaning set forth in Amendment No. 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Amendment No. 2</w:t>
      </w:r>
      <w:r>
        <w:rPr>
          <w:rFonts w:ascii="Arial" w:cs="Arial" w:eastAsia="Arial" w:hAnsi="Arial"/>
          <w:sz w:val="19"/>
          <w:szCs w:val="19"/>
          <w:u w:val="single" w:color="auto"/>
          <w:color w:val="0000FF"/>
        </w:rPr>
        <w:t>” means Amendment No. 2 to this Agreement dated as of September 19, 2018.</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Amendment No. 2 Consenting Lender</w:t>
      </w:r>
      <w:r>
        <w:rPr>
          <w:rFonts w:ascii="Arial" w:cs="Arial" w:eastAsia="Arial" w:hAnsi="Arial"/>
          <w:sz w:val="19"/>
          <w:szCs w:val="19"/>
          <w:u w:val="single" w:color="auto"/>
          <w:color w:val="0000FF"/>
        </w:rPr>
        <w:t>” means each Lender that returned an executed counterpart to Amendment No. 2 to the Administrative Agent prior to the Amendment No. 2 Effective Date.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Amendment No. 2 Effective Date</w:t>
      </w:r>
      <w:r>
        <w:rPr>
          <w:rFonts w:ascii="Arial" w:cs="Arial" w:eastAsia="Arial" w:hAnsi="Arial"/>
          <w:sz w:val="19"/>
          <w:szCs w:val="19"/>
          <w:u w:val="single" w:color="auto"/>
          <w:color w:val="0000FF"/>
        </w:rPr>
        <w:t>” has the meaning set forth in Amendment No. 2.</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Application</w:t>
      </w:r>
      <w:r>
        <w:rPr>
          <w:rFonts w:ascii="Arial" w:cs="Arial" w:eastAsia="Arial" w:hAnsi="Arial"/>
          <w:sz w:val="19"/>
          <w:szCs w:val="19"/>
          <w:color w:val="auto"/>
        </w:rPr>
        <w:t>” means an application, in such form as the Issuing Bank may specify from time to time, requesting the Issuing Bank to open a Letter of Credit.</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Account</w:t>
      </w:r>
      <w:r>
        <w:rPr>
          <w:rFonts w:ascii="Arial" w:cs="Arial" w:eastAsia="Arial" w:hAnsi="Arial"/>
          <w:sz w:val="19"/>
          <w:szCs w:val="19"/>
          <w:color w:val="auto"/>
        </w:rPr>
        <w:t>” means, with respect to any payment to be made to the Administrative Agent hereunder, the account specified by the Administrative Agent from time to time for the purpose of receiving payments of such type.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Discount</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Fronting Exposure</w:t>
      </w:r>
      <w:r>
        <w:rPr>
          <w:rFonts w:ascii="Arial" w:cs="Arial" w:eastAsia="Arial" w:hAnsi="Arial"/>
          <w:sz w:val="19"/>
          <w:szCs w:val="19"/>
          <w:color w:val="auto"/>
        </w:rPr>
        <w:t>” means, with respect to any Person that is an Issuing Bank at any time, the sum of (a) the aggregate amount of all Letters of Credit issued by such Person in its capacity as an Issuing Bank (if applicable) that remains available for drawing at such time and (b) the aggregate amount of all LC Disbursements made by such Person in its capacity as an Issuing Bank (if applicable) that have not yet been reimbursed by or on behalf of the Borrower at such time.</w:t>
      </w:r>
    </w:p>
    <w:p>
      <w:pPr>
        <w:spacing w:after="0" w:line="167" w:lineRule="exact"/>
        <w:rPr>
          <w:sz w:val="20"/>
          <w:szCs w:val="20"/>
          <w:color w:val="auto"/>
        </w:rPr>
      </w:pPr>
    </w:p>
    <w:p>
      <w:pPr>
        <w:jc w:val="both"/>
        <w:ind w:firstLine="63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Percentage</w:t>
      </w:r>
      <w:r>
        <w:rPr>
          <w:rFonts w:ascii="Arial" w:cs="Arial" w:eastAsia="Arial" w:hAnsi="Arial"/>
          <w:sz w:val="17"/>
          <w:szCs w:val="17"/>
          <w:color w:val="auto"/>
        </w:rPr>
        <w:t>” means, at any time with respect to any Revolving Lender, the percentage of the Total Revolving Commitments represented by such Lender’s Revolving Commitment at such time and, solely for purposes of any reallocations made pursuant to Section 2.21(d), after giving effect to any Revolving Lender’s status as a Defaulting Lender at the time of determination. If the Revolving Commitments have terminated or expired, the Applicable Percentages shall be determined based upon the Revolving Commitments most recently in effect, giving effect to any assignments pursuant to this Agreement and to any Revolving Lender’s status as a Defaulting Lender at the time of determination.</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Rate</w:t>
      </w:r>
      <w:r>
        <w:rPr>
          <w:rFonts w:ascii="Arial" w:cs="Arial" w:eastAsia="Arial" w:hAnsi="Arial"/>
          <w:sz w:val="17"/>
          <w:szCs w:val="17"/>
          <w:color w:val="auto"/>
        </w:rPr>
        <w:t>” means, for any day, (A) with respect to any Term B-</w:t>
      </w:r>
      <w:r>
        <w:rPr>
          <w:rFonts w:ascii="Arial" w:cs="Arial" w:eastAsia="Arial" w:hAnsi="Arial"/>
          <w:sz w:val="17"/>
          <w:szCs w:val="17"/>
          <w:color w:val="FF0000"/>
          <w:strike w:val="1"/>
        </w:rPr>
        <w:t>1</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Loan, (i) </w:t>
      </w:r>
      <w:r>
        <w:rPr>
          <w:rFonts w:ascii="Arial" w:cs="Arial" w:eastAsia="Arial" w:hAnsi="Arial"/>
          <w:sz w:val="17"/>
          <w:szCs w:val="17"/>
          <w:color w:val="FF0000"/>
          <w:strike w:val="1"/>
        </w:rPr>
        <w:t>2.25</w:t>
      </w:r>
      <w:r>
        <w:rPr>
          <w:rFonts w:ascii="Arial" w:cs="Arial" w:eastAsia="Arial" w:hAnsi="Arial"/>
          <w:sz w:val="17"/>
          <w:szCs w:val="17"/>
          <w:u w:val="single" w:color="auto"/>
          <w:color w:val="0000FF"/>
        </w:rPr>
        <w:t>1.75</w:t>
      </w:r>
      <w:r>
        <w:rPr>
          <w:rFonts w:ascii="Arial" w:cs="Arial" w:eastAsia="Arial" w:hAnsi="Arial"/>
          <w:sz w:val="17"/>
          <w:szCs w:val="17"/>
          <w:color w:val="auto"/>
        </w:rPr>
        <w:t>% per annum, in the case of an ABR Loan or</w:t>
      </w:r>
    </w:p>
    <w:p>
      <w:pPr>
        <w:spacing w:after="0" w:line="50" w:lineRule="exact"/>
        <w:rPr>
          <w:sz w:val="20"/>
          <w:szCs w:val="20"/>
          <w:color w:val="auto"/>
        </w:rPr>
      </w:pPr>
    </w:p>
    <w:p>
      <w:pPr>
        <w:ind w:firstLine="5"/>
        <w:spacing w:after="0" w:line="257" w:lineRule="auto"/>
        <w:tabs>
          <w:tab w:leader="none" w:pos="283" w:val="left"/>
        </w:tabs>
        <w:numPr>
          <w:ilvl w:val="0"/>
          <w:numId w:val="34"/>
        </w:numPr>
        <w:rPr>
          <w:rFonts w:ascii="Arial" w:cs="Arial" w:eastAsia="Arial" w:hAnsi="Arial"/>
          <w:sz w:val="19"/>
          <w:szCs w:val="19"/>
          <w:color w:val="auto"/>
        </w:rPr>
      </w:pPr>
      <w:r>
        <w:rPr>
          <w:rFonts w:ascii="Arial" w:cs="Arial" w:eastAsia="Arial" w:hAnsi="Arial"/>
          <w:sz w:val="19"/>
          <w:szCs w:val="19"/>
          <w:color w:val="FF0000"/>
          <w:strike w:val="1"/>
        </w:rPr>
        <w:t>3.25</w:t>
      </w:r>
      <w:r>
        <w:rPr>
          <w:rFonts w:ascii="Arial" w:cs="Arial" w:eastAsia="Arial" w:hAnsi="Arial"/>
          <w:sz w:val="19"/>
          <w:szCs w:val="19"/>
          <w:u w:val="single" w:color="auto"/>
          <w:color w:val="0000FF"/>
        </w:rPr>
        <w:t>2.75</w:t>
      </w:r>
      <w:r>
        <w:rPr>
          <w:rFonts w:ascii="Arial" w:cs="Arial" w:eastAsia="Arial" w:hAnsi="Arial"/>
          <w:sz w:val="19"/>
          <w:szCs w:val="19"/>
          <w:color w:val="000000"/>
        </w:rPr>
        <w:t>% per annum, in the case of a Eurodollar Loan and (B) with respect to any Revolving Loan, (i) 2.00% per annum in the case of an ABR</w:t>
      </w:r>
      <w:r>
        <w:rPr>
          <w:rFonts w:ascii="Arial" w:cs="Arial" w:eastAsia="Arial" w:hAnsi="Arial"/>
          <w:sz w:val="19"/>
          <w:szCs w:val="19"/>
          <w:color w:val="FF0000"/>
        </w:rPr>
        <w:t xml:space="preserve"> </w:t>
      </w:r>
      <w:r>
        <w:rPr>
          <w:rFonts w:ascii="Arial" w:cs="Arial" w:eastAsia="Arial" w:hAnsi="Arial"/>
          <w:sz w:val="19"/>
          <w:szCs w:val="19"/>
          <w:color w:val="000000"/>
        </w:rPr>
        <w:t>Loan or (ii) 3.00% per annum in the case of a Eurodollar Loan.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Bank</w:t>
      </w:r>
      <w:r>
        <w:rPr>
          <w:rFonts w:ascii="Arial" w:cs="Arial" w:eastAsia="Arial" w:hAnsi="Arial"/>
          <w:sz w:val="19"/>
          <w:szCs w:val="19"/>
          <w:color w:val="auto"/>
        </w:rPr>
        <w:t>” has the meaning assigned to such term in the definition of the term “Permitted Investments.”</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Fund</w:t>
      </w:r>
      <w:r>
        <w:rPr>
          <w:rFonts w:ascii="Arial" w:cs="Arial" w:eastAsia="Arial" w:hAnsi="Arial"/>
          <w:sz w:val="19"/>
          <w:szCs w:val="19"/>
          <w:color w:val="auto"/>
        </w:rPr>
        <w:t>” means any Person (other than a natural person) that is (or will be)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61"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Assignment and Assumption</w:t>
      </w:r>
      <w:r>
        <w:rPr>
          <w:rFonts w:ascii="Arial" w:cs="Arial" w:eastAsia="Arial" w:hAnsi="Arial"/>
          <w:sz w:val="19"/>
          <w:szCs w:val="19"/>
          <w:color w:val="auto"/>
        </w:rPr>
        <w:t>” means an assignment and assumption entered into by a Lender and an Eligible Assignee (with the consent of any Person whose consent is required by Section 9.04), substantially in the form of Exhibit A-1 or any other form reasonably approved by the Administrative Agent.</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Assumed Tax Rate</w:t>
      </w:r>
      <w:r>
        <w:rPr>
          <w:rFonts w:ascii="Arial" w:cs="Arial" w:eastAsia="Arial" w:hAnsi="Arial"/>
          <w:sz w:val="19"/>
          <w:szCs w:val="19"/>
          <w:color w:val="auto"/>
        </w:rPr>
        <w:t>” means the greater of (i) 45% and (ii) the maximum marginal combined federal, state and local income tax rate applicable at such time to a natural person residing in New York City, New York.</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Available Revolving Commitment</w:t>
      </w:r>
      <w:r>
        <w:rPr>
          <w:rFonts w:ascii="Arial" w:cs="Arial" w:eastAsia="Arial" w:hAnsi="Arial"/>
          <w:sz w:val="19"/>
          <w:szCs w:val="19"/>
          <w:color w:val="auto"/>
        </w:rPr>
        <w:t xml:space="preserve">” means as to any Revolving Lender at any time, an amount equal to the excess, if any, of (a) such Lender’s Revolving Commitment then in effect </w:t>
      </w:r>
      <w:r>
        <w:rPr>
          <w:rFonts w:ascii="Arial" w:cs="Arial" w:eastAsia="Arial" w:hAnsi="Arial"/>
          <w:sz w:val="19"/>
          <w:szCs w:val="19"/>
          <w:i w:val="1"/>
          <w:iCs w:val="1"/>
          <w:color w:val="auto"/>
        </w:rPr>
        <w:t>over</w:t>
      </w:r>
      <w:r>
        <w:rPr>
          <w:rFonts w:ascii="Arial" w:cs="Arial" w:eastAsia="Arial" w:hAnsi="Arial"/>
          <w:sz w:val="19"/>
          <w:szCs w:val="19"/>
          <w:color w:val="auto"/>
        </w:rPr>
        <w:t xml:space="preserve"> (b) such Lender’s Revolving Exposure then outstanding.</w:t>
      </w:r>
    </w:p>
    <w:p>
      <w:pPr>
        <w:spacing w:after="0" w:line="145"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Agent</w:t>
      </w:r>
      <w:r>
        <w:rPr>
          <w:rFonts w:ascii="Arial" w:cs="Arial" w:eastAsia="Arial" w:hAnsi="Arial"/>
          <w:sz w:val="18"/>
          <w:szCs w:val="18"/>
          <w:color w:val="auto"/>
        </w:rPr>
        <w:t xml:space="preserve">” means (a) the Administrative Agent or (b) any other financial institution or advisor employed by the Borrower (whether or not an Affiliate of the Administrative Agent) to act as an arranger in connection with any Discounted Term Loan Prepayment pursuant to Section 2.09(a)(ii);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w:t>
      </w:r>
    </w:p>
    <w:p>
      <w:pPr>
        <w:spacing w:after="0" w:line="154"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Audited Financial Statements</w:t>
      </w:r>
      <w:r>
        <w:rPr>
          <w:rFonts w:ascii="Arial" w:cs="Arial" w:eastAsia="Arial" w:hAnsi="Arial"/>
          <w:sz w:val="19"/>
          <w:szCs w:val="19"/>
          <w:color w:val="auto"/>
        </w:rPr>
        <w:t>” means the audited consolidated balance sheet of Holdings for the fiscal year ended December 31, 2016 and the related consolidated statements of income, changes in equity and cash flows of Holdings, including the notes thereto.</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Action</w:t>
      </w:r>
      <w:r>
        <w:rPr>
          <w:rFonts w:ascii="Arial" w:cs="Arial" w:eastAsia="Arial" w:hAnsi="Arial"/>
          <w:sz w:val="19"/>
          <w:szCs w:val="19"/>
          <w:color w:val="auto"/>
        </w:rPr>
        <w:t>” means the exercise of any Write-Down and Conversion Powers by the applicable EEA Resolution Authority in respect of any liability of an EEA Financial Institution.</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Legislation</w:t>
      </w:r>
      <w:r>
        <w:rPr>
          <w:rFonts w:ascii="Arial" w:cs="Arial" w:eastAsia="Arial" w:hAnsi="Arial"/>
          <w:sz w:val="19"/>
          <w:szCs w:val="19"/>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 Code, as amended, or any similar federal or state law for the relief of debtors.</w:t>
      </w:r>
    </w:p>
    <w:p>
      <w:pPr>
        <w:sectPr>
          <w:pgSz w:w="11900" w:h="16838" w:orient="portrait"/>
          <w:cols w:equalWidth="0" w:num="1">
            <w:col w:w="11420"/>
          </w:cols>
          <w:pgMar w:left="240" w:top="121" w:right="239" w:bottom="175" w:gutter="0" w:footer="0" w:header="0"/>
        </w:sectPr>
      </w:pPr>
    </w:p>
    <w:bookmarkStart w:id="100" w:name="page101"/>
    <w:bookmarkEnd w:id="100"/>
    <w:p>
      <w:pPr>
        <w:spacing w:after="0" w:line="6" w:lineRule="exact"/>
        <w:rPr>
          <w:sz w:val="20"/>
          <w:szCs w:val="20"/>
          <w:color w:val="auto"/>
        </w:rPr>
      </w:pPr>
    </w:p>
    <w:p>
      <w:pPr>
        <w:jc w:val="both"/>
        <w:ind w:firstLine="630"/>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Event</w:t>
      </w:r>
      <w:r>
        <w:rPr>
          <w:rFonts w:ascii="Arial" w:cs="Arial" w:eastAsia="Arial" w:hAnsi="Arial"/>
          <w:sz w:val="19"/>
          <w:szCs w:val="19"/>
          <w:color w:val="auto"/>
        </w:rPr>
        <w:t xml:space="preserve">” means with respect to any Person, such Person becomes insolvent or is otherwise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7"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w:t>
      </w:r>
      <w:r>
        <w:rPr>
          <w:rFonts w:ascii="Arial" w:cs="Arial" w:eastAsia="Arial" w:hAnsi="Arial"/>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69"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Beneficial Ownership Certification</w:t>
      </w:r>
      <w:r>
        <w:rPr>
          <w:rFonts w:ascii="Arial" w:cs="Arial" w:eastAsia="Arial" w:hAnsi="Arial"/>
          <w:sz w:val="19"/>
          <w:szCs w:val="19"/>
          <w:u w:val="single" w:color="auto"/>
          <w:color w:val="0000FF"/>
        </w:rPr>
        <w:t>” means a certification regarding beneficial ownership as required by the Beneficial Ownership Regulation.</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Beneficial Ownership Regulation</w:t>
      </w:r>
      <w:r>
        <w:rPr>
          <w:rFonts w:ascii="Arial" w:cs="Arial" w:eastAsia="Arial" w:hAnsi="Arial"/>
          <w:sz w:val="19"/>
          <w:szCs w:val="19"/>
          <w:u w:val="single" w:color="auto"/>
          <w:color w:val="0000FF"/>
        </w:rPr>
        <w:t>” means 31 C.F.R. § 1010.230.</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61"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means, with respect to any Person, (a) in the case of any corporation, the board of directors of such Person or any committee thereof duly authorized to act on behalf of such board, (b) in the case of any limited liability company, the board of managers of such Person, (c) in the case of any partnership, the board of directors or board of managers of the general partner of such Person and (d) in any other case, the functional equivalent of the foregoing.</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of Governors</w:t>
      </w:r>
      <w:r>
        <w:rPr>
          <w:rFonts w:ascii="Arial" w:cs="Arial" w:eastAsia="Arial" w:hAnsi="Arial"/>
          <w:sz w:val="19"/>
          <w:szCs w:val="19"/>
          <w:color w:val="auto"/>
        </w:rPr>
        <w:t>” means the Board of Governors of the Federal Reserve System of the United States of America.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w:t>
      </w:r>
      <w:r>
        <w:rPr>
          <w:rFonts w:ascii="Arial" w:cs="Arial" w:eastAsia="Arial" w:hAnsi="Arial"/>
          <w:sz w:val="19"/>
          <w:szCs w:val="19"/>
          <w:color w:val="auto"/>
        </w:rPr>
        <w:t>” has the meaning assigned to such term in the preamble.</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 Assignment and Assumption</w:t>
      </w:r>
      <w:r>
        <w:rPr>
          <w:rFonts w:ascii="Arial" w:cs="Arial" w:eastAsia="Arial" w:hAnsi="Arial"/>
          <w:sz w:val="19"/>
          <w:szCs w:val="19"/>
          <w:color w:val="auto"/>
        </w:rPr>
        <w:t>” means an assignment and assumption agreement substantially in the form of Exhibit A-2, or any other form reasonably approved by the Administrative Agent.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 Materials</w:t>
      </w:r>
      <w:r>
        <w:rPr>
          <w:rFonts w:ascii="Arial" w:cs="Arial" w:eastAsia="Arial" w:hAnsi="Arial"/>
          <w:sz w:val="19"/>
          <w:szCs w:val="19"/>
          <w:color w:val="auto"/>
        </w:rPr>
        <w:t>” has the meaning assigned to such term in Section 5.01.</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 Offer of Specified Discount Prepayment</w:t>
      </w:r>
      <w:r>
        <w:rPr>
          <w:rFonts w:ascii="Arial" w:cs="Arial" w:eastAsia="Arial" w:hAnsi="Arial"/>
          <w:sz w:val="19"/>
          <w:szCs w:val="19"/>
          <w:color w:val="auto"/>
        </w:rPr>
        <w:t>” means the offer by the Borrower to make a voluntary prepayment of Term Loans at a specified discount to par pursuant to Section 2.09(a)(ii)(B).</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 Solicitation of Discount Range Prepayment Offers</w:t>
      </w:r>
      <w:r>
        <w:rPr>
          <w:rFonts w:ascii="Arial" w:cs="Arial" w:eastAsia="Arial" w:hAnsi="Arial"/>
          <w:sz w:val="19"/>
          <w:szCs w:val="19"/>
          <w:color w:val="auto"/>
        </w:rPr>
        <w:t>” means the solicitation by the Borrower of offers for, and the corresponding acceptance by a Term Lender of, a voluntary prepayment of Term Loans at a specified range at a discount to par pursuant to Section 2.09(a)(ii)(C).</w:t>
      </w:r>
    </w:p>
    <w:p>
      <w:pPr>
        <w:spacing w:after="0" w:line="161"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Solicitation of Discounted Prepayment Offers</w:t>
      </w:r>
      <w:r>
        <w:rPr>
          <w:rFonts w:ascii="Arial" w:cs="Arial" w:eastAsia="Arial" w:hAnsi="Arial"/>
          <w:sz w:val="18"/>
          <w:szCs w:val="18"/>
          <w:color w:val="auto"/>
        </w:rPr>
        <w:t>” means the solicitation by the Borrower of offers for, and the subsequent acceptance, if any, by a Term Lender of, a voluntary prepayment of Term Loans at a discount to par pursuant to Section 2.09(a)(ii)(D).</w:t>
      </w:r>
    </w:p>
    <w:p>
      <w:pPr>
        <w:spacing w:after="0" w:line="12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Borrowing</w:t>
      </w:r>
      <w:r>
        <w:rPr>
          <w:rFonts w:ascii="Arial" w:cs="Arial" w:eastAsia="Arial" w:hAnsi="Arial"/>
          <w:sz w:val="19"/>
          <w:szCs w:val="19"/>
          <w:color w:val="auto"/>
        </w:rPr>
        <w:t>” means Loans of the same Class and Type, made, converted or continued on the same date and, in the case of Eurodollar Loans, as to which a single Interest Period is in effect.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Borrowing Request</w:t>
      </w:r>
      <w:r>
        <w:rPr>
          <w:rFonts w:ascii="Arial" w:cs="Arial" w:eastAsia="Arial" w:hAnsi="Arial"/>
          <w:sz w:val="19"/>
          <w:szCs w:val="19"/>
          <w:color w:val="auto"/>
        </w:rPr>
        <w:t>” means a request by the Borrower for a Borrowing in accordance with Section 2.03.</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Broker-Dealer Subsidiary</w:t>
      </w:r>
      <w:r>
        <w:rPr>
          <w:rFonts w:ascii="Arial" w:cs="Arial" w:eastAsia="Arial" w:hAnsi="Arial"/>
          <w:sz w:val="19"/>
          <w:szCs w:val="19"/>
          <w:color w:val="auto"/>
        </w:rPr>
        <w:t>” means any Restricted Subsidiary that is registered as (a) a broker or a dealer pursuant to Section 15 of the Exchange Act or (b) a broker or a dealer or an underwriter under any foreign securities law.</w:t>
      </w:r>
    </w:p>
    <w:p>
      <w:pPr>
        <w:spacing w:after="0" w:line="145"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means any day other than a Saturday, Sunday or day on which banks in New York City are authorized or required by law to close;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when used in connection with a Eurodollar Loan or an ABR Loan based on the LIBO Rate, the term “</w:t>
      </w:r>
      <w:r>
        <w:rPr>
          <w:rFonts w:ascii="Arial" w:cs="Arial" w:eastAsia="Arial" w:hAnsi="Arial"/>
          <w:sz w:val="18"/>
          <w:szCs w:val="18"/>
          <w:b w:val="1"/>
          <w:b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Day</w:t>
      </w:r>
      <w:r>
        <w:rPr>
          <w:rFonts w:ascii="Arial" w:cs="Arial" w:eastAsia="Arial" w:hAnsi="Arial"/>
          <w:sz w:val="18"/>
          <w:szCs w:val="18"/>
          <w:color w:val="auto"/>
        </w:rPr>
        <w:t>” shall also exclude any day on which banks are not open for dealings in dollar deposits in the London interbank market.</w:t>
      </w:r>
    </w:p>
    <w:p>
      <w:pPr>
        <w:spacing w:after="0" w:line="145"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For purposes of Section 6.02, a Capital Lease Obligation shall be deemed to be secured by a Lien on the property being leased and such property shall be deemed to be owned by the lessee.</w:t>
      </w:r>
    </w:p>
    <w:p>
      <w:pPr>
        <w:spacing w:after="0" w:line="157"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Capitalized Leases</w:t>
      </w:r>
      <w:r>
        <w:rPr>
          <w:rFonts w:ascii="Arial" w:cs="Arial" w:eastAsia="Arial" w:hAnsi="Arial"/>
          <w:sz w:val="19"/>
          <w:szCs w:val="19"/>
          <w:color w:val="auto"/>
        </w:rPr>
        <w:t xml:space="preserve">” means all leases that have been or should be, in accordance with GAAP, recorded as capitalized leases;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all purposes hereunder the amount of obligations under any Capitalized Lease shall be the amount thereof accounted for as a liability in accordance with GAAP.</w:t>
      </w:r>
    </w:p>
    <w:p>
      <w:pPr>
        <w:spacing w:after="0" w:line="161"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Capitalized Software Expenditures</w:t>
      </w:r>
      <w:r>
        <w:rPr>
          <w:rFonts w:ascii="Arial" w:cs="Arial" w:eastAsia="Arial" w:hAnsi="Arial"/>
          <w:sz w:val="19"/>
          <w:szCs w:val="19"/>
          <w:color w:val="auto"/>
        </w:rPr>
        <w:t>” means, for any period, the aggregate of all expenditures (whether paid in cash or accrued as liabilities) by Holdings and its Restricted Subsidiaries during such period in respect of purchased software or internally developed software and software enhancements that, in conformity with GAAP, are or are required to be reflected as capitalized costs on the consolidated balance sheet of Holdings and the Restricted Subsidiaries.</w:t>
      </w:r>
    </w:p>
    <w:p>
      <w:pPr>
        <w:sectPr>
          <w:pgSz w:w="11900" w:h="16844" w:orient="portrait"/>
          <w:cols w:equalWidth="0" w:num="1">
            <w:col w:w="11420"/>
          </w:cols>
          <w:pgMar w:left="240" w:top="118" w:right="239" w:bottom="0" w:gutter="0" w:footer="0" w:header="0"/>
        </w:sectPr>
      </w:pPr>
    </w:p>
    <w:bookmarkStart w:id="101" w:name="page102"/>
    <w:bookmarkEnd w:id="101"/>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Management Obligations</w:t>
      </w:r>
      <w:r>
        <w:rPr>
          <w:rFonts w:ascii="Arial" w:cs="Arial" w:eastAsia="Arial" w:hAnsi="Arial"/>
          <w:sz w:val="19"/>
          <w:szCs w:val="19"/>
          <w:color w:val="auto"/>
        </w:rPr>
        <w:t>” means obligations of Holdings, any Intermediate Parent, the Borrower or any Restricted Subsidiary in respect of any overdraft and related liabilities arising from treasury, depository and cash management services or any automated clearing house transfers of funds.</w:t>
      </w:r>
    </w:p>
    <w:p>
      <w:pPr>
        <w:spacing w:after="0" w:line="161"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Casualty Event</w:t>
      </w:r>
      <w:r>
        <w:rPr>
          <w:rFonts w:ascii="Arial" w:cs="Arial" w:eastAsia="Arial" w:hAnsi="Arial"/>
          <w:sz w:val="19"/>
          <w:szCs w:val="19"/>
          <w:color w:val="auto"/>
        </w:rPr>
        <w:t>” means any event that gives rise to the receipt by Holdings, any Intermediate Parent, the Borrower or any Subsidiary of any insurance proceeds or condemnation awards in respect of any equipment, fixed assets or real property (including any improvements thereon) to replace or repair such equipment, fixed assets or real property.</w:t>
      </w:r>
    </w:p>
    <w:p>
      <w:pPr>
        <w:spacing w:after="0" w:line="161" w:lineRule="exact"/>
        <w:rPr>
          <w:sz w:val="20"/>
          <w:szCs w:val="20"/>
          <w:color w:val="auto"/>
        </w:rPr>
      </w:pPr>
    </w:p>
    <w:p>
      <w:pPr>
        <w:jc w:val="both"/>
        <w:ind w:firstLine="630"/>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occurrence of any of the following: (a) the direct or indirect sale, lease, transfer, conveyance or other disposition (other than by way of merger or consolidation), in one or a series of related transactions, of all or substantially all of the assets of Holdings and its Subsidiaries taken as a whole to any ‘‘person’’ or ‘‘group’’ (as each such term is used in Section 13(d) of the Exchange Act) other than Holdings, one or more or its Restricted Subsidiaries, or one or more Permitted Holders; (b) the adoption of a plan relating to the liquidation or dissolution of Holdings; (c) the consummation of any transaction (including, without limitation, any merger or consolidation), the result of which is that any ‘‘person’’ or ‘‘group’’ (each as defined above) other than one or more Permitted Holders is or becomes the Beneficial Owner, directly or indirectly, of more than 50% of the Voting Stock of Holdings, measured by voting power rather than number of shares, units or the like; (d) the failure of Holdings, directly or indirectly through wholly owned subsidiaries, to own all of the Equity Interests of the Borrower; or (e) the occurrence of a “Change of Control” (or similar event, however denominated), as defined in the documentation governing any Material Indebtedness that is Permitted First Priority Refinancing Debt, Permitted Junior Lien Refinancing Debt, Permitted Unsecured Refinancing Debt, Additional Notes or Junior Financing.</w:t>
      </w:r>
    </w:p>
    <w:p>
      <w:pPr>
        <w:spacing w:after="0" w:line="181"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Law</w:t>
      </w:r>
      <w:r>
        <w:rPr>
          <w:rFonts w:ascii="Arial" w:cs="Arial" w:eastAsia="Arial" w:hAnsi="Arial"/>
          <w:sz w:val="19"/>
          <w:szCs w:val="19"/>
          <w:color w:val="auto"/>
        </w:rPr>
        <w:t>” means: (a) the adoption of any rule, regulation, treaty or other law after the Restatement Effective Date, (b) any change in any rule, regulation, treaty or other law or in the administration, interpretation or application thereof by any Governmental Authority or Regulatory Supervising Organization after the Restatement Effective Date or (c) the making or issuance of any request, guideline or directive (whether or not having the force of law) of any Governmental Authority or Regulatory Supervising Organization made or issued after the Restatement Effective Date.</w:t>
      </w:r>
    </w:p>
    <w:p>
      <w:pPr>
        <w:spacing w:after="0" w:line="169"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when used in reference to (a) any Loan or Borrowing, refers to whether such Loan, or the Loans comprising such Borrowing, are Revolving Loans, Other Revolving Loans,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Loans, Other Term Loans, Incremental Term Loans (other than in the form of additional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Loans) or loans under an Incremental Revolving Facility, (b) any Commitment, refers to whether such Commitment is a Revolving Commitment, Other Revolving Commitment, Term Commitment, Other Term Commitment, Incremental Term Commitment or commitment in respect of an Incremental Revolving Facility and (c) any Lender, refers to whether such Lender has a Loan or Commitment with respect to a particular Class of Loans or Commitments. Other Term Commitments, Incremental Term Commitments, commitment in respect of an Incremental Revolving Facility, Other Term Loans, Incremental Term Loans (other than Incremental Term Loans in the form of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Loans), Other Revolving Commitments (and the Other Revolving Loans made pursuant thereto), loans under an Incremental Revolving Facility and Incremental Term Facilities that have different terms and conditions shall be construed to be in different Classes.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Date</w:t>
      </w:r>
      <w:r>
        <w:rPr>
          <w:rFonts w:ascii="Arial" w:cs="Arial" w:eastAsia="Arial" w:hAnsi="Arial"/>
          <w:sz w:val="19"/>
          <w:szCs w:val="19"/>
          <w:color w:val="auto"/>
        </w:rPr>
        <w:t>” means May 22, 2013.</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from time to time.</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w:t>
      </w:r>
      <w:r>
        <w:rPr>
          <w:rFonts w:ascii="Arial" w:cs="Arial" w:eastAsia="Arial" w:hAnsi="Arial"/>
          <w:sz w:val="19"/>
          <w:szCs w:val="19"/>
          <w:color w:val="auto"/>
        </w:rPr>
        <w:t>” means any and all assets, whether real or personal, tangible or intangible, on which Liens are purported to be granted pursuant to the Security Documents as security for the Secured Obligations.</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Agreement</w:t>
      </w:r>
      <w:r>
        <w:rPr>
          <w:rFonts w:ascii="Arial" w:cs="Arial" w:eastAsia="Arial" w:hAnsi="Arial"/>
          <w:sz w:val="19"/>
          <w:szCs w:val="19"/>
          <w:color w:val="auto"/>
        </w:rPr>
        <w:t>” means the Collateral Agreement dated as of July 8, 2011 among the Borrower, each other Loan Party and the Administrative Agent (as assignee of the Former Agent), as supplemented, amended or otherwise modified from time to time.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and Guarantee Requirement</w:t>
      </w:r>
      <w:r>
        <w:rPr>
          <w:rFonts w:ascii="Arial" w:cs="Arial" w:eastAsia="Arial" w:hAnsi="Arial"/>
          <w:sz w:val="19"/>
          <w:szCs w:val="19"/>
          <w:color w:val="auto"/>
        </w:rPr>
        <w:t>” means, at any time, the requirement that:</w:t>
      </w:r>
    </w:p>
    <w:p>
      <w:pPr>
        <w:spacing w:after="0" w:line="221" w:lineRule="exact"/>
        <w:rPr>
          <w:sz w:val="20"/>
          <w:szCs w:val="20"/>
          <w:color w:val="auto"/>
        </w:rPr>
      </w:pPr>
    </w:p>
    <w:p>
      <w:pPr>
        <w:jc w:val="both"/>
        <w:ind w:firstLine="635"/>
        <w:spacing w:after="0" w:line="262" w:lineRule="auto"/>
        <w:tabs>
          <w:tab w:leader="none" w:pos="10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(i) Holdings, any Intermediate Parent, the Borrower and each of Holdings’ other Restricted Subsidiaries (other than any Foreign Subsidiary, any Regulated Subsidiary, any Excluded Subsidiary or any Excluded Domestic Subsidiary) either (x) a counterpart of the Guarantee Agreement duly executed and delivered on behalf of such Person or (y) in the case of any Person that becomes a Loan Party after the Restatement Effective Date (including by ceasing to be an Excluded Subsidiary, an Immaterial Subsidiary, a Foreign Subsidiary, a Regulated Subsidiary or an Excluded Domestic Subsidiary), a supplement to the Guarantee Agreement, in the form specified therein, duly executed and delivered on behalf of such Person and (ii) Holdings, any Intermediate Parent, the Borrower and each Subsidiary Loan Party either (x) a counterpart of the Collateral Agreement duly executed and delivered on behalf of such Person or (y) in the case of any Person that becomes a Loan Party after the Restatement Effective Date (including by ceasing to be an Excluded Subsidiary, an Immaterial Subsidiary, a Foreign Subsidiary, a Regulated Subsidiary or an Excluded Domestic Subsidiary), a supplement to the Collateral Agreement, in the form specified therein, duly executed and delivered on behalf of such Person, in each case under this clause (a) together with, in the case of any such Loan Documents executed and delivered after the Restatement Effective Date, documents and opinions of the type referred to in Sections 4.01(b) and 2(e));</w:t>
      </w:r>
    </w:p>
    <w:p>
      <w:pPr>
        <w:spacing w:after="0" w:line="175" w:lineRule="exact"/>
        <w:rPr>
          <w:rFonts w:ascii="Arial" w:cs="Arial" w:eastAsia="Arial" w:hAnsi="Arial"/>
          <w:sz w:val="18"/>
          <w:szCs w:val="18"/>
          <w:color w:val="auto"/>
        </w:rPr>
      </w:pPr>
    </w:p>
    <w:p>
      <w:pPr>
        <w:jc w:val="both"/>
        <w:ind w:firstLine="635"/>
        <w:spacing w:after="0" w:line="250" w:lineRule="auto"/>
        <w:tabs>
          <w:tab w:leader="none" w:pos="1154"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all outstanding Equity Interests of any Intermediate Parent, the Borrower and each Restricted Subsidiary (other than any Equity Interests constituting Excluded Assets) owned by or on behalf of any Loan Party, shall have been pledged pursuant to the Collateral Agreement, and the Administrative Agent shall have received certificates or other instruments representing all such Equity Interests (if any), together with undated stock powers or other instruments of transfer with respect thereto endorsed in blank; </w:t>
      </w:r>
      <w:r>
        <w:rPr>
          <w:rFonts w:ascii="Arial" w:cs="Arial" w:eastAsia="Arial" w:hAnsi="Arial"/>
          <w:sz w:val="19"/>
          <w:szCs w:val="19"/>
          <w:i w:val="1"/>
          <w:iCs w:val="1"/>
          <w:color w:val="auto"/>
        </w:rPr>
        <w:t>provided</w:t>
      </w:r>
      <w:r>
        <w:rPr>
          <w:rFonts w:ascii="Arial" w:cs="Arial" w:eastAsia="Arial" w:hAnsi="Arial"/>
          <w:sz w:val="19"/>
          <w:szCs w:val="19"/>
          <w:color w:val="auto"/>
        </w:rPr>
        <w:t>, that with respect to the Equity Interests of any Regulated Subsidiary, such instruments shall be subject to customary enforcement limitations, including regulatory approvals at the time of enforcement;</w:t>
      </w:r>
    </w:p>
    <w:p>
      <w:pPr>
        <w:spacing w:after="0" w:line="183" w:lineRule="exact"/>
        <w:rPr>
          <w:rFonts w:ascii="Arial" w:cs="Arial" w:eastAsia="Arial" w:hAnsi="Arial"/>
          <w:sz w:val="19"/>
          <w:szCs w:val="19"/>
          <w:color w:val="auto"/>
        </w:rPr>
      </w:pPr>
    </w:p>
    <w:p>
      <w:pPr>
        <w:jc w:val="both"/>
        <w:ind w:firstLine="635"/>
        <w:spacing w:after="0" w:line="294" w:lineRule="auto"/>
        <w:tabs>
          <w:tab w:leader="none" w:pos="1133"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any Indebtedness for borrowed money (including in respect of cash management arrangements) of Holdings, any Intermediate Parent, the Borrower or any Subsidiary in a principal amount of $5,000,000 or more is owing by such obligor to any Loan Party, such Indebtedness shall be evidenced by a promissory note that shall have been pledged pursuant to the Collateral Agreement, and the Administrative Agent shall have received all such promissory notes, together with undated instruments of transfer with respect thereto endorsed in blank;</w:t>
      </w:r>
    </w:p>
    <w:p>
      <w:pPr>
        <w:sectPr>
          <w:pgSz w:w="11900" w:h="16838" w:orient="portrait"/>
          <w:cols w:equalWidth="0" w:num="1">
            <w:col w:w="11420"/>
          </w:cols>
          <w:pgMar w:left="240" w:top="235" w:right="239" w:bottom="61" w:gutter="0" w:footer="0" w:header="0"/>
        </w:sectPr>
      </w:pPr>
    </w:p>
    <w:bookmarkStart w:id="102" w:name="page103"/>
    <w:bookmarkEnd w:id="102"/>
    <w:p>
      <w:pPr>
        <w:jc w:val="both"/>
        <w:ind w:firstLine="635"/>
        <w:spacing w:after="0" w:line="270" w:lineRule="auto"/>
        <w:tabs>
          <w:tab w:leader="none" w:pos="10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certificates, agreements, documents and instruments, including Uniform Commercial Code financing statements, required by the Security Documents,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for filing, registration or recording; and</w:t>
      </w:r>
    </w:p>
    <w:p>
      <w:pPr>
        <w:spacing w:after="0" w:line="162" w:lineRule="exact"/>
        <w:rPr>
          <w:rFonts w:ascii="Arial" w:cs="Arial" w:eastAsia="Arial" w:hAnsi="Arial"/>
          <w:sz w:val="18"/>
          <w:szCs w:val="18"/>
          <w:color w:val="auto"/>
        </w:rPr>
      </w:pPr>
    </w:p>
    <w:p>
      <w:pPr>
        <w:jc w:val="both"/>
        <w:ind w:firstLine="635"/>
        <w:spacing w:after="0" w:line="284" w:lineRule="auto"/>
        <w:tabs>
          <w:tab w:leader="none" w:pos="112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Administrative Agent shall have received (i) counterparts of a Mortgage with respect to each Mortgaged Property duly executed and delivered by the record owner of such Mortgaged Property, (ii) a policy or policies of title insurance issued by a nationally recognized title insurance company insuring the Lien of each such Mortgage as a first priority Lien on the Mortgaged Property described therein, free of any other Liens except as expressly permitted by Section 6.02, together with such endorsements, coinsurance and reinsurance as the Administrative Agent may reasonably request, (iii) if any Mortgaged Property is located in an area determined by the Federal Emergency Management Agency to have special flood hazards, evidence of such flood insurance as may be required under applicable law, including Regulation H of the Board of Governors and (iv) such legal opinions as the Administrative Agent may reasonably request with respect to any such Mortgage or Mortgaged Property.</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shall be excessive in view of the benefits to be obtained by the Lenders therefrom, (b) Liens required to be granted from time to time pursuant to the term “Collateral and Guarantee Requirement” shall be subject to exceptions and limitations set forth in the Security Documents as in effect on the Restatement Effective Date, (c) in no event shall control agreements or other control or similar arrangements be required with respect to deposit accounts, securities accounts, commodities accounts, letter of credit rights or other assets requiring perfection by control (but not, for the avoidance of doubt, possession), (d) in no event shall any Loan Party be required to complete any filings or other action with respect to the perfection or creation of security interests in any jurisdiction outside of the United States (or otherwise enter into any security agreements, mortgages or pledge agreements governed by the laws of any jurisdiction outside of the United States), (e) in no event shall the Collateral include any Excluded Assets, (f) in no event shall landlord lien waivers, estoppels and collateral access letters be required.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Restatement Effective Date or in connection with assets acquired, or Subsidiaries formed or acquired, after the Restatement Effective Date) where it determines that such action cannot be accomplished without undue effort or expense by the time or times at which it would otherwise be required to be accomplished by this Agreement or the Security Documents and (g) none of Virtu GW Comm LLC, Virtu Japan PTS Holdings LLC, Geodesic Networks, LLC, GETCO Investments, LLC, GETCO Strategic Investments, LLC or GETCO Trading, LLC shall be required to become a Guarantor until such time as it would no longer be required to be registered as an “investment company” under the Investment Company Act of 1940, as amended, and the rules and the regulations of the SEC thereunder, as a result of being a Guarantor (unless such Subsidiary would otherwise be excluded pursuant to clause (a) above or the definition of “Excluded Subsidiary”).</w:t>
      </w:r>
    </w:p>
    <w:p>
      <w:pPr>
        <w:spacing w:after="0" w:line="390"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Commitment</w:t>
      </w:r>
      <w:r>
        <w:rPr>
          <w:rFonts w:ascii="Arial" w:cs="Arial" w:eastAsia="Arial" w:hAnsi="Arial"/>
          <w:sz w:val="19"/>
          <w:szCs w:val="19"/>
          <w:color w:val="auto"/>
        </w:rPr>
        <w:t>” means, with respect to any Lender, its Revolving Commitment, Other Revolving Commitment, Term Commitment, Other Term Commitment or commitment in respect of any Incremental Term Facility or Incremental Revolving Facility, in each case of any Class, or any combination thereof (as the context requires).</w:t>
      </w:r>
    </w:p>
    <w:p>
      <w:pPr>
        <w:spacing w:after="0" w:line="161"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Income Amount</w:t>
      </w:r>
      <w:r>
        <w:rPr>
          <w:rFonts w:ascii="Arial" w:cs="Arial" w:eastAsia="Arial" w:hAnsi="Arial"/>
          <w:sz w:val="19"/>
          <w:szCs w:val="19"/>
          <w:color w:val="auto"/>
        </w:rPr>
        <w:t>” means, for a Tax Estimation Period, an amount, if positive, equal to the estimated net taxable income of Holdings for such Tax Estimation Period. For purposes of calculating the Company Income Amount, items of income, gain, loss and deduction resulting from adjustments to the tax basis of Holdings' assets pursuant to Code Section 743(b) and adjustments pursuant to Code Section 704(c) shall not be taken into account.</w:t>
      </w:r>
    </w:p>
    <w:p>
      <w:pPr>
        <w:spacing w:after="0" w:line="167" w:lineRule="exact"/>
        <w:rPr>
          <w:sz w:val="20"/>
          <w:szCs w:val="20"/>
          <w:color w:val="auto"/>
        </w:rPr>
      </w:pPr>
    </w:p>
    <w:p>
      <w:pPr>
        <w:jc w:val="both"/>
        <w:ind w:firstLine="630"/>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Competitor</w:t>
      </w:r>
      <w:r>
        <w:rPr>
          <w:rFonts w:ascii="Arial" w:cs="Arial" w:eastAsia="Arial" w:hAnsi="Arial"/>
          <w:sz w:val="19"/>
          <w:szCs w:val="19"/>
          <w:color w:val="auto"/>
        </w:rPr>
        <w:t xml:space="preserve">” means any Person (a) engaged in trading financial assets through the use of an electronically automated trading system that generates order sets (which, for purposes of clarity, can consist of a single order) with the intention of (i) creating profit by providing two-sided liquidity to the market, (ii) making a profit margin consistent with the business of making the bid-offer spread or less per unit of the financial asset(s) being traded (including by providing either one-sided or two sided liquidity to the market) or (iii) creating simultaneous (within 500 milliseconds) order sets that are generated with the intention of locking in an arbitrage profit and (b) identified as a “Potential Competitor” on Part B of Schedule 1.01; </w:t>
      </w:r>
      <w:r>
        <w:rPr>
          <w:rFonts w:ascii="Arial" w:cs="Arial" w:eastAsia="Arial" w:hAnsi="Arial"/>
          <w:sz w:val="19"/>
          <w:szCs w:val="19"/>
          <w:i w:val="1"/>
          <w:iCs w:val="1"/>
          <w:color w:val="auto"/>
        </w:rPr>
        <w:t>provided</w:t>
      </w:r>
      <w:r>
        <w:rPr>
          <w:rFonts w:ascii="Arial" w:cs="Arial" w:eastAsia="Arial" w:hAnsi="Arial"/>
          <w:sz w:val="19"/>
          <w:szCs w:val="19"/>
          <w:color w:val="auto"/>
        </w:rPr>
        <w:t>, that any such Person shall be deemed not to be a Competitor if the Loans or commitments in respect thereof will be held by or booked to any division or other identifiable unit or desk of such Person that, in the ordinary course of its business, holds commitments or extends credit of the type contemplated by this Agreement. Notwithstanding anything in this Agreement to the contrary, each Loan Party and the Lenders acknowledge and agree that the Administrative Agent will not have any responsibility or obligation to determine whether any Lender or potential Lender is a Competitor.</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Compliance Certificate</w:t>
      </w:r>
      <w:r>
        <w:rPr>
          <w:rFonts w:ascii="Arial" w:cs="Arial" w:eastAsia="Arial" w:hAnsi="Arial"/>
          <w:sz w:val="19"/>
          <w:szCs w:val="19"/>
          <w:color w:val="auto"/>
        </w:rPr>
        <w:t>” means a certificate in the form of Exhibit R required to be delivered pursuant to Section 5.01(d).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EBITDA</w:t>
      </w:r>
      <w:r>
        <w:rPr>
          <w:rFonts w:ascii="Arial" w:cs="Arial" w:eastAsia="Arial" w:hAnsi="Arial"/>
          <w:sz w:val="19"/>
          <w:szCs w:val="19"/>
          <w:color w:val="auto"/>
        </w:rPr>
        <w:t>” means, for any period, the Consolidated Net Income for such period, plus:</w:t>
      </w:r>
    </w:p>
    <w:p>
      <w:pPr>
        <w:spacing w:after="0" w:line="221" w:lineRule="exact"/>
        <w:rPr>
          <w:sz w:val="20"/>
          <w:szCs w:val="20"/>
          <w:color w:val="auto"/>
        </w:rPr>
      </w:pPr>
    </w:p>
    <w:p>
      <w:pPr>
        <w:ind w:firstLine="635"/>
        <w:spacing w:after="0" w:line="274" w:lineRule="auto"/>
        <w:tabs>
          <w:tab w:leader="none" w:pos="1049" w:val="left"/>
        </w:tabs>
        <w:numPr>
          <w:ilvl w:val="0"/>
          <w:numId w:val="37"/>
        </w:numPr>
        <w:rPr>
          <w:rFonts w:ascii="Arial" w:cs="Arial" w:eastAsia="Arial" w:hAnsi="Arial"/>
          <w:sz w:val="19"/>
          <w:szCs w:val="19"/>
          <w:color w:val="auto"/>
        </w:rPr>
      </w:pPr>
      <w:r>
        <w:rPr>
          <w:rFonts w:ascii="Arial" w:cs="Arial" w:eastAsia="Arial" w:hAnsi="Arial"/>
          <w:sz w:val="19"/>
          <w:szCs w:val="19"/>
          <w:color w:val="auto"/>
        </w:rPr>
        <w:t>without duplication and to the extent already deducted (and not added back or excluded) in arriving at such Consolidated Net Income, the sum of the following amounts for such period:</w:t>
      </w:r>
    </w:p>
    <w:p>
      <w:pPr>
        <w:spacing w:after="0" w:line="157" w:lineRule="exact"/>
        <w:rPr>
          <w:rFonts w:ascii="Arial" w:cs="Arial" w:eastAsia="Arial" w:hAnsi="Arial"/>
          <w:sz w:val="19"/>
          <w:szCs w:val="19"/>
          <w:color w:val="auto"/>
        </w:rPr>
      </w:pPr>
    </w:p>
    <w:p>
      <w:pPr>
        <w:jc w:val="both"/>
        <w:ind w:left="640" w:firstLine="625"/>
        <w:spacing w:after="0" w:line="273" w:lineRule="auto"/>
        <w:tabs>
          <w:tab w:leader="none" w:pos="16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total interest expense and, to the extent not reflected in such total interest expense, any losses on hedging obligations or other derivative instruments entered into for the purpose of hedging interest rate risk (other than in the ordinary course of the trading business of Holdings and its Restricted Subsidiaries), net of interest income and gains on such hedging obligations or such derivative instruments, and bank and letter of credit fees and costs of surety bonds in connection with financing activities;</w:t>
      </w:r>
    </w:p>
    <w:p>
      <w:pPr>
        <w:spacing w:after="0" w:line="160" w:lineRule="exact"/>
        <w:rPr>
          <w:rFonts w:ascii="Arial" w:cs="Arial" w:eastAsia="Arial" w:hAnsi="Arial"/>
          <w:sz w:val="18"/>
          <w:szCs w:val="18"/>
          <w:color w:val="auto"/>
        </w:rPr>
      </w:pPr>
    </w:p>
    <w:p>
      <w:pPr>
        <w:ind w:left="640" w:firstLine="625"/>
        <w:spacing w:after="0" w:line="274" w:lineRule="auto"/>
        <w:tabs>
          <w:tab w:leader="none" w:pos="1745" w:val="left"/>
        </w:tabs>
        <w:numPr>
          <w:ilvl w:val="1"/>
          <w:numId w:val="37"/>
        </w:numPr>
        <w:rPr>
          <w:rFonts w:ascii="Arial" w:cs="Arial" w:eastAsia="Arial" w:hAnsi="Arial"/>
          <w:sz w:val="19"/>
          <w:szCs w:val="19"/>
          <w:color w:val="auto"/>
        </w:rPr>
      </w:pPr>
      <w:r>
        <w:rPr>
          <w:rFonts w:ascii="Arial" w:cs="Arial" w:eastAsia="Arial" w:hAnsi="Arial"/>
          <w:sz w:val="19"/>
          <w:szCs w:val="19"/>
          <w:color w:val="auto"/>
        </w:rPr>
        <w:t>without duplication among periods, provision for taxes based on income, profits or capital, including federal, foreign, state, franchise, excise and similar taxes paid or accrued during such period (including in respect of repatriated funds);</w:t>
      </w:r>
    </w:p>
    <w:p>
      <w:pPr>
        <w:sectPr>
          <w:pgSz w:w="11900" w:h="16838" w:orient="portrait"/>
          <w:cols w:equalWidth="0" w:num="1">
            <w:col w:w="11420"/>
          </w:cols>
          <w:pgMar w:left="240" w:top="121" w:right="239" w:bottom="165" w:gutter="0" w:footer="0" w:header="0"/>
        </w:sectPr>
      </w:pPr>
    </w:p>
    <w:bookmarkStart w:id="103" w:name="page104"/>
    <w:bookmarkEnd w:id="103"/>
    <w:p>
      <w:pPr>
        <w:ind w:left="640" w:firstLine="625"/>
        <w:spacing w:after="0" w:line="275" w:lineRule="auto"/>
        <w:tabs>
          <w:tab w:leader="none" w:pos="1836" w:val="left"/>
        </w:tabs>
        <w:numPr>
          <w:ilvl w:val="0"/>
          <w:numId w:val="38"/>
        </w:numPr>
        <w:rPr>
          <w:rFonts w:ascii="Arial" w:cs="Arial" w:eastAsia="Arial" w:hAnsi="Arial"/>
          <w:sz w:val="19"/>
          <w:szCs w:val="19"/>
          <w:color w:val="auto"/>
        </w:rPr>
      </w:pPr>
      <w:r>
        <w:rPr>
          <w:rFonts w:ascii="Arial" w:cs="Arial" w:eastAsia="Arial" w:hAnsi="Arial"/>
          <w:sz w:val="19"/>
          <w:szCs w:val="19"/>
          <w:color w:val="auto"/>
        </w:rPr>
        <w:t>depreciation and amortization (including amortization of Capitalized Software Expenditures and amortization of deferred financing fees or costs);</w:t>
      </w:r>
    </w:p>
    <w:p>
      <w:pPr>
        <w:spacing w:after="0" w:line="156" w:lineRule="exact"/>
        <w:rPr>
          <w:rFonts w:ascii="Arial" w:cs="Arial" w:eastAsia="Arial" w:hAnsi="Arial"/>
          <w:sz w:val="19"/>
          <w:szCs w:val="19"/>
          <w:color w:val="auto"/>
        </w:rPr>
      </w:pPr>
    </w:p>
    <w:p>
      <w:pPr>
        <w:ind w:left="1740" w:hanging="475"/>
        <w:spacing w:after="0"/>
        <w:tabs>
          <w:tab w:leader="none" w:pos="17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Non-Cash Charges;</w:t>
      </w:r>
    </w:p>
    <w:p>
      <w:pPr>
        <w:spacing w:after="0" w:line="214" w:lineRule="exact"/>
        <w:rPr>
          <w:rFonts w:ascii="Arial" w:cs="Arial" w:eastAsia="Arial" w:hAnsi="Arial"/>
          <w:sz w:val="19"/>
          <w:szCs w:val="19"/>
          <w:color w:val="auto"/>
        </w:rPr>
      </w:pPr>
    </w:p>
    <w:p>
      <w:pPr>
        <w:ind w:left="1680" w:hanging="415"/>
        <w:spacing w:after="0"/>
        <w:tabs>
          <w:tab w:leader="none" w:pos="16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extraordinary losses in accordance with GAAP;</w:t>
      </w:r>
    </w:p>
    <w:p>
      <w:pPr>
        <w:spacing w:after="0" w:line="214" w:lineRule="exact"/>
        <w:rPr>
          <w:rFonts w:ascii="Arial" w:cs="Arial" w:eastAsia="Arial" w:hAnsi="Arial"/>
          <w:sz w:val="19"/>
          <w:szCs w:val="19"/>
          <w:color w:val="auto"/>
        </w:rPr>
      </w:pPr>
    </w:p>
    <w:p>
      <w:pPr>
        <w:jc w:val="both"/>
        <w:ind w:left="640" w:firstLine="625"/>
        <w:spacing w:after="0" w:line="252" w:lineRule="auto"/>
        <w:tabs>
          <w:tab w:leader="none" w:pos="1752"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non-recurring charges (including any unusual or non-recurring operating expenses directly attributable to the implementation of cost savings initiatives), severance, relocation costs, integration and facilities’ opening costs, signing costs, retention or completion bonuses (other than bonuses paid in the ordinary course of business of Holdings and its Restricted Subsidiaries), transition costs, costs related to closure/consolidation of facilities and curtailments or modifications to pension and post-retirement employee benefit plans (including any settlement of pension liabilities);</w:t>
      </w:r>
    </w:p>
    <w:p>
      <w:pPr>
        <w:spacing w:after="0" w:line="178" w:lineRule="exact"/>
        <w:rPr>
          <w:rFonts w:ascii="Arial" w:cs="Arial" w:eastAsia="Arial" w:hAnsi="Arial"/>
          <w:sz w:val="19"/>
          <w:szCs w:val="19"/>
          <w:color w:val="auto"/>
        </w:rPr>
      </w:pPr>
    </w:p>
    <w:p>
      <w:pPr>
        <w:jc w:val="both"/>
        <w:ind w:left="640" w:firstLine="625"/>
        <w:spacing w:after="0" w:line="254" w:lineRule="auto"/>
        <w:tabs>
          <w:tab w:leader="none" w:pos="1854"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restructuring charges, accruals or reserves (including restructuring costs related to acquisitions after the Closing Date and adjustments to existing reserves);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included in Consolidated EBITDA pursuant to this clause (vii) for any Test Period shall not exceed 10% of Consolidated EBITDA for such Test Period (calculated prior to giving effect to any adjustment pursuant to this clause (vii));</w:t>
      </w:r>
    </w:p>
    <w:p>
      <w:pPr>
        <w:spacing w:after="0" w:line="177" w:lineRule="exact"/>
        <w:rPr>
          <w:rFonts w:ascii="Arial" w:cs="Arial" w:eastAsia="Arial" w:hAnsi="Arial"/>
          <w:sz w:val="19"/>
          <w:szCs w:val="19"/>
          <w:color w:val="auto"/>
        </w:rPr>
      </w:pPr>
    </w:p>
    <w:p>
      <w:pPr>
        <w:ind w:left="640" w:firstLine="625"/>
        <w:spacing w:after="0" w:line="303" w:lineRule="auto"/>
        <w:tabs>
          <w:tab w:leader="none" w:pos="18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any minority interest expense consisting of subsidiary income attributable to minority equity interests of third parties in any Non-Wholly Owned Subsidiary deducted (and not added back in such period to Consolidated Net Income);</w:t>
      </w:r>
    </w:p>
    <w:p>
      <w:pPr>
        <w:spacing w:after="0" w:line="133" w:lineRule="exact"/>
        <w:rPr>
          <w:rFonts w:ascii="Arial" w:cs="Arial" w:eastAsia="Arial" w:hAnsi="Arial"/>
          <w:sz w:val="18"/>
          <w:szCs w:val="18"/>
          <w:color w:val="auto"/>
        </w:rPr>
      </w:pPr>
    </w:p>
    <w:p>
      <w:pPr>
        <w:jc w:val="both"/>
        <w:ind w:left="640" w:firstLine="625"/>
        <w:spacing w:after="0" w:line="273" w:lineRule="auto"/>
        <w:tabs>
          <w:tab w:leader="none" w:pos="18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Loan Documents;</w:t>
      </w:r>
    </w:p>
    <w:p>
      <w:pPr>
        <w:spacing w:after="0" w:line="160" w:lineRule="exact"/>
        <w:rPr>
          <w:rFonts w:ascii="Arial" w:cs="Arial" w:eastAsia="Arial" w:hAnsi="Arial"/>
          <w:sz w:val="18"/>
          <w:szCs w:val="18"/>
          <w:color w:val="auto"/>
        </w:rPr>
      </w:pPr>
    </w:p>
    <w:p>
      <w:pPr>
        <w:ind w:left="1720" w:hanging="455"/>
        <w:spacing w:after="0"/>
        <w:tabs>
          <w:tab w:leader="none" w:pos="1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losses on asset sales, disposals or abandonments (other than asset sales, disposals or abandonments in the ordinary course of</w:t>
      </w:r>
    </w:p>
    <w:p>
      <w:pPr>
        <w:spacing w:after="0" w:line="4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9"/>
          <w:szCs w:val="19"/>
          <w:color w:val="auto"/>
        </w:rPr>
        <w:t>business);</w:t>
      </w:r>
    </w:p>
    <w:p>
      <w:pPr>
        <w:spacing w:after="0" w:line="198" w:lineRule="exact"/>
        <w:rPr>
          <w:rFonts w:ascii="Arial" w:cs="Arial" w:eastAsia="Arial" w:hAnsi="Arial"/>
          <w:sz w:val="17"/>
          <w:szCs w:val="17"/>
          <w:color w:val="auto"/>
        </w:rPr>
      </w:pPr>
    </w:p>
    <w:p>
      <w:pPr>
        <w:ind w:left="1740" w:hanging="475"/>
        <w:spacing w:after="0"/>
        <w:tabs>
          <w:tab w:leader="none" w:pos="17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amount of any net losses from discontinued operations in accordance with GAAP;</w:t>
      </w:r>
    </w:p>
    <w:p>
      <w:pPr>
        <w:spacing w:after="0" w:line="214" w:lineRule="exact"/>
        <w:rPr>
          <w:rFonts w:ascii="Arial" w:cs="Arial" w:eastAsia="Arial" w:hAnsi="Arial"/>
          <w:sz w:val="19"/>
          <w:szCs w:val="19"/>
          <w:color w:val="auto"/>
        </w:rPr>
      </w:pPr>
    </w:p>
    <w:p>
      <w:pPr>
        <w:jc w:val="both"/>
        <w:ind w:left="640" w:firstLine="625"/>
        <w:spacing w:after="0" w:line="254" w:lineRule="auto"/>
        <w:tabs>
          <w:tab w:leader="none" w:pos="1844"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non-cash loss attributable to the mark to market movement in the valuation of hedging obligations or other derivative instruments (to the extent the cash impact resulting from such loss has not been realized) (other than those entered into in the ordinary course of the trading business of the Borrower and its Restricted Subsidiaries) pursuant to Financial Accounting Standards Accounting Standards Codification No. 815—Derivatives and Hedging;</w:t>
      </w:r>
    </w:p>
    <w:p>
      <w:pPr>
        <w:spacing w:after="0" w:line="177" w:lineRule="exact"/>
        <w:rPr>
          <w:rFonts w:ascii="Arial" w:cs="Arial" w:eastAsia="Arial" w:hAnsi="Arial"/>
          <w:sz w:val="19"/>
          <w:szCs w:val="19"/>
          <w:color w:val="auto"/>
        </w:rPr>
      </w:pPr>
    </w:p>
    <w:p>
      <w:pPr>
        <w:jc w:val="both"/>
        <w:ind w:left="640" w:firstLine="625"/>
        <w:spacing w:after="0" w:line="259" w:lineRule="auto"/>
        <w:tabs>
          <w:tab w:leader="none" w:pos="1947"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loss relating to amounts paid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spacing w:after="0" w:line="171" w:lineRule="exact"/>
        <w:rPr>
          <w:rFonts w:ascii="Arial" w:cs="Arial" w:eastAsia="Arial" w:hAnsi="Arial"/>
          <w:sz w:val="19"/>
          <w:szCs w:val="19"/>
          <w:color w:val="auto"/>
        </w:rPr>
      </w:pPr>
    </w:p>
    <w:p>
      <w:pPr>
        <w:jc w:val="both"/>
        <w:ind w:left="640" w:firstLine="625"/>
        <w:spacing w:after="0" w:line="254" w:lineRule="auto"/>
        <w:tabs>
          <w:tab w:leader="none" w:pos="1939"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gain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(b)(v) and (b)(vi) below; and</w:t>
      </w:r>
    </w:p>
    <w:p>
      <w:pPr>
        <w:spacing w:after="0" w:line="177" w:lineRule="exact"/>
        <w:rPr>
          <w:rFonts w:ascii="Arial" w:cs="Arial" w:eastAsia="Arial" w:hAnsi="Arial"/>
          <w:sz w:val="19"/>
          <w:szCs w:val="19"/>
          <w:color w:val="auto"/>
        </w:rPr>
      </w:pPr>
    </w:p>
    <w:p>
      <w:pPr>
        <w:jc w:val="both"/>
        <w:ind w:left="640" w:firstLine="625"/>
        <w:spacing w:after="0" w:line="289" w:lineRule="auto"/>
        <w:tabs>
          <w:tab w:leader="none" w:pos="185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any expenses or charges related to any issuance of Equity Interests, Investment, acquisition, Disposition, recapitalization or the incurrence, modification or repayment of Indebtedness permitted to be incurred by this Agreement (including a refinancing thereof) (whether or not successful), in each case, outside the ordinary course of business, including (x) such fees, expenses or charges related to this Agreement and (y) any amendment or other modification of the Loans or other obligations under the Loan Documents or other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added back pursuant to this clause (xv) in any Test Period shall not exceed $10,000,000;</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less</w:t>
      </w:r>
    </w:p>
    <w:p>
      <w:pPr>
        <w:spacing w:after="0" w:line="215" w:lineRule="exact"/>
        <w:rPr>
          <w:sz w:val="20"/>
          <w:szCs w:val="20"/>
          <w:color w:val="auto"/>
        </w:rPr>
      </w:pPr>
    </w:p>
    <w:p>
      <w:pPr>
        <w:ind w:left="1060" w:hanging="425"/>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without duplication and to the extent included in arriving at such Consolidated Net Income, the sum of the following amounts for such</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period:</w:t>
      </w:r>
    </w:p>
    <w:p>
      <w:pPr>
        <w:spacing w:after="0" w:line="199" w:lineRule="exact"/>
        <w:rPr>
          <w:sz w:val="20"/>
          <w:szCs w:val="20"/>
          <w:color w:val="auto"/>
        </w:rPr>
      </w:pPr>
    </w:p>
    <w:p>
      <w:pPr>
        <w:ind w:left="1640" w:hanging="375"/>
        <w:spacing w:after="0"/>
        <w:tabs>
          <w:tab w:leader="none" w:pos="16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extraordinary gains and unusual or non-recurring gains;</w:t>
      </w:r>
    </w:p>
    <w:p>
      <w:pPr>
        <w:spacing w:after="0" w:line="214" w:lineRule="exact"/>
        <w:rPr>
          <w:rFonts w:ascii="Arial" w:cs="Arial" w:eastAsia="Arial" w:hAnsi="Arial"/>
          <w:sz w:val="19"/>
          <w:szCs w:val="19"/>
          <w:color w:val="auto"/>
        </w:rPr>
      </w:pPr>
    </w:p>
    <w:p>
      <w:pPr>
        <w:ind w:left="640" w:firstLine="625"/>
        <w:spacing w:after="0" w:line="274" w:lineRule="auto"/>
        <w:tabs>
          <w:tab w:leader="none" w:pos="1756"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non-cash gains (excluding any non-cash gain to the extent it represents the reversal of an accrual or reserve for a potential cash item that reduced Consolidated Net Income or Consolidated EBITDA in any prior period);</w:t>
      </w:r>
    </w:p>
    <w:p>
      <w:pPr>
        <w:spacing w:after="0" w:line="157" w:lineRule="exact"/>
        <w:rPr>
          <w:rFonts w:ascii="Arial" w:cs="Arial" w:eastAsia="Arial" w:hAnsi="Arial"/>
          <w:sz w:val="19"/>
          <w:szCs w:val="19"/>
          <w:color w:val="auto"/>
        </w:rPr>
      </w:pPr>
    </w:p>
    <w:p>
      <w:pPr>
        <w:ind w:left="1780" w:hanging="515"/>
        <w:spacing w:after="0"/>
        <w:tabs>
          <w:tab w:leader="none" w:pos="1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gains on asset sales, disposals or abandonments (other than asset sales, disposals or abandonments in the ordinary course of</w:t>
      </w:r>
    </w:p>
    <w:p>
      <w:pPr>
        <w:spacing w:after="0" w:line="4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9"/>
          <w:szCs w:val="19"/>
          <w:color w:val="auto"/>
        </w:rPr>
        <w:t>business);</w:t>
      </w:r>
    </w:p>
    <w:p>
      <w:pPr>
        <w:spacing w:after="0" w:line="198" w:lineRule="exact"/>
        <w:rPr>
          <w:rFonts w:ascii="Arial" w:cs="Arial" w:eastAsia="Arial" w:hAnsi="Arial"/>
          <w:sz w:val="17"/>
          <w:szCs w:val="17"/>
          <w:color w:val="auto"/>
        </w:rPr>
      </w:pPr>
    </w:p>
    <w:p>
      <w:pPr>
        <w:ind w:left="1740" w:hanging="475"/>
        <w:spacing w:after="0"/>
        <w:tabs>
          <w:tab w:leader="none" w:pos="17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amount of any net income from discontinued operations in accordance with GAAP;</w:t>
      </w:r>
    </w:p>
    <w:p>
      <w:pPr>
        <w:spacing w:after="0" w:line="214" w:lineRule="exact"/>
        <w:rPr>
          <w:rFonts w:ascii="Arial" w:cs="Arial" w:eastAsia="Arial" w:hAnsi="Arial"/>
          <w:sz w:val="19"/>
          <w:szCs w:val="19"/>
          <w:color w:val="auto"/>
        </w:rPr>
      </w:pPr>
    </w:p>
    <w:p>
      <w:pPr>
        <w:jc w:val="both"/>
        <w:ind w:left="640" w:firstLine="625"/>
        <w:spacing w:after="0" w:line="273" w:lineRule="auto"/>
        <w:tabs>
          <w:tab w:leader="none" w:pos="17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non-cash gain attributable to the mark to market movement in the valuation of hedging obligations or other derivative instruments (to the extent the cash impact resulting from such gain has not been realized) (other than any hedging obligations or other derivative instruments entered into in the ordinary course of the trading business of Holdings and its Restricted Subsidiaries) pursuant to Financial Accounting Standards Accounting Standards Codification No. 815-Derivatives and Hedging;</w:t>
      </w:r>
    </w:p>
    <w:p>
      <w:pPr>
        <w:spacing w:after="0" w:line="160" w:lineRule="exact"/>
        <w:rPr>
          <w:rFonts w:ascii="Arial" w:cs="Arial" w:eastAsia="Arial" w:hAnsi="Arial"/>
          <w:sz w:val="18"/>
          <w:szCs w:val="18"/>
          <w:color w:val="auto"/>
        </w:rPr>
      </w:pPr>
    </w:p>
    <w:p>
      <w:pPr>
        <w:jc w:val="both"/>
        <w:ind w:left="640" w:firstLine="625"/>
        <w:spacing w:after="0" w:line="259" w:lineRule="auto"/>
        <w:tabs>
          <w:tab w:leader="none" w:pos="1799"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gain relating to amounts received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sectPr>
          <w:pgSz w:w="11900" w:h="16838" w:orient="portrait"/>
          <w:cols w:equalWidth="0" w:num="1">
            <w:col w:w="11420"/>
          </w:cols>
          <w:pgMar w:left="240" w:top="121" w:right="239" w:bottom="0" w:gutter="0" w:footer="0" w:header="0"/>
        </w:sectPr>
      </w:pPr>
    </w:p>
    <w:bookmarkStart w:id="104" w:name="page105"/>
    <w:bookmarkEnd w:id="104"/>
    <w:p>
      <w:pPr>
        <w:jc w:val="both"/>
        <w:ind w:left="640" w:firstLine="625"/>
        <w:spacing w:after="0" w:line="305" w:lineRule="auto"/>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loss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(a)(xiii) and (a)(xiv) above; and</w:t>
      </w:r>
    </w:p>
    <w:p>
      <w:pPr>
        <w:spacing w:after="0" w:line="135" w:lineRule="exact"/>
        <w:rPr>
          <w:rFonts w:ascii="Arial" w:cs="Arial" w:eastAsia="Arial" w:hAnsi="Arial"/>
          <w:sz w:val="17"/>
          <w:szCs w:val="17"/>
          <w:color w:val="auto"/>
        </w:rPr>
      </w:pPr>
    </w:p>
    <w:p>
      <w:pPr>
        <w:ind w:left="640" w:firstLine="625"/>
        <w:spacing w:after="0" w:line="303" w:lineRule="auto"/>
        <w:tabs>
          <w:tab w:leader="none" w:pos="17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of any minority interest income consisting of subsidiary loss attributable to minority equity interests of third parties in any Non-Wholly Owned Subsidiary added (and not deducted in such period in calculating Consolidated Net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each case, as determined on a consolidated basis for Holdings and the Restricted Subsidiaries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26" w:lineRule="exact"/>
        <w:rPr>
          <w:sz w:val="20"/>
          <w:szCs w:val="20"/>
          <w:color w:val="auto"/>
        </w:rPr>
      </w:pPr>
    </w:p>
    <w:p>
      <w:pPr>
        <w:jc w:val="both"/>
        <w:ind w:left="640" w:firstLine="625"/>
        <w:spacing w:after="0" w:line="273" w:lineRule="auto"/>
        <w:tabs>
          <w:tab w:leader="none" w:pos="17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currency translation gains and losses related to currency remeasurements of Indebtedness (including the net loss or gain resulting from hedging agreements for currency exchange risk and revaluations of intercompany balances), other than any gains or losses related to foreign currency trading and hedging in the ordinary course of the trading business of Holdings and its Restricted Subsidiaries,</w:t>
      </w:r>
    </w:p>
    <w:p>
      <w:pPr>
        <w:spacing w:after="0" w:line="161" w:lineRule="exact"/>
        <w:rPr>
          <w:sz w:val="20"/>
          <w:szCs w:val="20"/>
          <w:color w:val="auto"/>
        </w:rPr>
      </w:pPr>
    </w:p>
    <w:p>
      <w:pPr>
        <w:jc w:val="both"/>
        <w:ind w:left="640" w:firstLine="625"/>
        <w:spacing w:after="0" w:line="254" w:lineRule="auto"/>
        <w:tabs>
          <w:tab w:leader="none" w:pos="1791" w:val="left"/>
        </w:tabs>
        <w:numPr>
          <w:ilvl w:val="0"/>
          <w:numId w:val="43"/>
        </w:numPr>
        <w:rPr>
          <w:rFonts w:ascii="Arial" w:cs="Arial" w:eastAsia="Arial" w:hAnsi="Arial"/>
          <w:sz w:val="19"/>
          <w:szCs w:val="19"/>
          <w:color w:val="auto"/>
        </w:rPr>
      </w:pPr>
      <w:r>
        <w:rPr>
          <w:rFonts w:ascii="Arial" w:cs="Arial" w:eastAsia="Arial" w:hAnsi="Arial"/>
          <w:sz w:val="19"/>
          <w:szCs w:val="19"/>
          <w:color w:val="auto"/>
        </w:rPr>
        <w:t>to the extent included in Consolidated Net Income, there shall be excluded in determining Consolidated EBITDA for any period any adjustments resulting from the application of Financial Accounting Standards Accounting Standards Codification No. 815-Derivatives and Hedging (other than with respect to any hedging obligations entered into in the ordinary course of the trading business of Holdings and its Restricted Subsidiaries),</w:t>
      </w:r>
    </w:p>
    <w:p>
      <w:pPr>
        <w:spacing w:after="0" w:line="178" w:lineRule="exact"/>
        <w:rPr>
          <w:sz w:val="20"/>
          <w:szCs w:val="20"/>
          <w:color w:val="auto"/>
        </w:rPr>
      </w:pPr>
    </w:p>
    <w:p>
      <w:pPr>
        <w:jc w:val="both"/>
        <w:ind w:left="640" w:firstLine="625"/>
        <w:spacing w:after="0" w:line="262" w:lineRule="auto"/>
        <w:tabs>
          <w:tab w:leader="none" w:pos="17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extent not included in Consolidated Net Income, there shall be included in determining Consolidated EBITDA for any period, without duplication, (A) the Acquired EBITDA of any Person, property, business or asset acquired by Holdings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Restatement Effective Date, and not subsequently so disposed of, an “</w:t>
      </w:r>
      <w:r>
        <w:rPr>
          <w:rFonts w:ascii="Arial" w:cs="Arial" w:eastAsia="Arial" w:hAnsi="Arial"/>
          <w:sz w:val="18"/>
          <w:szCs w:val="18"/>
          <w:b w:val="1"/>
          <w:bCs w:val="1"/>
          <w:color w:val="auto"/>
        </w:rPr>
        <w:t>Acquired Entity or Business</w:t>
      </w:r>
      <w:r>
        <w:rPr>
          <w:rFonts w:ascii="Arial" w:cs="Arial" w:eastAsia="Arial" w:hAnsi="Arial"/>
          <w:sz w:val="18"/>
          <w:szCs w:val="18"/>
          <w:color w:val="auto"/>
        </w:rPr>
        <w:t>”), and the Acquired EBITDA of any Unrestricted Subsidiary that is converted into a Restricted Subsidiary during such period (each, a “</w:t>
      </w:r>
      <w:r>
        <w:rPr>
          <w:rFonts w:ascii="Arial" w:cs="Arial" w:eastAsia="Arial" w:hAnsi="Arial"/>
          <w:sz w:val="18"/>
          <w:szCs w:val="18"/>
          <w:b w:val="1"/>
          <w:bCs w:val="1"/>
          <w:color w:val="auto"/>
        </w:rPr>
        <w:t>Converted Restricted Subsidiary</w:t>
      </w:r>
      <w:r>
        <w:rPr>
          <w:rFonts w:ascii="Arial" w:cs="Arial" w:eastAsia="Arial" w:hAnsi="Arial"/>
          <w:sz w:val="18"/>
          <w:szCs w:val="18"/>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a certificate from a Financial Officer delivered to the Administrative Agent (for further delivery to the Lenders); and</w:t>
      </w:r>
    </w:p>
    <w:p>
      <w:pPr>
        <w:spacing w:after="0" w:line="176" w:lineRule="exact"/>
        <w:rPr>
          <w:sz w:val="20"/>
          <w:szCs w:val="20"/>
          <w:color w:val="auto"/>
        </w:rPr>
      </w:pPr>
    </w:p>
    <w:p>
      <w:pPr>
        <w:jc w:val="both"/>
        <w:ind w:left="640" w:firstLine="630"/>
        <w:spacing w:after="0" w:line="262" w:lineRule="auto"/>
        <w:rPr>
          <w:sz w:val="20"/>
          <w:szCs w:val="20"/>
          <w:color w:val="auto"/>
        </w:rPr>
      </w:pPr>
      <w:r>
        <w:rPr>
          <w:rFonts w:ascii="Arial" w:cs="Arial" w:eastAsia="Arial" w:hAnsi="Arial"/>
          <w:sz w:val="18"/>
          <w:szCs w:val="18"/>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by Holdings or any Restricted Subsidiary during such period (each such Person, property, business or asset so sold, transferred or otherwise disposed of, closed or classified, a “</w:t>
      </w:r>
      <w:r>
        <w:rPr>
          <w:rFonts w:ascii="Arial" w:cs="Arial" w:eastAsia="Arial" w:hAnsi="Arial"/>
          <w:sz w:val="18"/>
          <w:szCs w:val="18"/>
          <w:b w:val="1"/>
          <w:bCs w:val="1"/>
          <w:color w:val="auto"/>
        </w:rPr>
        <w:t>Sold Entity or Business</w:t>
      </w:r>
      <w:r>
        <w:rPr>
          <w:rFonts w:ascii="Arial" w:cs="Arial" w:eastAsia="Arial" w:hAnsi="Arial"/>
          <w:sz w:val="18"/>
          <w:szCs w:val="18"/>
          <w:color w:val="auto"/>
        </w:rPr>
        <w:t>”), and the Disposed EBITDA of any Restricted Subsidiary that is converted into an Unrestricted Subsidiary during such period (each, a “</w:t>
      </w:r>
      <w:r>
        <w:rPr>
          <w:rFonts w:ascii="Arial" w:cs="Arial" w:eastAsia="Arial" w:hAnsi="Arial"/>
          <w:sz w:val="18"/>
          <w:szCs w:val="18"/>
          <w:b w:val="1"/>
          <w:bCs w:val="1"/>
          <w:color w:val="auto"/>
        </w:rPr>
        <w:t>Converted Unrestricted Subsidiary</w:t>
      </w:r>
      <w:r>
        <w:rPr>
          <w:rFonts w:ascii="Arial" w:cs="Arial" w:eastAsia="Arial" w:hAnsi="Arial"/>
          <w:sz w:val="18"/>
          <w:szCs w:val="18"/>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or Converted Unrestricted Subsidiary is converted, an adjustment equal to the Pro Forma Disposal Adjustment with respect to such Sold Entity or Business or Converted Unrestricted Subsidiary (including the portion thereof occurring prior to such disposal or conversion) as specified in a certificate from a Financial Officer delivered to the Administrative Agent (for further delivery to the Lenders).</w:t>
      </w:r>
    </w:p>
    <w:p>
      <w:pPr>
        <w:spacing w:after="0" w:line="170"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Interest Expense</w:t>
      </w:r>
      <w:r>
        <w:rPr>
          <w:rFonts w:ascii="Arial" w:cs="Arial" w:eastAsia="Arial" w:hAnsi="Arial"/>
          <w:sz w:val="17"/>
          <w:szCs w:val="17"/>
          <w:color w:val="auto"/>
        </w:rPr>
        <w:t>” means, for any period, the cash interest expense (including that attributable to Capitalized Leases), net of cash interest income (excluding cash interest income relating to any asset or property that secures any Trading Debt), of Holdings and the Restricted Subsidiaries, determined on a consolidated basis in accordance with GAAP, with respect to all outstanding Indebtedness of Holdings and the Restricted Subsidiaries (excluding Trading Debt), including all commissions, discounts and other fees and charges owed with respect to letters of credit and bankers’ acceptance financing and net costs under hedging agreements, but excluding, for the avoidance of doubt, (i) amortization of deferred financing costs, debt issuance costs, commissions, fees and expenses, pay-in-kind interest expense and any other amounts of non-cash interest (including as a result of the effects of acquisition method accounting), (ii) the accretion or accrual of discounted liabilities during such period, (iii) any interest in respect of items excluded from Indebtedness in the proviso to the definition thereof, (iv) non-cash interest expense attributable to the movement of the mark-to-market valuation of obligations under hedging agreements or other derivative instruments pursuant to Financial Accounting Standards Accounting Standards Codification No. 815-Derivatives and Hedging, (v) any one-time cash costs associated with breakage in respect of hedging agreements for interest rates, and (vi) all non-recurring cash interest expense consisting of liquidated damages for failure to timely comply with registration rights obligations, all as calculated on a consolidated basis in accordance with GAAP.</w:t>
      </w:r>
    </w:p>
    <w:p>
      <w:pPr>
        <w:spacing w:after="0" w:line="151" w:lineRule="exact"/>
        <w:rPr>
          <w:sz w:val="20"/>
          <w:szCs w:val="20"/>
          <w:color w:val="auto"/>
        </w:rPr>
      </w:pPr>
    </w:p>
    <w:p>
      <w:pPr>
        <w:jc w:val="both"/>
        <w:ind w:firstLine="63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Net Income</w:t>
      </w:r>
      <w:r>
        <w:rPr>
          <w:rFonts w:ascii="Arial" w:cs="Arial" w:eastAsia="Arial" w:hAnsi="Arial"/>
          <w:sz w:val="17"/>
          <w:szCs w:val="17"/>
          <w:color w:val="auto"/>
        </w:rPr>
        <w:t>” means, for any period, the net income (loss) of Holdings and the Restricted Subsidiaries for such period determined on a consolidated basis in accordance with GAAP, excluding, without duplication, (a) extraordinary items for such period, (b) the cumulative effect of a change in accounting principles during such period to the extent included in Consolidated Net Income, (c) [reserved], (d) any fees and expenses (including any transaction or retention bonus)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(e) any income (loss) for such period attributable to the early extinguishment of Indebtedness, hedging agreements or other derivative instruments (other than any income (loss) attributable to Trading Debt or hedging agreements or other derivative instruments entered into in the ordinary course of the trading business of Holdings and its Restricted Subsidiaries), (f) accruals and reserves that are established or adjusted as a result of the Transactions in accordance with GAAP (including any adjustment of estimated payouts on existing earn-outs) or changes as a result of the adoption or modification of accounting policies during such period, (g) non-cash stock-based award compensation expenses, (h) any income (loss) attributable to deferred compensation plans or trusts and (i) any income (loss) from Investments recorded using the equity method. There shall be excluded from Consolidated Net Income for any period the effects from applying acquisition method accounting, including applying acquisition method accounting to inventory, property and equipment, leases, software and other intangible assets and deferred revenue (including deferred costs related thereto and deferred rent) required or permitted by GAAP and related authoritative</w:t>
      </w:r>
    </w:p>
    <w:p>
      <w:pPr>
        <w:sectPr>
          <w:pgSz w:w="11900" w:h="16838" w:orient="portrait"/>
          <w:cols w:equalWidth="0" w:num="1">
            <w:col w:w="11420"/>
          </w:cols>
          <w:pgMar w:left="240" w:top="121" w:right="239" w:bottom="0" w:gutter="0" w:footer="0" w:header="0"/>
        </w:sectPr>
      </w:pPr>
    </w:p>
    <w:bookmarkStart w:id="105" w:name="page106"/>
    <w:bookmarkEnd w:id="105"/>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pronouncements (including the effects of such adjustments pushed down to Holdings and the Restricted Subsidiaries), as a result of any acquisition consummated prior to the Restatement Effective Date, the Merger and Contribution and any Permitted Acquisition or the amortization or write-off of any amounts thereof.</w:t>
      </w:r>
    </w:p>
    <w:p>
      <w:pPr>
        <w:spacing w:after="0" w:line="170"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8"/>
          <w:szCs w:val="18"/>
          <w:color w:val="auto"/>
        </w:rPr>
        <w:t>In addition, to the extent not already included in Consolidated Net Income,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w:t>
      </w:r>
    </w:p>
    <w:p>
      <w:pPr>
        <w:spacing w:after="0" w:line="149"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Assets</w:t>
      </w:r>
      <w:r>
        <w:rPr>
          <w:rFonts w:ascii="Arial" w:cs="Arial" w:eastAsia="Arial" w:hAnsi="Arial"/>
          <w:sz w:val="19"/>
          <w:szCs w:val="19"/>
          <w:color w:val="auto"/>
        </w:rPr>
        <w:t>” means, as at any date of determination, the total assets of Holdings and its Restricted Subsidiaries on a consolidated basis in accordance with GAAP.</w:t>
      </w:r>
    </w:p>
    <w:p>
      <w:pPr>
        <w:spacing w:after="0" w:line="145"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Debt</w:t>
      </w:r>
      <w:r>
        <w:rPr>
          <w:rFonts w:ascii="Arial" w:cs="Arial" w:eastAsia="Arial" w:hAnsi="Arial"/>
          <w:sz w:val="19"/>
          <w:szCs w:val="19"/>
          <w:color w:val="auto"/>
        </w:rPr>
        <w:t>” means, as of any date of determination, the aggregate amount of Indebtedness of Holdings and the Restricted Subsidiaries outstanding on such date, determined on a consolidated basis in accordance with GAAP (but excluding the effects of any discounting of Indebtedness resulting from the application of acquisition method accounting in connection with the Merger and Contribution or any Permitted Acquisition or other Investment permitted hereunder) consisting only of Indebtedness for borrowed money, unreimbursed obligations under letters of credit, obligations in respect of Capitalized Leases and debt obligations evidenced by promissory notes or similar instruments (and excluding, in any event, all Trading Debt).</w:t>
      </w:r>
    </w:p>
    <w:p>
      <w:pPr>
        <w:spacing w:after="0" w:line="172"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Net Debt</w:t>
      </w:r>
      <w:r>
        <w:rPr>
          <w:rFonts w:ascii="Arial" w:cs="Arial" w:eastAsia="Arial" w:hAnsi="Arial"/>
          <w:sz w:val="18"/>
          <w:szCs w:val="18"/>
          <w:color w:val="auto"/>
        </w:rPr>
        <w:t>” means, as of any date of determination (a) the amount of Consolidated Total Debt as of such date, less (b) all cash and Permitted Investments on the balance sheet of Holdings and the Restricted Subsidiaries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Holdings or the Restricted Subsidiaries (and excluding, in any event, the amount of regulatory capital required by applicable law to be held at any Regulated Subsidiary).</w:t>
      </w:r>
    </w:p>
    <w:p>
      <w:pPr>
        <w:spacing w:after="0" w:line="157"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9"/>
          <w:szCs w:val="19"/>
          <w:b w:val="1"/>
          <w:bCs w:val="1"/>
          <w:color w:val="auto"/>
        </w:rPr>
        <w:t>Controlling</w:t>
      </w:r>
      <w:r>
        <w:rPr>
          <w:rFonts w:ascii="Arial" w:cs="Arial" w:eastAsia="Arial" w:hAnsi="Arial"/>
          <w:sz w:val="19"/>
          <w:szCs w:val="19"/>
          <w:color w:val="auto"/>
        </w:rPr>
        <w:t>” and “</w:t>
      </w:r>
      <w:r>
        <w:rPr>
          <w:rFonts w:ascii="Arial" w:cs="Arial" w:eastAsia="Arial" w:hAnsi="Arial"/>
          <w:sz w:val="19"/>
          <w:szCs w:val="19"/>
          <w:b w:val="1"/>
          <w:bCs w:val="1"/>
          <w:color w:val="auto"/>
        </w:rPr>
        <w:t>Controlled</w:t>
      </w:r>
      <w:r>
        <w:rPr>
          <w:rFonts w:ascii="Arial" w:cs="Arial" w:eastAsia="Arial" w:hAnsi="Arial"/>
          <w:sz w:val="19"/>
          <w:szCs w:val="19"/>
          <w:color w:val="auto"/>
        </w:rPr>
        <w:t>” have meanings correlative thereto.</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Converted Restricted Subsidiary</w:t>
      </w:r>
      <w:r>
        <w:rPr>
          <w:rFonts w:ascii="Arial" w:cs="Arial" w:eastAsia="Arial" w:hAnsi="Arial"/>
          <w:sz w:val="19"/>
          <w:szCs w:val="19"/>
          <w:u w:val="single" w:color="auto"/>
          <w:color w:val="0000FF"/>
        </w:rPr>
        <w:t>” has the meaning given such term in the definition of “Consolidated EBITDA.”</w:t>
      </w:r>
    </w:p>
    <w:p>
      <w:pPr>
        <w:spacing w:after="0" w:line="215"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B-1</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xml:space="preserve">” means, as to any Amendment No.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Consenting Lender that has indicated on its counterpart to Amendment No.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that it is requesting to convert its </w:t>
      </w:r>
      <w:r>
        <w:rPr>
          <w:rFonts w:ascii="Arial" w:cs="Arial" w:eastAsia="Arial" w:hAnsi="Arial"/>
          <w:sz w:val="18"/>
          <w:szCs w:val="18"/>
          <w:color w:val="FF0000"/>
          <w:strike w:val="1"/>
        </w:rPr>
        <w:t>New</w:t>
      </w:r>
      <w:r>
        <w:rPr>
          <w:rFonts w:ascii="Arial" w:cs="Arial" w:eastAsia="Arial" w:hAnsi="Arial"/>
          <w:sz w:val="18"/>
          <w:szCs w:val="18"/>
          <w:color w:val="auto"/>
        </w:rPr>
        <w:t xml:space="preserve"> Term </w:t>
      </w:r>
      <w:r>
        <w:rPr>
          <w:rFonts w:ascii="Arial" w:cs="Arial" w:eastAsia="Arial" w:hAnsi="Arial"/>
          <w:sz w:val="18"/>
          <w:szCs w:val="18"/>
          <w:color w:val="FF0000"/>
          <w:strike w:val="1"/>
        </w:rPr>
        <w:t>Loans</w:t>
      </w:r>
      <w:r>
        <w:rPr>
          <w:rFonts w:ascii="Arial" w:cs="Arial" w:eastAsia="Arial" w:hAnsi="Arial"/>
          <w:sz w:val="18"/>
          <w:szCs w:val="18"/>
          <w:u w:val="single" w:color="auto"/>
          <w:color w:val="0000FF"/>
        </w:rPr>
        <w:t>B-1 Loan</w:t>
      </w:r>
      <w:r>
        <w:rPr>
          <w:rFonts w:ascii="Arial" w:cs="Arial" w:eastAsia="Arial" w:hAnsi="Arial"/>
          <w:sz w:val="18"/>
          <w:szCs w:val="18"/>
          <w:color w:val="auto"/>
        </w:rPr>
        <w:t xml:space="preserve"> to a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 the entire aggregate principal amount of such Amendment No.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Consenting Lender’s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 outstanding on the Amendment No.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Effective Date (or, if less, the amount notified to such Lender by the Administrative Agent prior to the Amendment No.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Effective Date).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color w:val="FF0000"/>
          <w:strike w:val="1"/>
        </w:rPr>
        <w:t>Converted Restricted Subsidiary</w:t>
      </w:r>
      <w:r>
        <w:rPr>
          <w:rFonts w:ascii="Arial" w:cs="Arial" w:eastAsia="Arial" w:hAnsi="Arial"/>
          <w:sz w:val="19"/>
          <w:szCs w:val="19"/>
          <w:color w:val="FF0000"/>
          <w:strike w:val="1"/>
        </w:rPr>
        <w:t>” has the meaning given such term in the definition of “Consolidated EBITDA.”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Converted Unrestricted Subsidiary</w:t>
      </w:r>
      <w:r>
        <w:rPr>
          <w:rFonts w:ascii="Arial" w:cs="Arial" w:eastAsia="Arial" w:hAnsi="Arial"/>
          <w:sz w:val="19"/>
          <w:szCs w:val="19"/>
          <w:color w:val="auto"/>
        </w:rPr>
        <w:t>” has the meaning given such term in the definition of “Consolidated EBITDA.”</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Converting Term Lender</w:t>
      </w:r>
      <w:r>
        <w:rPr>
          <w:rFonts w:ascii="Arial" w:cs="Arial" w:eastAsia="Arial" w:hAnsi="Arial"/>
          <w:sz w:val="19"/>
          <w:szCs w:val="19"/>
          <w:color w:val="auto"/>
        </w:rPr>
        <w:t>” means each Original Term Lender that has elected to convert its Original Term Loans to Initial Term Loans pursuant to the Restatement Agreement.</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Converting Term Loan</w:t>
      </w:r>
      <w:r>
        <w:rPr>
          <w:rFonts w:ascii="Arial" w:cs="Arial" w:eastAsia="Arial" w:hAnsi="Arial"/>
          <w:sz w:val="19"/>
          <w:szCs w:val="19"/>
          <w:color w:val="auto"/>
        </w:rPr>
        <w:t>” means each Original Term Loan held by a Term Lender that is a Converting Term Lender (or, if less, the portion of the principal amount of such Original Term Loan notified to such Converting Lender by the Administrative Agent prior to the Restatement Effective Date).</w:t>
      </w:r>
    </w:p>
    <w:p>
      <w:pPr>
        <w:spacing w:after="0" w:line="161" w:lineRule="exact"/>
        <w:rPr>
          <w:sz w:val="20"/>
          <w:szCs w:val="20"/>
          <w:color w:val="auto"/>
        </w:rPr>
      </w:pPr>
    </w:p>
    <w:p>
      <w:pPr>
        <w:jc w:val="both"/>
        <w:ind w:firstLine="63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 Refinancing Indebtedness</w:t>
      </w:r>
      <w:r>
        <w:rPr>
          <w:rFonts w:ascii="Arial" w:cs="Arial" w:eastAsia="Arial" w:hAnsi="Arial"/>
          <w:sz w:val="18"/>
          <w:szCs w:val="18"/>
          <w:color w:val="auto"/>
        </w:rPr>
        <w:t>” means (a) Permitted First Priority Refinancing Debt, (b) Permitted Junior Lien Refinancing Debt, (c) Permitted Unsecured Refinancing Debt or (d) Indebtedness incurred or Other Revolving Commitments obtained pursuant to a Refinancing Amendment, in each case, issued, incurred or otherwise obtained (including by means of the extension or renewal of existing Indebtedness) in exchange for, or to extend, renew, replace or refinance, in whole or part, existing Term Loans, outstanding Revolving Loans or (in the case of Other Revolving Commitments obtained pursuant to a Refinancing Amendment) Revolving Commitments, outstanding loans under any Incremental Revolving Facility or undrawn commitments under any Incremental Revolving Facility (“</w:t>
      </w:r>
      <w:r>
        <w:rPr>
          <w:rFonts w:ascii="Arial" w:cs="Arial" w:eastAsia="Arial" w:hAnsi="Arial"/>
          <w:sz w:val="18"/>
          <w:szCs w:val="18"/>
          <w:b w:val="1"/>
          <w:bCs w:val="1"/>
          <w:color w:val="auto"/>
        </w:rPr>
        <w:t>Refinanced Debt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extending, renewing, replacing or refinancing Indebtedness (including, if such Indebtedness includes any Other Revolving Commitments, the unused portion of such Other Revolving Commitments) is in an original aggregate principal amount not greater than the sum of the aggregate principal amount of the Refinanced Debt (and, in the case of Refinanced Debt consisting, in whole or in part, of unused commitments under any Incremental Revolving Facility or Other Revolving Commitments, the amount thereof) plus all accrued and unpaid interest and fees thereon and expenses incurred in connection with such extension, renewal, replacement or refinancing, (ii) such Indebtedness has a maturity that is equal to or later than and, except in the case of Other Revolving Commitments, a Weighted Average Life to Maturity equal to or greater than the Refinanced Debt, and (iii) such Refinanced Debt shall be repaid, defeased or satisfied and discharged, and all accrued interest, fees and premiums (if any) in connection therewith shall be paid, on the date such Credit Agreement Refinancing Indebtedness is issued, incurred or obtained;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such Refinanced Debt consists, in whole or in part, of commitments under any Incremental Revolving Facility or Other Revolving Commitments (or loans incurred pursuant to any Incremental Revolving Facility or Other Revolving Loans), such commitments shall be terminated, and all accrued fees in connection therewith shall be paid, on the date such Credit Agreement Refinancing Indebtedness is issued, incurred or obtained.</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Party</w:t>
      </w:r>
      <w:r>
        <w:rPr>
          <w:rFonts w:ascii="Arial" w:cs="Arial" w:eastAsia="Arial" w:hAnsi="Arial"/>
          <w:sz w:val="19"/>
          <w:szCs w:val="19"/>
          <w:color w:val="auto"/>
        </w:rPr>
        <w:t>” means the Administrative Agent, the Issuing Bank or any other Lender.</w:t>
      </w:r>
    </w:p>
    <w:p>
      <w:pPr>
        <w:spacing w:after="0" w:line="215" w:lineRule="exact"/>
        <w:rPr>
          <w:sz w:val="20"/>
          <w:szCs w:val="20"/>
          <w:color w:val="auto"/>
        </w:rPr>
      </w:pPr>
    </w:p>
    <w:p>
      <w:pPr>
        <w:jc w:val="both"/>
        <w:ind w:firstLine="630"/>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Cumulative Excess Cash Flow</w:t>
      </w:r>
      <w:r>
        <w:rPr>
          <w:rFonts w:ascii="Arial" w:cs="Arial" w:eastAsia="Arial" w:hAnsi="Arial"/>
          <w:sz w:val="17"/>
          <w:szCs w:val="17"/>
          <w:color w:val="auto"/>
        </w:rPr>
        <w:t xml:space="preserve">” means (a) prior to the Escrow Assumption Date, the sum of (i) Excess Cash Flow (but not less than zero in any period) for each fiscal quarter of Holdings, commencing with the fiscal quarter ending June 30, 2017 plus (ii) the unused (i.e., not applied to any mandatory prepayment of loans or relied on as the basis for the taking of any action) amount of Cumulative Excess Cash Flow under the Existing Credit Agreement as of the date immediately preceding the Restatement Effective Date and (b) from and after the Escrow Assumption Date, Excess Cash Flow (but not less than zero in any period) for each completed fiscal quarter commencing with the first full fiscal quarter commencing after the Escrow Assumption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Excess Cash Flow for any period shall not constitute Cumulative Excess Cash Flow until the date that (A) the corresponding Excess Cash Flow prepayment for such period is made pursuant to Section 2.09(c) or (B) if no Excess Cash Flow prepayment is required for such period pursuant to Section 2.09(c), the date that is five days after the date on which financial statements</w:t>
      </w:r>
    </w:p>
    <w:p>
      <w:pPr>
        <w:sectPr>
          <w:pgSz w:w="11900" w:h="16926" w:orient="portrait"/>
          <w:cols w:equalWidth="0" w:num="1">
            <w:col w:w="11420"/>
          </w:cols>
          <w:pgMar w:left="240" w:top="121" w:right="239" w:bottom="0" w:gutter="0" w:footer="0" w:header="0"/>
        </w:sectPr>
      </w:pPr>
    </w:p>
    <w:bookmarkStart w:id="106" w:name="page107"/>
    <w:bookmarkEnd w:id="106"/>
    <w:p>
      <w:pPr>
        <w:jc w:val="both"/>
        <w:spacing w:after="0" w:line="275" w:lineRule="auto"/>
        <w:rPr>
          <w:sz w:val="20"/>
          <w:szCs w:val="20"/>
          <w:color w:val="auto"/>
        </w:rPr>
      </w:pPr>
      <w:r>
        <w:rPr>
          <w:rFonts w:ascii="Arial" w:cs="Arial" w:eastAsia="Arial" w:hAnsi="Arial"/>
          <w:sz w:val="19"/>
          <w:szCs w:val="19"/>
          <w:color w:val="auto"/>
        </w:rPr>
        <w:t>are delivered pursuant to Section 5.01(b) with respect to such period or, in the case of the fourth fiscal quarter in any fiscal year, pursuant to Section 5.01(a) for such fiscal year.</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 Amount</w:t>
      </w:r>
      <w:r>
        <w:rPr>
          <w:rFonts w:ascii="Arial" w:cs="Arial" w:eastAsia="Arial" w:hAnsi="Arial"/>
          <w:sz w:val="19"/>
          <w:szCs w:val="19"/>
          <w:color w:val="auto"/>
        </w:rPr>
        <w:t>” has the meaning assigned to such term in Section 7.02(a).</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Debtor Relief Laws</w:t>
      </w:r>
      <w:r>
        <w:rPr>
          <w:rFonts w:ascii="Arial" w:cs="Arial" w:eastAsia="Arial" w:hAnsi="Arial"/>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w:t>
      </w:r>
      <w:r>
        <w:rPr>
          <w:rFonts w:ascii="Arial" w:cs="Arial" w:eastAsia="Arial" w:hAnsi="Arial"/>
          <w:sz w:val="19"/>
          <w:szCs w:val="19"/>
          <w:color w:val="auto"/>
        </w:rPr>
        <w:t>” means any event or condition that constitutes an Event of Default or that upon notice, lapse of time or both would, unless cured or waived, become an Event of Default.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Defaulting Lender</w:t>
      </w:r>
      <w:r>
        <w:rPr>
          <w:rFonts w:ascii="Arial" w:cs="Arial" w:eastAsia="Arial" w:hAnsi="Arial"/>
          <w:sz w:val="17"/>
          <w:szCs w:val="17"/>
          <w:color w:val="auto"/>
        </w:rPr>
        <w:t>” means any Revolving Lender that (a) has failed, within one Business Day of the date required to be funded or paid, to</w:t>
      </w:r>
    </w:p>
    <w:p>
      <w:pPr>
        <w:spacing w:after="0" w:line="50" w:lineRule="exact"/>
        <w:rPr>
          <w:sz w:val="20"/>
          <w:szCs w:val="20"/>
          <w:color w:val="auto"/>
        </w:rPr>
      </w:pPr>
    </w:p>
    <w:p>
      <w:pPr>
        <w:jc w:val="both"/>
        <w:ind w:firstLine="5"/>
        <w:spacing w:after="0" w:line="273" w:lineRule="auto"/>
        <w:tabs>
          <w:tab w:leader="none" w:pos="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fund any portion of its Revolving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a loan under this Agreement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agreements in which it commits to extend credit, (c) has failed, within three Business Days after request by the Administrative Agent or the Borrower, acting in good faith, to provide a certification in writing from an authorized officer of such Lender that it will comply with its obligations (and is financially able to meet such obligations) to fund prospective Revolving Loans and participations in then outstanding Letters of Credit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shall cease to be a Defaulting Lender pursuant to this clause (c) upon the Administrative Agent’s or the Borrower’s receipt, as applicable, of such certification in form and substance satisfactory to it and the Administrative Agent, or (d) has, or has a Lender Parent that has, (i) become the subject of a Bankruptcy Event or (ii) become subject to a Bail-In Action. Any determination by the Administrative Agent made in writing to the Borrower and each Lender that a Lender is a Defaulting Lender under any one or more of clauses</w:t>
      </w:r>
    </w:p>
    <w:p>
      <w:pPr>
        <w:spacing w:after="0" w:line="10" w:lineRule="exact"/>
        <w:rPr>
          <w:rFonts w:ascii="Arial" w:cs="Arial" w:eastAsia="Arial" w:hAnsi="Arial"/>
          <w:sz w:val="17"/>
          <w:szCs w:val="17"/>
          <w:color w:val="auto"/>
        </w:rPr>
      </w:pPr>
    </w:p>
    <w:p>
      <w:pPr>
        <w:ind w:left="260" w:hanging="255"/>
        <w:spacing w:after="0"/>
        <w:tabs>
          <w:tab w:leader="none" w:pos="2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through (d) above shall be conclusive and binding absent manifest error.</w:t>
      </w:r>
    </w:p>
    <w:p>
      <w:pPr>
        <w:spacing w:after="0" w:line="193"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Designated Non-Cash Consideration</w:t>
      </w:r>
      <w:r>
        <w:rPr>
          <w:rFonts w:ascii="Arial" w:cs="Arial" w:eastAsia="Arial" w:hAnsi="Arial"/>
          <w:sz w:val="19"/>
          <w:szCs w:val="19"/>
          <w:color w:val="auto"/>
        </w:rPr>
        <w:t>” means the fair market value of non-cash consideration received by Holdings, any Intermediate Parent, the Borrower or a Subsidiary in connection with a Disposition pursuant to Section 6.05(k) that is designated as Designated Non-Cash Consideration pursuant to a certificate of a Responsible Officer of Holdings, setting forth the basis of such valuation (which amount will be reduced by the fair market value of the portion of the non-cash consideration converted to cash within 180 days following the consummation of the applicable Disposition).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Designation Date</w:t>
      </w:r>
      <w:r>
        <w:rPr>
          <w:rFonts w:ascii="Arial" w:cs="Arial" w:eastAsia="Arial" w:hAnsi="Arial"/>
          <w:sz w:val="19"/>
          <w:szCs w:val="19"/>
          <w:color w:val="auto"/>
        </w:rPr>
        <w:t>” has the meaning assigned to such term in Section 5.13.</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Prepayment Accepting Lender</w:t>
      </w:r>
      <w:r>
        <w:rPr>
          <w:rFonts w:ascii="Arial" w:cs="Arial" w:eastAsia="Arial" w:hAnsi="Arial"/>
          <w:sz w:val="19"/>
          <w:szCs w:val="19"/>
          <w:color w:val="auto"/>
        </w:rPr>
        <w:t>” has the meaning assigned to such term in Section 2.09(a)(ii)(B).</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Prepayment Amount</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Prepayment Notice</w:t>
      </w:r>
      <w:r>
        <w:rPr>
          <w:rFonts w:ascii="Arial" w:cs="Arial" w:eastAsia="Arial" w:hAnsi="Arial"/>
          <w:sz w:val="19"/>
          <w:szCs w:val="19"/>
          <w:color w:val="auto"/>
        </w:rPr>
        <w:t>” means a written notice of a Borrower Solicitation of Discount Range Prepayment Offers made pursuant to Section 2.09(a)(ii)(C) substantially in the form of Exhibit K.</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Prepayment Offer</w:t>
      </w:r>
      <w:r>
        <w:rPr>
          <w:rFonts w:ascii="Arial" w:cs="Arial" w:eastAsia="Arial" w:hAnsi="Arial"/>
          <w:sz w:val="19"/>
          <w:szCs w:val="19"/>
          <w:color w:val="auto"/>
        </w:rPr>
        <w:t>” means the irrevocable written offer by a Term Lender, substantially in the form of Exhibit L, submitted in response to an invitation to submit offers following the Auction Agent’s receipt of a Discount Range Prepayment Notice.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Prepayment Response Date</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Proration</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Discounted Prepayment Determination Date</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Discounted Prepayment Effective Date</w:t>
      </w:r>
      <w:r>
        <w:rPr>
          <w:rFonts w:ascii="Arial" w:cs="Arial" w:eastAsia="Arial" w:hAnsi="Arial"/>
          <w:sz w:val="19"/>
          <w:szCs w:val="19"/>
          <w:color w:val="auto"/>
        </w:rPr>
        <w:t>” means in the case of a Borrower Offer of Specified Discount Prepayment, Borrower Solicitation of Discount Range Prepayment Offer or Borrower Solicitation of Discounted Prepayment Offer, five (5) Business Days following the receipt by each relevant Term Lender of notice from the Auction Agent in accordance with Section 2.09(a)(ii)(B), Section 2.09(a)(ii)(C) or Section 2.09(a)(ii)(D), as applicable unless a shorter period is agreed to between the Borrower and the Auction Agent.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Discounted Term Loan Prepayment</w:t>
      </w:r>
      <w:r>
        <w:rPr>
          <w:rFonts w:ascii="Arial" w:cs="Arial" w:eastAsia="Arial" w:hAnsi="Arial"/>
          <w:sz w:val="19"/>
          <w:szCs w:val="19"/>
          <w:color w:val="auto"/>
        </w:rPr>
        <w:t>” has the meaning assigned to such term in Section 2.09(a)(ii)(A).</w:t>
      </w:r>
    </w:p>
    <w:p>
      <w:pPr>
        <w:spacing w:after="0" w:line="215"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Disposed EBITDA</w:t>
      </w:r>
      <w:r>
        <w:rPr>
          <w:rFonts w:ascii="Arial" w:cs="Arial" w:eastAsia="Arial" w:hAnsi="Arial"/>
          <w:sz w:val="18"/>
          <w:szCs w:val="18"/>
          <w:color w:val="auto"/>
        </w:rPr>
        <w:t>” means, with respect to any Sold Entity or Business or Converted Unrestricted Subsidiary for any period, the amount for such period of Consolidated EBITDA of such Sold Entity or Business or Converted Unrestricted Subsidiary (determined as if references to Holdings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Disposition</w:t>
      </w:r>
      <w:r>
        <w:rPr>
          <w:rFonts w:ascii="Arial" w:cs="Arial" w:eastAsia="Arial" w:hAnsi="Arial"/>
          <w:sz w:val="19"/>
          <w:szCs w:val="19"/>
          <w:color w:val="auto"/>
        </w:rPr>
        <w:t>” has the meaning assigned to such term in Section 6.05.</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Disqualified Equity Interest</w:t>
      </w:r>
      <w:r>
        <w:rPr>
          <w:rFonts w:ascii="Arial" w:cs="Arial" w:eastAsia="Arial" w:hAnsi="Arial"/>
          <w:sz w:val="19"/>
          <w:szCs w:val="19"/>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ectPr>
          <w:pgSz w:w="11900" w:h="16838" w:orient="portrait"/>
          <w:cols w:equalWidth="0" w:num="1">
            <w:col w:w="11420"/>
          </w:cols>
          <w:pgMar w:left="240" w:top="121" w:right="239" w:bottom="70" w:gutter="0" w:footer="0" w:header="0"/>
        </w:sectPr>
      </w:pPr>
    </w:p>
    <w:bookmarkStart w:id="107" w:name="page108"/>
    <w:bookmarkEnd w:id="107"/>
    <w:p>
      <w:pPr>
        <w:jc w:val="both"/>
        <w:ind w:left="640" w:firstLine="625"/>
        <w:spacing w:after="0" w:line="260" w:lineRule="auto"/>
        <w:tabs>
          <w:tab w:leader="none" w:pos="1702" w:val="left"/>
        </w:tabs>
        <w:numPr>
          <w:ilvl w:val="0"/>
          <w:numId w:val="47"/>
        </w:numPr>
        <w:rPr>
          <w:rFonts w:ascii="Arial" w:cs="Arial" w:eastAsia="Arial" w:hAnsi="Arial"/>
          <w:sz w:val="19"/>
          <w:szCs w:val="19"/>
          <w:color w:val="auto"/>
        </w:rPr>
      </w:pPr>
      <w:r>
        <w:rPr>
          <w:rFonts w:ascii="Arial" w:cs="Arial" w:eastAsia="Arial" w:hAnsi="Arial"/>
          <w:sz w:val="19"/>
          <w:szCs w:val="19"/>
          <w:color w:val="auto"/>
        </w:rPr>
        <w:t>matures or is mandatorily redeemable (other than solely for Equity Interests in such Person or in Virtu Financial, Inc. that do not constitute Disqualified Equity Interests and cash in lieu of fractional shares of such Equity Interests), whether pursuant to a sinking fund obligation or otherwise;</w:t>
      </w:r>
    </w:p>
    <w:p>
      <w:pPr>
        <w:spacing w:after="0" w:line="170" w:lineRule="exact"/>
        <w:rPr>
          <w:rFonts w:ascii="Arial" w:cs="Arial" w:eastAsia="Arial" w:hAnsi="Arial"/>
          <w:sz w:val="19"/>
          <w:szCs w:val="19"/>
          <w:color w:val="auto"/>
        </w:rPr>
      </w:pPr>
    </w:p>
    <w:p>
      <w:pPr>
        <w:jc w:val="both"/>
        <w:ind w:left="640" w:firstLine="625"/>
        <w:spacing w:after="0" w:line="259" w:lineRule="auto"/>
        <w:tabs>
          <w:tab w:leader="none" w:pos="1722" w:val="left"/>
        </w:tabs>
        <w:numPr>
          <w:ilvl w:val="0"/>
          <w:numId w:val="47"/>
        </w:numPr>
        <w:rPr>
          <w:rFonts w:ascii="Arial" w:cs="Arial" w:eastAsia="Arial" w:hAnsi="Arial"/>
          <w:sz w:val="19"/>
          <w:szCs w:val="19"/>
          <w:color w:val="auto"/>
        </w:rPr>
      </w:pPr>
      <w:r>
        <w:rPr>
          <w:rFonts w:ascii="Arial" w:cs="Arial" w:eastAsia="Arial" w:hAnsi="Arial"/>
          <w:sz w:val="19"/>
          <w:szCs w:val="19"/>
          <w:color w:val="auto"/>
        </w:rPr>
        <w:t>is convertible or exchangeable, either mandatorily or at the option of the holder thereof, for Indebtedness or Equity Interests (other than solely for Equity Interests in such Person or in Virtu Financial, Inc. that do not constitute Disqualified Equity Interests and cash in lieu of fractional shares of such Equity Interests);</w:t>
      </w:r>
    </w:p>
    <w:p>
      <w:pPr>
        <w:spacing w:after="0" w:line="171" w:lineRule="exact"/>
        <w:rPr>
          <w:rFonts w:ascii="Arial" w:cs="Arial" w:eastAsia="Arial" w:hAnsi="Arial"/>
          <w:sz w:val="19"/>
          <w:szCs w:val="19"/>
          <w:color w:val="auto"/>
        </w:rPr>
      </w:pPr>
    </w:p>
    <w:p>
      <w:pPr>
        <w:ind w:left="1680" w:hanging="415"/>
        <w:spacing w:after="0"/>
        <w:tabs>
          <w:tab w:leader="none" w:pos="16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provides for the scheduled payments of dividends in cash; or</w:t>
      </w:r>
    </w:p>
    <w:p>
      <w:pPr>
        <w:spacing w:after="0" w:line="214" w:lineRule="exact"/>
        <w:rPr>
          <w:rFonts w:ascii="Arial" w:cs="Arial" w:eastAsia="Arial" w:hAnsi="Arial"/>
          <w:sz w:val="19"/>
          <w:szCs w:val="19"/>
          <w:color w:val="auto"/>
        </w:rPr>
      </w:pPr>
    </w:p>
    <w:p>
      <w:pPr>
        <w:jc w:val="both"/>
        <w:ind w:left="640" w:firstLine="625"/>
        <w:spacing w:after="0" w:line="259" w:lineRule="auto"/>
        <w:tabs>
          <w:tab w:leader="none" w:pos="18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is redeemable (other than solely for Equity Interests in such Person or in Virtu Financial, Inc. that do not constitute Disqualified Equity Interests and cash in lieu of fractional shares of such Equity Interests) or is required to be repurchased by such Person or Virtu Financial, Inc. or any of its Affiliates, in whole or in part, at the option of the holder thereof;</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 xml:space="preserve">in each case, on or prior to the date 91 days after the Latest Maturity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shall not constitute a Disqualified Equity Interest if any such requirement becomes operative only after repayment in full of all the Loans and all other Loan Document Obligations that are accrued and payable, the cancellation or expiration of all Letters of Credit and the termination of the Commitments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80"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Disqualified Lender</w:t>
      </w:r>
      <w:r>
        <w:rPr>
          <w:rFonts w:ascii="Arial" w:cs="Arial" w:eastAsia="Arial" w:hAnsi="Arial"/>
          <w:sz w:val="19"/>
          <w:szCs w:val="19"/>
          <w:color w:val="auto"/>
        </w:rPr>
        <w:t>” means each Person identified as a “Disqualified Lender” on Part A of Schedule 1.01, which Schedule may be provided to any Lender or prospective Lender upon request. Notwithstanding anything in this Agreement to the contrary, each Loan Party and the Lenders acknowledge and agree that the Administrative Agent will not have any responsibility or obligation to determine whether any Lender or potential Lender is a Disqualified Lender and the Administrative Agent will not have any liability with respect to any assignment made to a Disqualified Lender. “</w:t>
      </w:r>
      <w:r>
        <w:rPr>
          <w:rFonts w:ascii="Arial" w:cs="Arial" w:eastAsia="Arial" w:hAnsi="Arial"/>
          <w:sz w:val="19"/>
          <w:szCs w:val="19"/>
          <w:b w:val="1"/>
          <w:bCs w:val="1"/>
          <w:color w:val="auto"/>
        </w:rPr>
        <w:t>dollars</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refers to lawful money of the United States of America.</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Domestic Subsidiary</w:t>
      </w:r>
      <w:r>
        <w:rPr>
          <w:rFonts w:ascii="Arial" w:cs="Arial" w:eastAsia="Arial" w:hAnsi="Arial"/>
          <w:sz w:val="19"/>
          <w:szCs w:val="19"/>
          <w:color w:val="auto"/>
        </w:rPr>
        <w:t>” means any Subsidiary that is not a Foreign Subsidiary.</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Financial Institution</w:t>
      </w:r>
      <w:r>
        <w:rPr>
          <w:rFonts w:ascii="Arial" w:cs="Arial" w:eastAsia="Arial" w:hAnsi="Arial"/>
          <w:sz w:val="19"/>
          <w:szCs w:val="19"/>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5" w:lineRule="exact"/>
        <w:rPr>
          <w:sz w:val="20"/>
          <w:szCs w:val="20"/>
          <w:color w:val="auto"/>
        </w:rPr>
      </w:pPr>
    </w:p>
    <w:p>
      <w:pPr>
        <w:jc w:val="both"/>
        <w:ind w:firstLine="63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Percentage</w:t>
      </w:r>
      <w:r>
        <w:rPr>
          <w:rFonts w:ascii="Arial" w:cs="Arial" w:eastAsia="Arial" w:hAnsi="Arial"/>
          <w:sz w:val="18"/>
          <w:szCs w:val="18"/>
          <w:color w:val="auto"/>
        </w:rPr>
        <w:t>” means, with respect to any prepayment required by Section 2.09(c) with respect to (I) any fiscal quarter (or other applicable period) of the Borrower ending prior to the Escrow Assumption Date, if the Total Leverage Ratio (prior to giving effect to the applicable prepayment pursuant to Section 2.09(c)) as of the end of such fiscal quarter (or other applicable period) is (a) greater than 2.00 to 1.00, 50% of Excess Cash Flow for such period and (b) equal to or less than 2:00 to 1.00, 0% of Excess Cash Flow for such period and (II) any fiscal quarter (or other applicable period) of the Borrower ending on or after the Escrow Assumption Date, if the Total Leverage Ratio (prior to giving effect to the applicable prepayment pursuant to Section 2.09(c)) as of the end of such fiscal quarter (or other applicable period) is (a) greater than 2.75 to 1.00, 50% of Excess Cash Flow for such period, (b) equal to or less than 2.75 to 1.00 but greater than 2.25 to 1.00, 25% of Excess Cash Flow for such period and (c) equal to or less than 2.25 to 1.00, 0% of Excess Cash Flow for such period.</w:t>
      </w:r>
    </w:p>
    <w:p>
      <w:pPr>
        <w:spacing w:after="0" w:line="160"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Assignee</w:t>
      </w:r>
      <w:r>
        <w:rPr>
          <w:rFonts w:ascii="Arial" w:cs="Arial" w:eastAsia="Arial" w:hAnsi="Arial"/>
          <w:sz w:val="19"/>
          <w:szCs w:val="19"/>
          <w:color w:val="auto"/>
        </w:rPr>
        <w:t>” means (a) a Lender, (b) an Affiliate of a Lender, (c) an Approved Fund and (d) any other Person (other than Holdings, any Intermediate Parent, the Borrower or any of their subsidiaries, any VV Holder, any Affiliate of Vincent Viola (including any trust established for the benefit of his spouse or children) or any Disqualified Lender), other than, in each case, a natural person.</w:t>
      </w:r>
    </w:p>
    <w:p>
      <w:pPr>
        <w:spacing w:after="0" w:line="161"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Holding Vehicles</w:t>
      </w:r>
      <w:r>
        <w:rPr>
          <w:rFonts w:ascii="Arial" w:cs="Arial" w:eastAsia="Arial" w:hAnsi="Arial"/>
          <w:sz w:val="18"/>
          <w:szCs w:val="18"/>
          <w:color w:val="auto"/>
        </w:rPr>
        <w:t>” means, collectively, Virtu Employee Holdco LLC, a Delaware limited liability company, Virtu East MIP LLC, a Delaware limited liability company, and any other similar entity, the equityholders of which are current and former officers, directors and employees of Holdings (or any direct or indirect parent thereof), the Borrower and the Restricted Subsidiaries, or their permitted transferees (or their respective estates, executors, trustees, administrators, heirs, legatees or distributees), which entity is formed to hold Equity Interests of Holdings (or any of Holdings’ direct or indirect parent companies) on behalf of such officers, directors and employees.</w:t>
      </w:r>
    </w:p>
    <w:p>
      <w:pPr>
        <w:spacing w:after="0" w:line="157"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Laws</w:t>
      </w:r>
      <w:r>
        <w:rPr>
          <w:rFonts w:ascii="Arial" w:cs="Arial" w:eastAsia="Arial" w:hAnsi="Arial"/>
          <w:sz w:val="19"/>
          <w:szCs w:val="19"/>
          <w:color w:val="auto"/>
        </w:rPr>
        <w:t>” means all applicable treaties, rules, regulations, codes, ordinances, judgments, orders, decrees, Governmental Approvals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69" w:lineRule="exact"/>
        <w:rPr>
          <w:sz w:val="20"/>
          <w:szCs w:val="20"/>
          <w:color w:val="auto"/>
        </w:rPr>
      </w:pPr>
    </w:p>
    <w:p>
      <w:pPr>
        <w:jc w:val="both"/>
        <w:ind w:firstLine="63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Liability</w:t>
      </w:r>
      <w:r>
        <w:rPr>
          <w:rFonts w:ascii="Arial" w:cs="Arial" w:eastAsia="Arial" w:hAnsi="Arial"/>
          <w:sz w:val="18"/>
          <w:szCs w:val="18"/>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any Intermediate Parent, the Borrower or any Subsidiary directly or indirectly resulting from or based upon (a) any actual or alleged violation of any Environmental Law or permit, license or approval issued thereunder, (b) Environmental Laws and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ectPr>
          <w:pgSz w:w="11900" w:h="16838" w:orient="portrait"/>
          <w:cols w:equalWidth="0" w:num="1">
            <w:col w:w="11420"/>
          </w:cols>
          <w:pgMar w:left="240" w:top="121" w:right="239" w:bottom="0" w:gutter="0" w:footer="0" w:header="0"/>
        </w:sectPr>
      </w:pPr>
    </w:p>
    <w:bookmarkStart w:id="108" w:name="page109"/>
    <w:bookmarkEnd w:id="108"/>
    <w:p>
      <w:pPr>
        <w:jc w:val="both"/>
        <w:ind w:firstLine="630"/>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Interests</w:t>
      </w:r>
      <w:r>
        <w:rPr>
          <w:rFonts w:ascii="Arial" w:cs="Arial" w:eastAsia="Arial" w:hAnsi="Arial"/>
          <w:sz w:val="19"/>
          <w:szCs w:val="19"/>
          <w:color w:val="auto"/>
        </w:rPr>
        <w:t>” means shares of capital stock, partnership interests, membership interests in a limited liability company, beneficial interests in a trust or other equity ownership interests in a Person.</w:t>
      </w:r>
    </w:p>
    <w:p>
      <w:pPr>
        <w:spacing w:after="0" w:line="146"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w:t>
      </w:r>
      <w:r>
        <w:rPr>
          <w:rFonts w:ascii="Arial" w:cs="Arial" w:eastAsia="Arial" w:hAnsi="Arial"/>
          <w:sz w:val="19"/>
          <w:szCs w:val="19"/>
          <w:color w:val="auto"/>
        </w:rPr>
        <w:t>” means the Employee Retirement Income Security Act of 1974, as amended from time to time, and the rules and regulations promulgated thereunder.</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Affiliate</w:t>
      </w:r>
      <w:r>
        <w:rPr>
          <w:rFonts w:ascii="Arial" w:cs="Arial" w:eastAsia="Arial" w:hAnsi="Arial"/>
          <w:sz w:val="19"/>
          <w:szCs w:val="19"/>
          <w:color w:val="auto"/>
        </w:rPr>
        <w:t>” means any trade or business (whether or not incorporated) that, together with Borrower or any Subsidiary, is treated as a single employer under Section 414(b) or 414(c) of the Code or, solely for purposes of Section 302 of ERISA and Section 412 of the Code, is treated as a single employer under Section 414 of the Code.</w:t>
      </w:r>
    </w:p>
    <w:p>
      <w:pPr>
        <w:spacing w:after="0" w:line="161"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 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the Borrower or any ERISA Affiliate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ERISA Affiliate of any liability with respect to the withdrawal or partial withdrawal from any Plan or Multiemployer Plan; or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305 of ERISA.</w:t>
      </w:r>
    </w:p>
    <w:p>
      <w:pPr>
        <w:spacing w:after="0" w:line="16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Escrow Assumption</w:t>
      </w:r>
      <w:r>
        <w:rPr>
          <w:rFonts w:ascii="Arial" w:cs="Arial" w:eastAsia="Arial" w:hAnsi="Arial"/>
          <w:sz w:val="19"/>
          <w:szCs w:val="19"/>
          <w:color w:val="auto"/>
        </w:rPr>
        <w:t>” means the assumption of the obligations of the Escrow Borrower under the Escrow Term Loans by the Borrower on the Escrow Assumption Date pursuant to an instrument in form reasonably satisfactory to the Administrative Agent.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Escrow Assumption Date</w:t>
      </w:r>
      <w:r>
        <w:rPr>
          <w:rFonts w:ascii="Arial" w:cs="Arial" w:eastAsia="Arial" w:hAnsi="Arial"/>
          <w:sz w:val="19"/>
          <w:szCs w:val="19"/>
          <w:color w:val="auto"/>
        </w:rPr>
        <w:t>” means the date of the satisfaction of each of the conditions set forth in Section 4.03.</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Escrow Borrower</w:t>
      </w:r>
      <w:r>
        <w:rPr>
          <w:rFonts w:ascii="Arial" w:cs="Arial" w:eastAsia="Arial" w:hAnsi="Arial"/>
          <w:sz w:val="19"/>
          <w:szCs w:val="19"/>
          <w:color w:val="auto"/>
        </w:rPr>
        <w:t>” means Orchestra Borrower, LLC, a Delaware limited liability company.</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Escrow Funding Date</w:t>
      </w:r>
      <w:r>
        <w:rPr>
          <w:rFonts w:ascii="Arial" w:cs="Arial" w:eastAsia="Arial" w:hAnsi="Arial"/>
          <w:sz w:val="17"/>
          <w:szCs w:val="17"/>
          <w:color w:val="auto"/>
        </w:rPr>
        <w:t>” means the date of the initial funding of the Escrow Term Loans under the Escrow Term Loan Credit Agreement.</w:t>
      </w:r>
    </w:p>
    <w:p>
      <w:pPr>
        <w:spacing w:after="0" w:line="238" w:lineRule="exact"/>
        <w:rPr>
          <w:sz w:val="20"/>
          <w:szCs w:val="20"/>
          <w:color w:val="auto"/>
        </w:rPr>
      </w:pPr>
    </w:p>
    <w:p>
      <w:pPr>
        <w:jc w:val="both"/>
        <w:ind w:firstLine="630"/>
        <w:spacing w:after="0" w:line="34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Escrow Term Loan Credit Agreement</w:t>
      </w:r>
      <w:r>
        <w:rPr>
          <w:rFonts w:ascii="Arial" w:cs="Arial" w:eastAsia="Arial" w:hAnsi="Arial"/>
          <w:sz w:val="17"/>
          <w:szCs w:val="17"/>
          <w:color w:val="auto"/>
        </w:rPr>
        <w:t>” means the Credit Agreement, to be dated as of the Escrow Funding Date, by and among the Escrow Borrower, the lenders party thereto and JPMorgan Chase Bank, N.A., pursuant to which the Escrow Term Loans were originally borrowed.</w:t>
      </w:r>
    </w:p>
    <w:p>
      <w:pPr>
        <w:spacing w:after="0" w:line="99"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Escrow Term Loans</w:t>
      </w:r>
      <w:r>
        <w:rPr>
          <w:rFonts w:ascii="Arial" w:cs="Arial" w:eastAsia="Arial" w:hAnsi="Arial"/>
          <w:sz w:val="19"/>
          <w:szCs w:val="19"/>
          <w:color w:val="auto"/>
        </w:rPr>
        <w:t>” means $610,000,000 aggregate principal amount of term loans incurred by the Escrow Borrower pursuant to the Escrow Term Loan Credit Agreement on the Escrow Funding Date.</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Eurodollar</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the Adjusted LIBO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 of Default</w:t>
      </w:r>
      <w:r>
        <w:rPr>
          <w:rFonts w:ascii="Arial" w:cs="Arial" w:eastAsia="Arial" w:hAnsi="Arial"/>
          <w:sz w:val="19"/>
          <w:szCs w:val="19"/>
          <w:color w:val="auto"/>
        </w:rPr>
        <w:t>” has the meaning assigned to such term in Section 7.01.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Excess Cash Flow</w:t>
      </w:r>
      <w:r>
        <w:rPr>
          <w:rFonts w:ascii="Arial" w:cs="Arial" w:eastAsia="Arial" w:hAnsi="Arial"/>
          <w:sz w:val="19"/>
          <w:szCs w:val="19"/>
          <w:color w:val="auto"/>
        </w:rPr>
        <w:t>” means, for any period, an amount equal to the excess of:</w:t>
      </w:r>
    </w:p>
    <w:p>
      <w:pPr>
        <w:spacing w:after="0" w:line="221" w:lineRule="exact"/>
        <w:rPr>
          <w:sz w:val="20"/>
          <w:szCs w:val="20"/>
          <w:color w:val="auto"/>
        </w:rPr>
      </w:pPr>
    </w:p>
    <w:p>
      <w:pPr>
        <w:ind w:left="1040" w:hanging="405"/>
        <w:spacing w:after="0"/>
        <w:tabs>
          <w:tab w:leader="none" w:pos="10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sum, without duplication, of:</w:t>
      </w:r>
    </w:p>
    <w:p>
      <w:pPr>
        <w:spacing w:after="0" w:line="214" w:lineRule="exact"/>
        <w:rPr>
          <w:rFonts w:ascii="Arial" w:cs="Arial" w:eastAsia="Arial" w:hAnsi="Arial"/>
          <w:sz w:val="19"/>
          <w:szCs w:val="19"/>
          <w:color w:val="auto"/>
        </w:rPr>
      </w:pPr>
    </w:p>
    <w:p>
      <w:pPr>
        <w:ind w:left="1640" w:hanging="375"/>
        <w:spacing w:after="0"/>
        <w:tabs>
          <w:tab w:leader="none" w:pos="1640" w:val="left"/>
        </w:tabs>
        <w:numPr>
          <w:ilvl w:val="1"/>
          <w:numId w:val="48"/>
        </w:numPr>
        <w:rPr>
          <w:rFonts w:ascii="Arial" w:cs="Arial" w:eastAsia="Arial" w:hAnsi="Arial"/>
          <w:sz w:val="19"/>
          <w:szCs w:val="19"/>
          <w:color w:val="auto"/>
        </w:rPr>
      </w:pPr>
      <w:r>
        <w:rPr>
          <w:rFonts w:ascii="Arial" w:cs="Arial" w:eastAsia="Arial" w:hAnsi="Arial"/>
          <w:sz w:val="19"/>
          <w:szCs w:val="19"/>
          <w:color w:val="auto"/>
        </w:rPr>
        <w:t>Consolidated Net Income for such period,</w:t>
      </w:r>
    </w:p>
    <w:p>
      <w:pPr>
        <w:spacing w:after="0" w:line="214" w:lineRule="exact"/>
        <w:rPr>
          <w:rFonts w:ascii="Arial" w:cs="Arial" w:eastAsia="Arial" w:hAnsi="Arial"/>
          <w:sz w:val="19"/>
          <w:szCs w:val="19"/>
          <w:color w:val="auto"/>
        </w:rPr>
      </w:pPr>
    </w:p>
    <w:p>
      <w:pPr>
        <w:ind w:left="640" w:firstLine="625"/>
        <w:spacing w:after="0" w:line="274" w:lineRule="auto"/>
        <w:tabs>
          <w:tab w:leader="none" w:pos="1722" w:val="left"/>
        </w:tabs>
        <w:numPr>
          <w:ilvl w:val="1"/>
          <w:numId w:val="48"/>
        </w:numPr>
        <w:rPr>
          <w:rFonts w:ascii="Arial" w:cs="Arial" w:eastAsia="Arial" w:hAnsi="Arial"/>
          <w:sz w:val="19"/>
          <w:szCs w:val="19"/>
          <w:color w:val="auto"/>
        </w:rPr>
      </w:pPr>
      <w:r>
        <w:rPr>
          <w:rFonts w:ascii="Arial" w:cs="Arial" w:eastAsia="Arial" w:hAnsi="Arial"/>
          <w:sz w:val="19"/>
          <w:szCs w:val="19"/>
          <w:color w:val="auto"/>
        </w:rPr>
        <w:t>an amount equal to the amount of all Non-Cash Charges (including in respect of depreciation and amortization) to the extent deducted in arriving at such Consolidated Net Income,</w:t>
      </w:r>
    </w:p>
    <w:p>
      <w:pPr>
        <w:spacing w:after="0" w:line="157" w:lineRule="exact"/>
        <w:rPr>
          <w:rFonts w:ascii="Arial" w:cs="Arial" w:eastAsia="Arial" w:hAnsi="Arial"/>
          <w:sz w:val="19"/>
          <w:szCs w:val="19"/>
          <w:color w:val="auto"/>
        </w:rPr>
      </w:pPr>
    </w:p>
    <w:p>
      <w:pPr>
        <w:ind w:left="640" w:firstLine="625"/>
        <w:spacing w:after="0" w:line="335" w:lineRule="auto"/>
        <w:tabs>
          <w:tab w:leader="none" w:pos="1782"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 amount equal to the aggregate net non-cash loss on dispositions by Holdings and the Restricted Subsidiaries during such period (other than dispositions in the ordinary course of business) to the extent deducted in arriving at such Consolidated Net Income;</w:t>
      </w:r>
    </w:p>
    <w:p>
      <w:pPr>
        <w:spacing w:after="0" w:line="110" w:lineRule="exact"/>
        <w:rPr>
          <w:rFonts w:ascii="Arial" w:cs="Arial" w:eastAsia="Arial" w:hAnsi="Arial"/>
          <w:sz w:val="17"/>
          <w:szCs w:val="17"/>
          <w:color w:val="auto"/>
        </w:rPr>
      </w:pPr>
    </w:p>
    <w:p>
      <w:pPr>
        <w:ind w:left="640" w:firstLine="625"/>
        <w:spacing w:after="0" w:line="274" w:lineRule="auto"/>
        <w:tabs>
          <w:tab w:leader="none" w:pos="1774"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amount of tax expenses deducted in determining Consolidated Net Income for such period to the extent they exceed the amount of cash taxes paid in such period; and</w:t>
      </w:r>
    </w:p>
    <w:p>
      <w:pPr>
        <w:spacing w:after="0" w:line="157" w:lineRule="exact"/>
        <w:rPr>
          <w:rFonts w:ascii="Arial" w:cs="Arial" w:eastAsia="Arial" w:hAnsi="Arial"/>
          <w:sz w:val="19"/>
          <w:szCs w:val="19"/>
          <w:color w:val="auto"/>
        </w:rPr>
      </w:pPr>
    </w:p>
    <w:p>
      <w:pPr>
        <w:ind w:left="1680" w:hanging="415"/>
        <w:spacing w:after="0"/>
        <w:tabs>
          <w:tab w:leader="none" w:pos="1680" w:val="left"/>
        </w:tabs>
        <w:numPr>
          <w:ilvl w:val="1"/>
          <w:numId w:val="48"/>
        </w:numPr>
        <w:rPr>
          <w:rFonts w:ascii="Arial" w:cs="Arial" w:eastAsia="Arial" w:hAnsi="Arial"/>
          <w:sz w:val="19"/>
          <w:szCs w:val="19"/>
          <w:color w:val="auto"/>
        </w:rPr>
      </w:pPr>
      <w:r>
        <w:rPr>
          <w:rFonts w:ascii="Arial" w:cs="Arial" w:eastAsia="Arial" w:hAnsi="Arial"/>
          <w:sz w:val="19"/>
          <w:szCs w:val="19"/>
          <w:color w:val="auto"/>
        </w:rPr>
        <w:t>extraordinary cash gains during such period;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over</w:t>
      </w:r>
    </w:p>
    <w:p>
      <w:pPr>
        <w:spacing w:after="0" w:line="215" w:lineRule="exact"/>
        <w:rPr>
          <w:sz w:val="20"/>
          <w:szCs w:val="20"/>
          <w:color w:val="auto"/>
        </w:rPr>
      </w:pPr>
    </w:p>
    <w:p>
      <w:pPr>
        <w:ind w:left="1060" w:hanging="425"/>
        <w:spacing w:after="0"/>
        <w:tabs>
          <w:tab w:leader="none" w:pos="10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sum, without duplication, of:</w:t>
      </w:r>
    </w:p>
    <w:p>
      <w:pPr>
        <w:spacing w:after="0" w:line="214" w:lineRule="exact"/>
        <w:rPr>
          <w:rFonts w:ascii="Arial" w:cs="Arial" w:eastAsia="Arial" w:hAnsi="Arial"/>
          <w:sz w:val="19"/>
          <w:szCs w:val="19"/>
          <w:color w:val="auto"/>
        </w:rPr>
      </w:pPr>
    </w:p>
    <w:p>
      <w:pPr>
        <w:jc w:val="both"/>
        <w:ind w:left="640" w:firstLine="625"/>
        <w:spacing w:after="0" w:line="273" w:lineRule="auto"/>
        <w:tabs>
          <w:tab w:leader="none" w:pos="1699"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(a) through (i) of the definition of Consolidated Net Income to the extent financed with internally generated funds of Holdings and the Restricted Subsidiaries,</w:t>
      </w:r>
    </w:p>
    <w:p>
      <w:pPr>
        <w:spacing w:after="0" w:line="160" w:lineRule="exact"/>
        <w:rPr>
          <w:rFonts w:ascii="Arial" w:cs="Arial" w:eastAsia="Arial" w:hAnsi="Arial"/>
          <w:sz w:val="18"/>
          <w:szCs w:val="18"/>
          <w:color w:val="auto"/>
        </w:rPr>
      </w:pPr>
    </w:p>
    <w:p>
      <w:pPr>
        <w:jc w:val="both"/>
        <w:ind w:left="640" w:firstLine="625"/>
        <w:spacing w:after="0" w:line="303" w:lineRule="auto"/>
        <w:tabs>
          <w:tab w:leader="none" w:pos="18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(x) below in prior fiscal periods, the amount of capital expenditures made in cash during such period to the extent financed with internally generated funds of Holdings and the Restricted</w:t>
      </w:r>
    </w:p>
    <w:p>
      <w:pPr>
        <w:sectPr>
          <w:pgSz w:w="11900" w:h="16838" w:orient="portrait"/>
          <w:cols w:equalWidth="0" w:num="1">
            <w:col w:w="11420"/>
          </w:cols>
          <w:pgMar w:left="240" w:top="118" w:right="239" w:bottom="0" w:gutter="0" w:footer="0" w:header="0"/>
        </w:sectPr>
      </w:pPr>
    </w:p>
    <w:bookmarkStart w:id="109" w:name="page110"/>
    <w:bookmarkEnd w:id="109"/>
    <w:p>
      <w:pPr>
        <w:spacing w:after="0" w:line="108" w:lineRule="exact"/>
        <w:rPr>
          <w:sz w:val="20"/>
          <w:szCs w:val="20"/>
          <w:color w:val="auto"/>
        </w:rPr>
      </w:pPr>
    </w:p>
    <w:p>
      <w:pPr>
        <w:ind w:left="640"/>
        <w:spacing w:after="0" w:line="275" w:lineRule="auto"/>
        <w:rPr>
          <w:sz w:val="20"/>
          <w:szCs w:val="20"/>
          <w:color w:val="auto"/>
        </w:rPr>
      </w:pPr>
      <w:r>
        <w:rPr>
          <w:rFonts w:ascii="Arial" w:cs="Arial" w:eastAsia="Arial" w:hAnsi="Arial"/>
          <w:sz w:val="19"/>
          <w:szCs w:val="19"/>
          <w:color w:val="auto"/>
        </w:rPr>
        <w:t>Subsidiaries (other than asset sale proceeds, casualty proceeds, condemnation proceeds or other funds that would not be included in Consolidated Net Income),</w:t>
      </w:r>
    </w:p>
    <w:p>
      <w:pPr>
        <w:spacing w:after="0" w:line="157" w:lineRule="exact"/>
        <w:rPr>
          <w:sz w:val="20"/>
          <w:szCs w:val="20"/>
          <w:color w:val="auto"/>
        </w:rPr>
      </w:pPr>
    </w:p>
    <w:p>
      <w:pPr>
        <w:jc w:val="both"/>
        <w:ind w:left="640" w:firstLine="625"/>
        <w:spacing w:after="0" w:line="262" w:lineRule="auto"/>
        <w:tabs>
          <w:tab w:leader="none" w:pos="17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amount of all principal payments of Indebtedness (other than the payment prior to its stated maturity of (x) any Indebtedness that is subordinated in right of payment to the Loan Document Obligations, (y) any Indebtedness that is secured by a junior Lien on the Collateral and (z) unsecured Indebtedness of the Borrower and its Restricted Subsidiaries) of the Borrower and the Restricted Subsidiaries (including (A) the principal component of payments in respect of Capitalized Leases and (B) the amount of any mandatory prepayment of Term Loans pursuant to Section 2.09(b) with the Net Proceeds from an event of the type specified in clause (a) of the definition of “Prepayment Event” to the extent required due to a disposition that resulted in an increase to Consolidated Net Income and not in excess of the amount of such increase but excluding (X) all other prepayments of Term Loans, (Y) all prepayments of revolving loans (including any Revolving Loans) and any Trading Debt unless accompanied by a permanent reduction of commitments or termination of a credit line in respect of such revolving loans or such Trading Debt and (Z) the Refinancing) made during such period, to the extent financed with internally generated funds of Holdings and the Restricted Subsidiaries (other than to the extent such payments were made using any portion of the Cumulative Excess Cash Flow) (it being agreed that any amount not permitted to be deducted pursuant to this clause (b)(iii) may not be deducted pursuant to any other provision of this clause (b)),</w:t>
      </w:r>
    </w:p>
    <w:p>
      <w:pPr>
        <w:spacing w:after="0" w:line="175" w:lineRule="exact"/>
        <w:rPr>
          <w:rFonts w:ascii="Arial" w:cs="Arial" w:eastAsia="Arial" w:hAnsi="Arial"/>
          <w:sz w:val="18"/>
          <w:szCs w:val="18"/>
          <w:color w:val="auto"/>
        </w:rPr>
      </w:pPr>
    </w:p>
    <w:p>
      <w:pPr>
        <w:ind w:left="640" w:firstLine="625"/>
        <w:spacing w:after="0" w:line="335" w:lineRule="auto"/>
        <w:tabs>
          <w:tab w:leader="none" w:pos="1769"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 amount equal to the aggregate net non-cash gain on dispositions by Holdings and the Restricted Subsidiaries during such period (other than dispositions in the ordinary course of business) to the extent included in arriving at such Consolidated Net Income,</w:t>
      </w:r>
    </w:p>
    <w:p>
      <w:pPr>
        <w:spacing w:after="0" w:line="110" w:lineRule="exact"/>
        <w:rPr>
          <w:rFonts w:ascii="Arial" w:cs="Arial" w:eastAsia="Arial" w:hAnsi="Arial"/>
          <w:sz w:val="17"/>
          <w:szCs w:val="17"/>
          <w:color w:val="auto"/>
        </w:rPr>
      </w:pPr>
    </w:p>
    <w:p>
      <w:pPr>
        <w:jc w:val="both"/>
        <w:ind w:left="640" w:firstLine="625"/>
        <w:spacing w:after="0" w:line="280" w:lineRule="auto"/>
        <w:tabs>
          <w:tab w:leader="none" w:pos="17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payments by Holdings and the Restricted Subsidiaries during such period in respect of long-term liabilities of Holdings and the Restricted Subsidiaries other than Indebtedness and that were made with internally generated funds of Holdings and the Restricted Subsidiaries, to the extent that such payments were not expensed in arriving at such Consolidated Net Income,</w:t>
      </w:r>
    </w:p>
    <w:p>
      <w:pPr>
        <w:spacing w:after="0" w:line="154" w:lineRule="exact"/>
        <w:rPr>
          <w:rFonts w:ascii="Arial" w:cs="Arial" w:eastAsia="Arial" w:hAnsi="Arial"/>
          <w:sz w:val="18"/>
          <w:szCs w:val="18"/>
          <w:color w:val="auto"/>
        </w:rPr>
      </w:pPr>
    </w:p>
    <w:p>
      <w:pPr>
        <w:jc w:val="both"/>
        <w:ind w:left="640" w:firstLine="625"/>
        <w:spacing w:after="0" w:line="269" w:lineRule="auto"/>
        <w:tabs>
          <w:tab w:leader="none" w:pos="17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(x) below in prior fiscal periods, the amount of Investments and acquisitions made in cash during such period pursuant to Section 6.04 (other than (1) Section 6.04(a), (2) to the extent made with Cumulative Excess Cash Flow and (3) any Investment by Holdings or any Restricted Subsidiary in Holdings or any Restricted Subsidiary) to the extent that such Investments and acquisitions were financed with internally generated funds of Holdings and the Restricted Subsidiaries and were not expensed in arriving at such Consolidated Net Income,</w:t>
      </w:r>
    </w:p>
    <w:p>
      <w:pPr>
        <w:spacing w:after="0" w:line="165" w:lineRule="exact"/>
        <w:rPr>
          <w:rFonts w:ascii="Arial" w:cs="Arial" w:eastAsia="Arial" w:hAnsi="Arial"/>
          <w:sz w:val="18"/>
          <w:szCs w:val="18"/>
          <w:color w:val="auto"/>
        </w:rPr>
      </w:pPr>
    </w:p>
    <w:p>
      <w:pPr>
        <w:jc w:val="both"/>
        <w:ind w:left="640" w:firstLine="625"/>
        <w:spacing w:after="0" w:line="254" w:lineRule="auto"/>
        <w:tabs>
          <w:tab w:leader="none" w:pos="1911"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amount of dividends, distributions and other restricted payments paid in cash during such period by the Borrower pursuant to Section 6.08 (including any permitted quarterly tax distribution but excluding any such payments pursuant to clause (z) of Section 6.08(a)(viii) and clause (z) of Section 6.08(b)(iv)) to the extent such payments were financed with internally generated funds of Holdings and the Restricted Subsidiaries,</w:t>
      </w:r>
    </w:p>
    <w:p>
      <w:pPr>
        <w:spacing w:after="0" w:line="177" w:lineRule="exact"/>
        <w:rPr>
          <w:rFonts w:ascii="Arial" w:cs="Arial" w:eastAsia="Arial" w:hAnsi="Arial"/>
          <w:sz w:val="19"/>
          <w:szCs w:val="19"/>
          <w:color w:val="auto"/>
        </w:rPr>
      </w:pPr>
    </w:p>
    <w:p>
      <w:pPr>
        <w:jc w:val="both"/>
        <w:ind w:left="640" w:firstLine="625"/>
        <w:spacing w:after="0" w:line="254" w:lineRule="auto"/>
        <w:tabs>
          <w:tab w:leader="none" w:pos="1859"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aggregate amount of expenditures actually made by Holdings and the Restricted Subsidiaries in cash during such period (including expenditures for the payment of financing fees) to the extent that such expenditures are not expensed during such period and were financed with internally generated funds of Holdings and the Restricted Subsidiaries (other than to the extent such expenditures were made using any portion of the Cumulative Excess Cash Flow),</w:t>
      </w:r>
    </w:p>
    <w:p>
      <w:pPr>
        <w:spacing w:after="0" w:line="177" w:lineRule="exact"/>
        <w:rPr>
          <w:rFonts w:ascii="Arial" w:cs="Arial" w:eastAsia="Arial" w:hAnsi="Arial"/>
          <w:sz w:val="19"/>
          <w:szCs w:val="19"/>
          <w:color w:val="auto"/>
        </w:rPr>
      </w:pPr>
    </w:p>
    <w:p>
      <w:pPr>
        <w:jc w:val="both"/>
        <w:ind w:left="640" w:firstLine="625"/>
        <w:spacing w:after="0" w:line="294" w:lineRule="auto"/>
        <w:tabs>
          <w:tab w:leader="none" w:pos="174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aggregate amount of any premium, make-whole or penalty payments actually paid in cash by Holdings and the Restricted Subsidiaries during such period that are required to be made in connection with any prepayment of Indebtedness to the extent that such payments are not expensed during such period or any previous period and were financed with internally generated funds of Holdings and the Restricted Subsidiaries (other than to the extent such payments were made using any portion of the Cumulative Excess Cash Flow),</w:t>
      </w:r>
    </w:p>
    <w:p>
      <w:pPr>
        <w:spacing w:after="0" w:line="144" w:lineRule="exact"/>
        <w:rPr>
          <w:rFonts w:ascii="Arial" w:cs="Arial" w:eastAsia="Arial" w:hAnsi="Arial"/>
          <w:sz w:val="17"/>
          <w:szCs w:val="17"/>
          <w:color w:val="auto"/>
        </w:rPr>
      </w:pPr>
    </w:p>
    <w:p>
      <w:pPr>
        <w:jc w:val="both"/>
        <w:ind w:left="640" w:firstLine="625"/>
        <w:spacing w:after="0" w:line="263" w:lineRule="auto"/>
        <w:tabs>
          <w:tab w:leader="none" w:pos="17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without duplication of amounts deducted from Excess Cash Flow in prior periods, the aggregate consideration required to be paid in cash by Holdings or any of the Restricted Subsidiaries pursuant to binding contracts (which may include, among other things, letters of intent or purchase orders) (the “</w:t>
      </w:r>
      <w:r>
        <w:rPr>
          <w:rFonts w:ascii="Arial" w:cs="Arial" w:eastAsia="Arial" w:hAnsi="Arial"/>
          <w:sz w:val="18"/>
          <w:szCs w:val="18"/>
          <w:b w:val="1"/>
          <w:bCs w:val="1"/>
          <w:color w:val="auto"/>
        </w:rPr>
        <w:t>Contract Consideration</w:t>
      </w:r>
      <w:r>
        <w:rPr>
          <w:rFonts w:ascii="Arial" w:cs="Arial" w:eastAsia="Arial" w:hAnsi="Arial"/>
          <w:sz w:val="18"/>
          <w:szCs w:val="18"/>
          <w:color w:val="auto"/>
        </w:rPr>
        <w:t xml:space="preserve">”) entered into prior to or during such period relating to Permitted Acquisitions, other Investments or capital expenditures (including Capitalized Software Expenses or other purchases of intellectual property but excluding any contracts where the counterparty is Holdings or any of the Restricted Subsidiaries) to be consummated or made during the period of four consecutive fiscal quarters of Holdings following the end of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the aggregate amount of internally generated funds actually utilized to finance such Permitted Acquisitions, Investments or capital expenditures during such period of four consecutive fiscal quarters is less than the Contract Consideration, the amount of such shortfall shall be added to the calculation of Excess Cash Flow at the earliest to occur of the (A) abandonment of such planned expenditure, (B) making of such planned expenditure and (C) end of such period of four consecutive fiscal quarters,</w:t>
      </w:r>
    </w:p>
    <w:p>
      <w:pPr>
        <w:spacing w:after="0" w:line="172" w:lineRule="exact"/>
        <w:rPr>
          <w:rFonts w:ascii="Arial" w:cs="Arial" w:eastAsia="Arial" w:hAnsi="Arial"/>
          <w:sz w:val="18"/>
          <w:szCs w:val="18"/>
          <w:color w:val="auto"/>
        </w:rPr>
      </w:pPr>
    </w:p>
    <w:p>
      <w:pPr>
        <w:ind w:left="640" w:firstLine="625"/>
        <w:spacing w:after="0" w:line="274" w:lineRule="auto"/>
        <w:tabs>
          <w:tab w:leader="none" w:pos="179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amount of cash taxes paid in such period to the extent they exceed the amount of tax expense deducted in determining Consolidated Net Income for such period, and</w:t>
      </w:r>
    </w:p>
    <w:p>
      <w:pPr>
        <w:spacing w:after="0" w:line="157" w:lineRule="exact"/>
        <w:rPr>
          <w:rFonts w:ascii="Arial" w:cs="Arial" w:eastAsia="Arial" w:hAnsi="Arial"/>
          <w:sz w:val="19"/>
          <w:szCs w:val="19"/>
          <w:color w:val="auto"/>
        </w:rPr>
      </w:pPr>
    </w:p>
    <w:p>
      <w:pPr>
        <w:ind w:left="1780" w:hanging="515"/>
        <w:spacing w:after="0"/>
        <w:tabs>
          <w:tab w:leader="none" w:pos="17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extraordinary cash losses for such period.</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United States Securities Exchange Act of 1934, as amended from time to time.</w:t>
      </w:r>
    </w:p>
    <w:p>
      <w:pPr>
        <w:spacing w:after="0" w:line="215" w:lineRule="exact"/>
        <w:rPr>
          <w:sz w:val="20"/>
          <w:szCs w:val="20"/>
          <w:color w:val="auto"/>
        </w:rPr>
      </w:pPr>
    </w:p>
    <w:p>
      <w:pPr>
        <w:jc w:val="both"/>
        <w:ind w:firstLine="63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Assets</w:t>
      </w:r>
      <w:r>
        <w:rPr>
          <w:rFonts w:ascii="Arial" w:cs="Arial" w:eastAsia="Arial" w:hAnsi="Arial"/>
          <w:sz w:val="17"/>
          <w:szCs w:val="17"/>
          <w:color w:val="auto"/>
        </w:rPr>
        <w:t>” means (a) any fee-owned real property with a fair market value of less than $5,000,000 and all leasehold interests in real property, (b) motor vehicles and other assets subject to certificates of title or ownership (but only to the extent that a security interest in any such asset cannot be perfected by filing of a financing statement), (c) any commercial tort claims or letter of credit rights having a value of less than $5,000,000 (but only to the extent that a security interest in any such asset cannot be perfected by filing of a financing statement), (d) Equity Interests in any Person (other than the Borrower or any Wholly Owned Restricted Subsidiaries) to the extent not permitted by the terms of such Person’s organizational or joint venture documents, (e) voting Equity Interests constituting an amount greater than 65% of the voting Equity Interests of any Foreign Subsidiary, (f) any lease, license or other agreement with any Person if, to the extent and for so long as the grant of a Lien thereon to secure the Secured Obligations constitutes a breach of or a default under, or creates an enforceable right of termination in favor of any party (other than Holdings or any Restricted Subsidiary) to, such lease, license or other agreement (but only to the extent any of the foregoing is not rendered ineffective by, or is otherwise unenforceable under, the Uniform Commercial Code or any Requirements of Law), (g) any asset subject to a Lien of the type permitted by Section 6.02(iv) (whether or not incurred pursuant to such Section) or a Lien permitted by Section 6.02(xi) or Section 6.02(xx), in each case if, to the extent and for so long as the grant of a Lien thereon to secure the Secured Obligations constitutes a breach of or a default under, or creates a right of termination in favor of any party (other than Holdings or any Restricted Subsidiary) to, any agreement pursuant</w:t>
      </w:r>
    </w:p>
    <w:p>
      <w:pPr>
        <w:sectPr>
          <w:pgSz w:w="11900" w:h="16947" w:orient="portrait"/>
          <w:cols w:equalWidth="0" w:num="1">
            <w:col w:w="11420"/>
          </w:cols>
          <w:pgMar w:left="240" w:top="121" w:right="239" w:bottom="0" w:gutter="0" w:footer="0" w:header="0"/>
        </w:sectPr>
      </w:pPr>
    </w:p>
    <w:bookmarkStart w:id="110" w:name="page111"/>
    <w:bookmarkEnd w:id="110"/>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which such Lien has been created (but only to the extent any of the foregoing is not rendered ineffective by, or is otherwise unenforceable under, the Uniform Commercial Code or any Requirements of Law), (h) any intent-to-use trademark applications filed in the United States Patent and Trademark Office, (i) any asset with respect to which Holdings with the written consent of the Administrative Agent (not to be unreasonably withheld or delayed) shall have provided to the Administrative Agent a certificate of a Financial Officer to the effect that, based on the advice of outside counsel or tax advisors of national recognition, the grant of a Lien thereon to secure the Secured Obligations would result in adverse tax consequences (including as a result of the operation of Section 956 of the Code or any similar law or regulation in any applicable jurisdiction) to Holdings and its Restricted Subsidiaries (other than on account of any Taxes payable in connection with filings, recordings, registrations, stampings and any similar acts in connection with the creation or perfection of Liens) that shall have been reasonably determined by Holdings to be material to Holdings and its Restricted Subsidiaries and (j) any asset if, to the extent and for so long as the grant of a Lien thereon to secure the Secured Obligations is prohibited by any Requirements of Law (other than to the extent that any such prohibition would be rendered ineffective pursuant to the Uniform Commercial Code or any other applicable Requirements of Law).</w:t>
      </w:r>
    </w:p>
    <w:p>
      <w:pPr>
        <w:spacing w:after="0" w:line="164"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Domestic Subsidiary</w:t>
      </w:r>
      <w:r>
        <w:rPr>
          <w:rFonts w:ascii="Arial" w:cs="Arial" w:eastAsia="Arial" w:hAnsi="Arial"/>
          <w:sz w:val="19"/>
          <w:szCs w:val="19"/>
          <w:color w:val="auto"/>
        </w:rPr>
        <w:t>” means any direct or indirect Domestic Subsidiary of a direct or indirect Foreign Subsidiary of Holdings that is a “controlled foreign corporation” within the meaning of Section 957 of the Code.</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 any Subsidiary that is not a Wholly Owned Subsidiary of Holdings on the Restatement Effective Date (or, if later, the date it first becomes a Subsidiary), (b) any Subsidiary that is prohibited by any contractual obligation existing on the Restatement Effective Date (or, if later, the date it first becomes a Subsidiary, so long as such prohibition was not incurred in connection with or in contemplation of the acquisition of such Subsidiary), from guaranteeing the Secured Obligations, (c) any Subsidiary that is prohibited by any Requirement of Law from guaranteeing the Secured Obligations or that would require the consent, approval, license or authorization of any Governmental Authority or any Regulatory Supervising Organization to guarantee the Secured Obligations (unless such consent, approval, license or authorization has been received), (d) any Subsidiary to the extent such Subsidiary guaranteeing the Secured Obligations would result in a material adverse tax consequence to the Borrower and its Subsidiaries (including as a result of the operation of Section 956 of the Code or any similar law or regulation in any applicable jurisdiction) as reasonably determined by the Borrower with the consent of the Administrative Agent (such consent not to be unreasonably withheld or delayed) and (e) any other Subsidiary excused from becoming a Loan Party pursuant to the last paragraph of the definition of the term “Collateral and Guarantee Requirement.”</w:t>
      </w:r>
    </w:p>
    <w:p>
      <w:pPr>
        <w:spacing w:after="0" w:line="169"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means, with respect to the Administrative Agent, any Lender, any Issuing Bank or any other recipient of any payment to be made by or on account of any obligation of any Loan Party hereunder or under any other Loan Document, (a) Taxes imposed on (or measured by) its net income (however denominated) and franchise Taxes imposed on it (in lieu of net income Taxes) by (i) the United States of America, or the jurisdiction under the laws of which such recipient is organized or in which its principal office is located or, in the case of any Lender, in which its applicable lending office is located, or (ii) any other jurisdiction as a result of a present or former connection between such recipient and the jurisdiction imposing such Tax (other than a connection arising solely from such recipient having executed, delivered, or become a party to, performed its obligations or received payments under, received or perfected a security interest under, sold or assigned an interest in, engaged in any other transaction pursuant to, or enforced, any Loan Documents), (b) any branch profits Tax imposed by the United States of America or any similar Tax imposed by any other jurisdiction described in clause (a) above, (c) any withholding Tax that is attributable to a Lender’s failure to comply with Section 2.15(e) and (d) except in the case of an assignee pursuant to a request by the Borrower under Section 2.17 hereto, any U.S. federal withholding Taxes (including any deduction or withholding pursuant to FATCA) imposed due to a Requirement of Law in effect at the time a Lender becomes a party hereto (or designates a new lending office), except to the extent that such Lender (or its assignor, if any) was entitled, at the time of designation of a new lending office (or assignment), to receive additional amounts with respect to such withholding Tax under Section 2.15(a).</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has the meaning set forth in the preamble hereto.</w:t>
      </w:r>
    </w:p>
    <w:p>
      <w:pPr>
        <w:spacing w:after="0" w:line="215"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Yen Bonds</w:t>
      </w:r>
      <w:r>
        <w:rPr>
          <w:rFonts w:ascii="Arial" w:cs="Arial" w:eastAsia="Arial" w:hAnsi="Arial"/>
          <w:sz w:val="18"/>
          <w:szCs w:val="18"/>
          <w:color w:val="auto"/>
        </w:rPr>
        <w:t>” means the VFH Parent LLC Japanese Yen Bonds issued on July 25, 2016 in the aggregate principal amount of JPY3,500,000,000 in favor of SBI Life Insurance Co., Ltd. and SBI Insurance Col., Ltd., and guaranteed by Virtu Financial LLC.</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Extension Notice</w:t>
      </w:r>
      <w:r>
        <w:rPr>
          <w:rFonts w:ascii="Arial" w:cs="Arial" w:eastAsia="Arial" w:hAnsi="Arial"/>
          <w:sz w:val="19"/>
          <w:szCs w:val="19"/>
          <w:color w:val="auto"/>
        </w:rPr>
        <w:t>” has the meaning assigned to such term in Section 2.19(b).</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Facility</w:t>
      </w:r>
      <w:r>
        <w:rPr>
          <w:rFonts w:ascii="Arial" w:cs="Arial" w:eastAsia="Arial" w:hAnsi="Arial"/>
          <w:sz w:val="19"/>
          <w:szCs w:val="19"/>
          <w:color w:val="auto"/>
        </w:rPr>
        <w:t>” means any series of Loans.</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w:t>
      </w:r>
    </w:p>
    <w:p>
      <w:pPr>
        <w:spacing w:after="0" w:line="167"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depositary institutions, as determined in such manner as the NYFRB shall set forth on its public website from time to time, as published on the next succeeding Business Day by the NYFRB as the federal funds effective rate;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foregoing, the Federal Funds Effective Rate will be deemed to be 0.00% per annum if the Federal Funds Effective Rate determined pursuant to this definition would otherwise be less than 0.00% per annum.</w:t>
      </w:r>
    </w:p>
    <w:p>
      <w:pPr>
        <w:spacing w:after="0" w:line="169"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Financial Officer</w:t>
      </w:r>
      <w:r>
        <w:rPr>
          <w:rFonts w:ascii="Arial" w:cs="Arial" w:eastAsia="Arial" w:hAnsi="Arial"/>
          <w:sz w:val="19"/>
          <w:szCs w:val="19"/>
          <w:color w:val="auto"/>
        </w:rPr>
        <w:t>” means the chief financial officer, chief operating officer, principal accounting officer, treasurer or controller of Holdings.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Financial Performance Covenants</w:t>
      </w:r>
      <w:r>
        <w:rPr>
          <w:rFonts w:ascii="Arial" w:cs="Arial" w:eastAsia="Arial" w:hAnsi="Arial"/>
          <w:sz w:val="19"/>
          <w:szCs w:val="19"/>
          <w:color w:val="auto"/>
        </w:rPr>
        <w:t>” means the covenants set forth in Sections 6.12 and 6.13.</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Financing Transactions</w:t>
      </w:r>
      <w:r>
        <w:rPr>
          <w:rFonts w:ascii="Arial" w:cs="Arial" w:eastAsia="Arial" w:hAnsi="Arial"/>
          <w:sz w:val="19"/>
          <w:szCs w:val="19"/>
          <w:color w:val="auto"/>
        </w:rPr>
        <w:t>” means the execution, delivery and performance by each Loan Party of the Loan Documents entered into on the Restatement Effective Date to which it is to be a party, the funding of (and conversion to) of Initial Term Loans hereunder and the use of the proceeds thereof.</w:t>
      </w:r>
    </w:p>
    <w:p>
      <w:pPr>
        <w:spacing w:after="0" w:line="161"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Lien Intercreditor Agreement</w:t>
      </w:r>
      <w:r>
        <w:rPr>
          <w:rFonts w:ascii="Arial" w:cs="Arial" w:eastAsia="Arial" w:hAnsi="Arial"/>
          <w:sz w:val="19"/>
          <w:szCs w:val="19"/>
          <w:color w:val="auto"/>
        </w:rPr>
        <w:t>” means the First Lien Intercreditor Agreement substantially in the form of Exhibit F-1 among the Administrative Agent and one or more Senior Representatives for holders of Permitted First Priority Refinancing Debt, any secured Indebtedness incurred pursuant to Section 6.01(a)(viii) or any secured Additional Notes issued pursuant to Section 6.01(a)(xxii), with such modifications thereto as the Administrative Agent may reasonably agree.</w:t>
      </w:r>
    </w:p>
    <w:p>
      <w:pPr>
        <w:sectPr>
          <w:pgSz w:w="11900" w:h="16923" w:orient="portrait"/>
          <w:cols w:equalWidth="0" w:num="1">
            <w:col w:w="11420"/>
          </w:cols>
          <w:pgMar w:left="240" w:top="122" w:right="239" w:bottom="0" w:gutter="0" w:footer="0" w:header="0"/>
        </w:sectPr>
      </w:pPr>
    </w:p>
    <w:bookmarkStart w:id="111" w:name="page112"/>
    <w:bookmarkEnd w:id="111"/>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Flow-Through Entity</w:t>
      </w:r>
      <w:r>
        <w:rPr>
          <w:rFonts w:ascii="Arial" w:cs="Arial" w:eastAsia="Arial" w:hAnsi="Arial"/>
          <w:sz w:val="19"/>
          <w:szCs w:val="19"/>
          <w:color w:val="auto"/>
        </w:rPr>
        <w:t>” has the meaning assigned to such term in Section 6.08(a)(vi).</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Foreign Subsidiary</w:t>
      </w:r>
      <w:r>
        <w:rPr>
          <w:rFonts w:ascii="Arial" w:cs="Arial" w:eastAsia="Arial" w:hAnsi="Arial"/>
          <w:sz w:val="19"/>
          <w:szCs w:val="19"/>
          <w:color w:val="auto"/>
        </w:rPr>
        <w:t>” means (a) any Subsidiary that is organized under the laws of a jurisdiction other than the United States of America, any State thereof or the District of Columbia and (b) any Subsidiary organized under the laws of the United States of America, any State thereof or the District of Columbia that is disregarded for U.S. federal income tax purposes if substantially all of its assets consist of the equity interests of one or more direct or indirect Foreign Subsidiaries.</w:t>
      </w:r>
    </w:p>
    <w:p>
      <w:pPr>
        <w:spacing w:after="0" w:line="16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Former Agent</w:t>
      </w:r>
      <w:r>
        <w:rPr>
          <w:rFonts w:ascii="Arial" w:cs="Arial" w:eastAsia="Arial" w:hAnsi="Arial"/>
          <w:sz w:val="19"/>
          <w:szCs w:val="19"/>
          <w:color w:val="auto"/>
        </w:rPr>
        <w:t>” means Credit Suisse AG, Cayman Islands Branch, in its former capacity as administrative and collateral agent under the Existing Credit Agreement (as defined in the Existing Credit Agreement).</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in the United States of America, as in effect from time to time but subject to Section 1.04.</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Approvals</w:t>
      </w:r>
      <w:r>
        <w:rPr>
          <w:rFonts w:ascii="Arial" w:cs="Arial" w:eastAsia="Arial" w:hAnsi="Arial"/>
          <w:sz w:val="19"/>
          <w:szCs w:val="19"/>
          <w:color w:val="auto"/>
        </w:rPr>
        <w:t>” means all authorizations, consents, approvals, permits, licenses and exemptions of, registrations and filings with, and reports to, Governmental Authorities or Regulatory Supervising Organizations.</w:t>
      </w:r>
    </w:p>
    <w:p>
      <w:pPr>
        <w:spacing w:after="0" w:line="14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7"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of or by any Person (the “</w:t>
      </w:r>
      <w:r>
        <w:rPr>
          <w:rFonts w:ascii="Arial" w:cs="Arial" w:eastAsia="Arial" w:hAnsi="Arial"/>
          <w:sz w:val="18"/>
          <w:szCs w:val="18"/>
          <w:b w:val="1"/>
          <w:bCs w:val="1"/>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of any 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or customary and reasonable indemnity obligations in effect on the Restatement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73"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 Agreement</w:t>
      </w:r>
      <w:r>
        <w:rPr>
          <w:rFonts w:ascii="Arial" w:cs="Arial" w:eastAsia="Arial" w:hAnsi="Arial"/>
          <w:sz w:val="19"/>
          <w:szCs w:val="19"/>
          <w:color w:val="auto"/>
        </w:rPr>
        <w:t>” means the Master Guarantee Agreement dated as of July 8, 2011 among the Loan Parties and the Administrative Agent (as assignee of the Former Agent).</w:t>
      </w:r>
    </w:p>
    <w:p>
      <w:pPr>
        <w:spacing w:after="0" w:line="14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substances or wastes of any nature regulated as hazardous or toxic, or any other term of similar import, pursuant to any Environmental Law.</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Holdings</w:t>
      </w:r>
      <w:r>
        <w:rPr>
          <w:rFonts w:ascii="Arial" w:cs="Arial" w:eastAsia="Arial" w:hAnsi="Arial"/>
          <w:sz w:val="19"/>
          <w:szCs w:val="19"/>
          <w:color w:val="auto"/>
        </w:rPr>
        <w:t>” has the meaning given to such term in the preliminary statements hereto.</w:t>
      </w:r>
    </w:p>
    <w:p>
      <w:pPr>
        <w:spacing w:after="0" w:line="215"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 LLC Agreement</w:t>
      </w:r>
      <w:r>
        <w:rPr>
          <w:rFonts w:ascii="Arial" w:cs="Arial" w:eastAsia="Arial" w:hAnsi="Arial"/>
          <w:sz w:val="18"/>
          <w:szCs w:val="18"/>
          <w:color w:val="auto"/>
        </w:rPr>
        <w:t>” means the Limited Liability Company Agreement of Holdings pursuant to which the members of Holdings hold limited liability interests of Holdings, together with all exhibits and schedules thereto as in effect on the Restatement Effective Date.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Identified Participating Lenders</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Identified Qualifying Lenders</w:t>
      </w:r>
      <w:r>
        <w:rPr>
          <w:rFonts w:ascii="Arial" w:cs="Arial" w:eastAsia="Arial" w:hAnsi="Arial"/>
          <w:sz w:val="19"/>
          <w:szCs w:val="19"/>
          <w:color w:val="auto"/>
        </w:rPr>
        <w:t>” has the meaning specified in Section 2.09(a)(ii)(D).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Immaterial Subsidiary</w:t>
      </w:r>
      <w:r>
        <w:rPr>
          <w:rFonts w:ascii="Arial" w:cs="Arial" w:eastAsia="Arial" w:hAnsi="Arial"/>
          <w:sz w:val="19"/>
          <w:szCs w:val="19"/>
          <w:color w:val="auto"/>
        </w:rPr>
        <w:t>” means any Subsidiary other than a Material Subsidiary.</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Impacted Interest Period</w:t>
      </w:r>
      <w:r>
        <w:rPr>
          <w:rFonts w:ascii="Arial" w:cs="Arial" w:eastAsia="Arial" w:hAnsi="Arial"/>
          <w:sz w:val="19"/>
          <w:szCs w:val="19"/>
          <w:color w:val="auto"/>
        </w:rPr>
        <w:t>” has the meaning assigned to such term in the definition of “LIBO Rate.”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Cap</w:t>
      </w:r>
      <w:r>
        <w:rPr>
          <w:rFonts w:ascii="Arial" w:cs="Arial" w:eastAsia="Arial" w:hAnsi="Arial"/>
          <w:sz w:val="19"/>
          <w:szCs w:val="19"/>
          <w:color w:val="auto"/>
        </w:rPr>
        <w:t>” has the meaning assigned to such term in Section 2.18(a)(iii).</w:t>
      </w:r>
    </w:p>
    <w:p>
      <w:pPr>
        <w:spacing w:after="0" w:line="223" w:lineRule="exact"/>
        <w:rPr>
          <w:sz w:val="20"/>
          <w:szCs w:val="20"/>
          <w:color w:val="auto"/>
        </w:rPr>
      </w:pPr>
    </w:p>
    <w:p>
      <w:pPr>
        <w:jc w:val="both"/>
        <w:ind w:firstLine="630"/>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Commitment</w:t>
      </w:r>
      <w:r>
        <w:rPr>
          <w:rFonts w:ascii="Arial" w:cs="Arial" w:eastAsia="Arial" w:hAnsi="Arial"/>
          <w:sz w:val="21"/>
          <w:szCs w:val="21"/>
          <w:color w:val="auto"/>
        </w:rPr>
        <w:t>” means the commitment of the Additional Revolving Lenders to make loans pursuant to an Incremental Revolving Facility in accordance with Section 2.18.</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Facility</w:t>
      </w:r>
      <w:r>
        <w:rPr>
          <w:rFonts w:ascii="Arial" w:cs="Arial" w:eastAsia="Arial" w:hAnsi="Arial"/>
          <w:sz w:val="21"/>
          <w:szCs w:val="21"/>
          <w:color w:val="auto"/>
        </w:rPr>
        <w:t>” has the meaning assigned to such term in Section 2.18(a)(i).</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Facility Amendment</w:t>
      </w:r>
      <w:r>
        <w:rPr>
          <w:rFonts w:ascii="Arial" w:cs="Arial" w:eastAsia="Arial" w:hAnsi="Arial"/>
          <w:sz w:val="21"/>
          <w:szCs w:val="21"/>
          <w:color w:val="auto"/>
        </w:rPr>
        <w:t>” has the meaning assigned to such term in Section 2.18(b).</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Facility Closing Date</w:t>
      </w:r>
      <w:r>
        <w:rPr>
          <w:rFonts w:ascii="Arial" w:cs="Arial" w:eastAsia="Arial" w:hAnsi="Arial"/>
          <w:sz w:val="21"/>
          <w:szCs w:val="21"/>
          <w:color w:val="auto"/>
        </w:rPr>
        <w:t>” has the meaning assigned to such term in Section 2.18(b).</w:t>
      </w:r>
    </w:p>
    <w:p>
      <w:pPr>
        <w:spacing w:after="0" w:line="209" w:lineRule="exact"/>
        <w:rPr>
          <w:sz w:val="20"/>
          <w:szCs w:val="20"/>
          <w:color w:val="auto"/>
        </w:rPr>
      </w:pPr>
    </w:p>
    <w:p>
      <w:pPr>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Term Commitment</w:t>
      </w:r>
      <w:r>
        <w:rPr>
          <w:rFonts w:ascii="Arial" w:cs="Arial" w:eastAsia="Arial" w:hAnsi="Arial"/>
          <w:sz w:val="19"/>
          <w:szCs w:val="19"/>
          <w:color w:val="auto"/>
        </w:rPr>
        <w:t>” means the commitment of the Additional Term Lenders to make Incremental Term Loans pursuant to Section 2.18.</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Term Facility</w:t>
      </w:r>
      <w:r>
        <w:rPr>
          <w:rFonts w:ascii="Arial" w:cs="Arial" w:eastAsia="Arial" w:hAnsi="Arial"/>
          <w:sz w:val="19"/>
          <w:szCs w:val="19"/>
          <w:color w:val="auto"/>
        </w:rPr>
        <w:t>” has the meaning assigned to such term in Section 2.18(ii).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Term Facility Amendment</w:t>
      </w:r>
      <w:r>
        <w:rPr>
          <w:rFonts w:ascii="Arial" w:cs="Arial" w:eastAsia="Arial" w:hAnsi="Arial"/>
          <w:sz w:val="19"/>
          <w:szCs w:val="19"/>
          <w:color w:val="auto"/>
        </w:rPr>
        <w:t>” has the meaning assigned to such term in Section 2.18(b).</w:t>
      </w:r>
    </w:p>
    <w:p>
      <w:pPr>
        <w:sectPr>
          <w:pgSz w:w="11900" w:h="16838" w:orient="portrait"/>
          <w:cols w:equalWidth="0" w:num="1">
            <w:col w:w="11420"/>
          </w:cols>
          <w:pgMar w:left="240" w:top="314" w:right="239" w:bottom="0" w:gutter="0" w:footer="0" w:header="0"/>
        </w:sectPr>
      </w:pPr>
    </w:p>
    <w:bookmarkStart w:id="112" w:name="page113"/>
    <w:bookmarkEnd w:id="112"/>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Term Facility Closing Date</w:t>
      </w:r>
      <w:r>
        <w:rPr>
          <w:rFonts w:ascii="Arial" w:cs="Arial" w:eastAsia="Arial" w:hAnsi="Arial"/>
          <w:sz w:val="19"/>
          <w:szCs w:val="19"/>
          <w:color w:val="auto"/>
        </w:rPr>
        <w:t>” has the meaning assigned to such term in Section 2.18(b).</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Term Loans</w:t>
      </w:r>
      <w:r>
        <w:rPr>
          <w:rFonts w:ascii="Arial" w:cs="Arial" w:eastAsia="Arial" w:hAnsi="Arial"/>
          <w:sz w:val="19"/>
          <w:szCs w:val="19"/>
          <w:color w:val="auto"/>
        </w:rPr>
        <w:t>” means term loans established pursuant to Section 2.18(b).</w:t>
      </w:r>
    </w:p>
    <w:p>
      <w:pPr>
        <w:spacing w:after="0" w:line="215"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xml:space="preserve">”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in the ordinary course of business and any earn-out obligation until such obligation becomes a liability on the balance sheet of such Person in accordance with GAAP),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“Indebtedness” shall not include (x) deferred or prepaid revenue and (y) purchase price holdbacks in respect of a portion of the purchase price of an asset to satisfy warranty or other unperformed obligations of the seller.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w:t>
      </w:r>
    </w:p>
    <w:p>
      <w:pPr>
        <w:spacing w:after="0" w:line="9" w:lineRule="exact"/>
        <w:rPr>
          <w:sz w:val="20"/>
          <w:szCs w:val="20"/>
          <w:color w:val="auto"/>
        </w:rPr>
      </w:pPr>
    </w:p>
    <w:p>
      <w:pPr>
        <w:ind w:left="640" w:right="3300" w:hanging="635"/>
        <w:spacing w:after="0" w:line="463" w:lineRule="auto"/>
        <w:tabs>
          <w:tab w:leader="none" w:pos="314"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fair market value of the property encumbered thereby as determined by such Person in good faith. “</w:t>
      </w:r>
      <w:r>
        <w:rPr>
          <w:rFonts w:ascii="Arial" w:cs="Arial" w:eastAsia="Arial" w:hAnsi="Arial"/>
          <w:sz w:val="19"/>
          <w:szCs w:val="19"/>
          <w:b w:val="1"/>
          <w:bCs w:val="1"/>
          <w:color w:val="auto"/>
        </w:rPr>
        <w:t>Indemnified Taxes</w:t>
      </w:r>
      <w:r>
        <w:rPr>
          <w:rFonts w:ascii="Arial" w:cs="Arial" w:eastAsia="Arial" w:hAnsi="Arial"/>
          <w:sz w:val="19"/>
          <w:szCs w:val="19"/>
          <w:color w:val="auto"/>
        </w:rPr>
        <w:t>” means Taxes other than Excluded Taxes.</w:t>
      </w:r>
    </w:p>
    <w:p>
      <w:pPr>
        <w:spacing w:after="0" w:line="1" w:lineRule="exact"/>
        <w:rPr>
          <w:rFonts w:ascii="Arial" w:cs="Arial" w:eastAsia="Arial" w:hAnsi="Arial"/>
          <w:sz w:val="19"/>
          <w:szCs w:val="19"/>
          <w:color w:val="auto"/>
        </w:rPr>
      </w:pPr>
    </w:p>
    <w:p>
      <w:pPr>
        <w:ind w:left="640" w:right="5200"/>
        <w:spacing w:after="0" w:line="531" w:lineRule="auto"/>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Indemnitee</w:t>
      </w:r>
      <w:r>
        <w:rPr>
          <w:rFonts w:ascii="Arial" w:cs="Arial" w:eastAsia="Arial" w:hAnsi="Arial"/>
          <w:sz w:val="17"/>
          <w:szCs w:val="17"/>
          <w:color w:val="auto"/>
        </w:rPr>
        <w:t>” has the meaning assigned to such term in Section 9.03(b). “</w:t>
      </w:r>
      <w:r>
        <w:rPr>
          <w:rFonts w:ascii="Arial" w:cs="Arial" w:eastAsia="Arial" w:hAnsi="Arial"/>
          <w:sz w:val="17"/>
          <w:szCs w:val="17"/>
          <w:b w:val="1"/>
          <w:bCs w:val="1"/>
          <w:color w:val="auto"/>
        </w:rPr>
        <w:t>Information</w:t>
      </w:r>
      <w:r>
        <w:rPr>
          <w:rFonts w:ascii="Arial" w:cs="Arial" w:eastAsia="Arial" w:hAnsi="Arial"/>
          <w:sz w:val="17"/>
          <w:szCs w:val="17"/>
          <w:color w:val="auto"/>
        </w:rPr>
        <w:t>” has the meaning assigned to such term in 9.12.</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Information Materials</w:t>
      </w:r>
      <w:r>
        <w:rPr>
          <w:rFonts w:ascii="Arial" w:cs="Arial" w:eastAsia="Arial" w:hAnsi="Arial"/>
          <w:sz w:val="19"/>
          <w:szCs w:val="19"/>
          <w:color w:val="auto"/>
        </w:rPr>
        <w:t>” means the presentation to the Lenders dated May 2017.</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Term Loan</w:t>
      </w:r>
      <w:r>
        <w:rPr>
          <w:rFonts w:ascii="Arial" w:cs="Arial" w:eastAsia="Arial" w:hAnsi="Arial"/>
          <w:sz w:val="19"/>
          <w:szCs w:val="19"/>
          <w:color w:val="auto"/>
        </w:rPr>
        <w:t>” means a Loan made by a Lender on the Restatement Effective Date, including, for the avoidance of doubt, a Converting Term Loan converted to an Initial Term Loan on the Restatement Effective Date.</w:t>
      </w:r>
    </w:p>
    <w:p>
      <w:pPr>
        <w:spacing w:after="0" w:line="145" w:lineRule="exact"/>
        <w:rPr>
          <w:sz w:val="20"/>
          <w:szCs w:val="20"/>
          <w:color w:val="auto"/>
        </w:rPr>
      </w:pPr>
    </w:p>
    <w:p>
      <w:pPr>
        <w:jc w:val="both"/>
        <w:ind w:firstLine="630"/>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Insolvent</w:t>
      </w:r>
      <w:r>
        <w:rPr>
          <w:rFonts w:ascii="Arial" w:cs="Arial" w:eastAsia="Arial" w:hAnsi="Arial"/>
          <w:sz w:val="17"/>
          <w:szCs w:val="17"/>
          <w:color w:val="auto"/>
        </w:rPr>
        <w:t>” means, with respect to any Person, that (i) the fair value of assets is less than the amount that will be required to pay the total liability on existing debts as they become absolute and matured, (ii) the present fair saleable value of assets is less than the amount that will be required to pay the probable liability on existing debts as they become absolute and matured, (iii) it is unable to pay its debts or other obligations as they generally become due, (iv) it ceases to pay its current obligations in the ordinary course of business as they generally become absolute and matured, or (v) its aggregate property is not, at a fair valuation, sufficient, or if disposed of at a fairly conducted sale under legal process, would not be, sufficient to enable payment of all obligations, due and accruing due. The term “debts” as used in this definition includes any legal liability, whether matured or unmatured, liquidated or unliquidated, absolute, fixed or contingent and “values of assets” shall mean the amount of which the assets (both tangible and intangible) in their entirety would change hands between a willing buyer and a willing seller, with a commercially reasonable period of time, each having reasonable knowledge of the relevant facts, with neither being under compulsion to act.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has the meaning assigned to such term in the Collateral Agreement.</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Coverage Ratio</w:t>
      </w:r>
      <w:r>
        <w:rPr>
          <w:rFonts w:ascii="Arial" w:cs="Arial" w:eastAsia="Arial" w:hAnsi="Arial"/>
          <w:sz w:val="19"/>
          <w:szCs w:val="19"/>
          <w:color w:val="auto"/>
        </w:rPr>
        <w:t>” means, the ratio of (a) Consolidated EBITDA for any Test Period to (b) Consolidated Interest Expense for such Test Period.</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Election Request</w:t>
      </w:r>
      <w:r>
        <w:rPr>
          <w:rFonts w:ascii="Arial" w:cs="Arial" w:eastAsia="Arial" w:hAnsi="Arial"/>
          <w:sz w:val="19"/>
          <w:szCs w:val="19"/>
          <w:color w:val="auto"/>
        </w:rPr>
        <w:t>” means a request by the Borrower to convert or continue a borrowing under an Incremental Revolving Facility, a Revolving Borrowing or a Term Borrowing in accordance with Section 2.05.</w:t>
      </w:r>
    </w:p>
    <w:p>
      <w:pPr>
        <w:spacing w:after="0" w:line="145"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Payment Date</w:t>
      </w:r>
      <w:r>
        <w:rPr>
          <w:rFonts w:ascii="Arial" w:cs="Arial" w:eastAsia="Arial" w:hAnsi="Arial"/>
          <w:sz w:val="19"/>
          <w:szCs w:val="19"/>
          <w:color w:val="auto"/>
        </w:rPr>
        <w:t xml:space="preserve">” means (a) with respect to any ABR Loan, the last Business Day of each March, June, September and December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Effective Date shall be an Interest Payment Date with respect to all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u w:val="single" w:color="auto"/>
          <w:color w:val="0000FF"/>
        </w:rPr>
        <w:t>B-1</w:t>
      </w:r>
      <w:r>
        <w:rPr>
          <w:rFonts w:ascii="Arial" w:cs="Arial" w:eastAsia="Arial" w:hAnsi="Arial"/>
          <w:sz w:val="19"/>
          <w:szCs w:val="19"/>
          <w:color w:val="auto"/>
        </w:rPr>
        <w:t xml:space="preserve"> Loans outstanding on such date immediately prior to the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Effective Date.</w:t>
      </w:r>
    </w:p>
    <w:p>
      <w:pPr>
        <w:spacing w:after="0" w:line="172"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xml:space="preserve">” means, with respect to any Eurodollar Borrowing, the period commencing on the date such Borrowing is disbursed or converted to or continued as a Eurodollar Borrowing and ending on the date that is one, two, three or six months thereafter as selected by the Borrower in its Borrowing Request (or, to the extent set forth in Section 2.01(b) or otherwise agreed to by each Lender participating therein, twelve months or such other period less than one month thereafter as the Borrower may elect);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and (c) no Interest Period shall extend beyond (i) in the case of Term B-</w:t>
      </w:r>
      <w:r>
        <w:rPr>
          <w:rFonts w:ascii="Arial" w:cs="Arial" w:eastAsia="Arial" w:hAnsi="Arial"/>
          <w:sz w:val="17"/>
          <w:szCs w:val="17"/>
          <w:color w:val="FF0000"/>
          <w:strike w:val="1"/>
        </w:rPr>
        <w:t>1</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Loans, the Term Maturity Date, and (ii) in the case of Revolving Loans, the Revolving Maturity Date (or other applicable maturity date). For purposes hereof, the date of a Borrowing initially shall be the date on which such Borrowing is made and thereafter shall be the effective date of the most recent conversion or continuation of such Borrowing.</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Intermediate Parent</w:t>
      </w:r>
      <w:r>
        <w:rPr>
          <w:rFonts w:ascii="Arial" w:cs="Arial" w:eastAsia="Arial" w:hAnsi="Arial"/>
          <w:sz w:val="19"/>
          <w:szCs w:val="19"/>
          <w:color w:val="auto"/>
        </w:rPr>
        <w:t>” means any Subsidiary of Holdings and of which the Borrower is a Subsidiary.</w:t>
      </w:r>
    </w:p>
    <w:p>
      <w:pPr>
        <w:spacing w:after="0" w:line="215" w:lineRule="exact"/>
        <w:rPr>
          <w:sz w:val="20"/>
          <w:szCs w:val="20"/>
          <w:color w:val="auto"/>
        </w:rPr>
      </w:pPr>
    </w:p>
    <w:p>
      <w:pPr>
        <w:jc w:val="both"/>
        <w:ind w:firstLine="63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Interpolated Rate</w:t>
      </w:r>
      <w:r>
        <w:rPr>
          <w:rFonts w:ascii="Arial" w:cs="Arial" w:eastAsia="Arial" w:hAnsi="Arial"/>
          <w:sz w:val="17"/>
          <w:szCs w:val="17"/>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w:t>
      </w:r>
    </w:p>
    <w:p>
      <w:pPr>
        <w:sectPr>
          <w:pgSz w:w="11900" w:h="16838" w:orient="portrait"/>
          <w:cols w:equalWidth="0" w:num="1">
            <w:col w:w="11420"/>
          </w:cols>
          <w:pgMar w:left="240" w:top="118" w:right="239" w:bottom="0" w:gutter="0" w:footer="0" w:header="0"/>
        </w:sectPr>
      </w:pPr>
    </w:p>
    <w:bookmarkStart w:id="113" w:name="page114"/>
    <w:bookmarkEnd w:id="113"/>
    <w:p>
      <w:pPr>
        <w:jc w:val="both"/>
        <w:spacing w:after="0" w:line="275" w:lineRule="auto"/>
        <w:rPr>
          <w:sz w:val="20"/>
          <w:szCs w:val="20"/>
          <w:color w:val="auto"/>
        </w:rPr>
      </w:pPr>
      <w:r>
        <w:rPr>
          <w:rFonts w:ascii="Arial" w:cs="Arial" w:eastAsia="Arial" w:hAnsi="Arial"/>
          <w:sz w:val="19"/>
          <w:szCs w:val="19"/>
          <w:color w:val="auto"/>
        </w:rPr>
        <w:t>Rate is available that is shorter than the Impacted Interest Period and (b) the LIBO Screen Rate for the shortest period for which the LIBO Screen Rate is available that exceeds the Impacted Interest Period, in each case, at such time.</w:t>
      </w:r>
    </w:p>
    <w:p>
      <w:pPr>
        <w:spacing w:after="0" w:line="151" w:lineRule="exact"/>
        <w:rPr>
          <w:sz w:val="20"/>
          <w:szCs w:val="20"/>
          <w:color w:val="auto"/>
        </w:rPr>
      </w:pPr>
    </w:p>
    <w:p>
      <w:pPr>
        <w:jc w:val="both"/>
        <w:ind w:firstLine="63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7"/>
          <w:szCs w:val="17"/>
          <w:i w:val="1"/>
          <w:iCs w:val="1"/>
          <w:color w:val="auto"/>
        </w:rPr>
        <w:t>minus</w:t>
      </w:r>
      <w:r>
        <w:rPr>
          <w:rFonts w:ascii="Arial" w:cs="Arial" w:eastAsia="Arial" w:hAnsi="Arial"/>
          <w:sz w:val="17"/>
          <w:szCs w:val="17"/>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7"/>
          <w:szCs w:val="17"/>
          <w:i w:val="1"/>
          <w:iCs w:val="1"/>
          <w:color w:val="auto"/>
        </w:rPr>
        <w:t>plus</w:t>
      </w:r>
      <w:r>
        <w:rPr>
          <w:rFonts w:ascii="Arial" w:cs="Arial" w:eastAsia="Arial" w:hAnsi="Arial"/>
          <w:sz w:val="17"/>
          <w:szCs w:val="17"/>
          <w:color w:val="auto"/>
        </w:rPr>
        <w:t xml:space="preserve"> (i) the cost of all additions thereto and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pending the final determination of the amounts to be so allocated in accordance with GAAP, such allocation shall be as reasonably determined by a Financial Officer.</w:t>
      </w:r>
    </w:p>
    <w:p>
      <w:pPr>
        <w:spacing w:after="0" w:line="389" w:lineRule="exact"/>
        <w:rPr>
          <w:sz w:val="20"/>
          <w:szCs w:val="20"/>
          <w:color w:val="auto"/>
        </w:rPr>
      </w:pPr>
    </w:p>
    <w:p>
      <w:pPr>
        <w:jc w:val="both"/>
        <w:ind w:firstLine="63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Issuing Bank</w:t>
      </w:r>
      <w:r>
        <w:rPr>
          <w:rFonts w:ascii="Arial" w:cs="Arial" w:eastAsia="Arial" w:hAnsi="Arial"/>
          <w:sz w:val="17"/>
          <w:szCs w:val="17"/>
          <w:color w:val="auto"/>
        </w:rPr>
        <w:t>” means each of (a) JPMorgan Chase Bank, N.A. and (b) each Revolving Lender that shall have become an Issuing Bank hereunder as provided in Section 2.22(i) (other than any Person that shall have ceased to be an Issuing Bank as provided in Section 2.22(j)), in each case in its capacity as an issuer of Letters of Credit hereunder. Each reference herein to the “Issuing Bank” shall be deemed to be a reference to the relevant Issuing Bank.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40" w:lineRule="exact"/>
        <w:rPr>
          <w:sz w:val="20"/>
          <w:szCs w:val="20"/>
          <w:color w:val="auto"/>
        </w:rPr>
      </w:pPr>
    </w:p>
    <w:p>
      <w:pPr>
        <w:jc w:val="both"/>
        <w:ind w:firstLine="630"/>
        <w:spacing w:after="0" w:line="34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Junior Financing</w:t>
      </w:r>
      <w:r>
        <w:rPr>
          <w:rFonts w:ascii="Arial" w:cs="Arial" w:eastAsia="Arial" w:hAnsi="Arial"/>
          <w:sz w:val="17"/>
          <w:szCs w:val="17"/>
          <w:color w:val="auto"/>
        </w:rPr>
        <w:t>” means the Second Lien Notes, any Subordinated Indebtedness and any Permitted Refinancing in respect of any of the foregoing owing by Holdings or a Restricted Subsidiary (other than intercompany Indebtedness owing to Holdings or a Restricted Subsidiary).</w:t>
      </w:r>
    </w:p>
    <w:p>
      <w:pPr>
        <w:spacing w:after="0" w:line="99"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Lien Intercreditor Agreement</w:t>
      </w:r>
      <w:r>
        <w:rPr>
          <w:rFonts w:ascii="Arial" w:cs="Arial" w:eastAsia="Arial" w:hAnsi="Arial"/>
          <w:sz w:val="19"/>
          <w:szCs w:val="19"/>
          <w:color w:val="auto"/>
        </w:rPr>
        <w:t>” means the Junior Lien Intercreditor Agreement substantially in the form of Exhibit F-2 among the Administrative Agent and one or more Senior Representatives for holders of Second Lien Notes, Permitted Junior Lien Refinancing Debt, any junior Lien secured Indebtedness incurred pursuant to Section 6.01(a)(viii) or any junior Lien secured Additional Notes issued pursuant to Section 6.01(a)(xxii), with such modifications thereto as the Administrative Agent may reasonably agree.</w:t>
      </w:r>
    </w:p>
    <w:p>
      <w:pPr>
        <w:spacing w:after="0" w:line="167"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KCG</w:t>
      </w:r>
      <w:r>
        <w:rPr>
          <w:rFonts w:ascii="Arial" w:cs="Arial" w:eastAsia="Arial" w:hAnsi="Arial"/>
          <w:sz w:val="19"/>
          <w:szCs w:val="19"/>
          <w:color w:val="auto"/>
        </w:rPr>
        <w:t>” means (a) KCG Holdings, Inc., a Delaware corporation, and (b) following the merger contemplated by Merger and Contribution pursuant to which KCG shall be the surviving Person, and its conversion into a Delaware limited liability company, KCG Holdings LLC, a Delaware limited liability company.</w:t>
      </w:r>
    </w:p>
    <w:p>
      <w:pPr>
        <w:spacing w:after="0" w:line="161"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KCG Refinancing</w:t>
      </w:r>
      <w:r>
        <w:rPr>
          <w:rFonts w:ascii="Arial" w:cs="Arial" w:eastAsia="Arial" w:hAnsi="Arial"/>
          <w:sz w:val="19"/>
          <w:szCs w:val="19"/>
          <w:color w:val="auto"/>
        </w:rPr>
        <w:t>” means the repayment in full of all outstanding amounts under (i) that certain Indenture, dated of as March 31, 2015, among KCG, certain of its subsidiaries and The Bank of New York Mellon and (ii) that certain Credit Agreement, dared as of June 5, 2015, among KCG Americas LLC, certain of its subsidiaries and BMO Harris Bank N.A., the termination of all commitments thereunder and the release of all security interests with respect thereto.</w:t>
      </w:r>
    </w:p>
    <w:p>
      <w:pPr>
        <w:spacing w:after="0" w:line="167"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Maturity Date</w:t>
      </w:r>
      <w:r>
        <w:rPr>
          <w:rFonts w:ascii="Arial" w:cs="Arial" w:eastAsia="Arial" w:hAnsi="Arial"/>
          <w:sz w:val="18"/>
          <w:szCs w:val="18"/>
          <w:color w:val="auto"/>
        </w:rPr>
        <w:t>”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Cash Collateral Account</w:t>
      </w:r>
      <w:r>
        <w:rPr>
          <w:rFonts w:ascii="Arial" w:cs="Arial" w:eastAsia="Arial" w:hAnsi="Arial"/>
          <w:sz w:val="19"/>
          <w:szCs w:val="19"/>
          <w:color w:val="auto"/>
        </w:rPr>
        <w:t>” has the meaning assigned to such term in Section 2.22.</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Commitment</w:t>
      </w:r>
      <w:r>
        <w:rPr>
          <w:rFonts w:ascii="Arial" w:cs="Arial" w:eastAsia="Arial" w:hAnsi="Arial"/>
          <w:sz w:val="19"/>
          <w:szCs w:val="19"/>
          <w:color w:val="auto"/>
        </w:rPr>
        <w:t>” means $5,000,000.</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Disbursement</w:t>
      </w:r>
      <w:r>
        <w:rPr>
          <w:rFonts w:ascii="Arial" w:cs="Arial" w:eastAsia="Arial" w:hAnsi="Arial"/>
          <w:sz w:val="19"/>
          <w:szCs w:val="19"/>
          <w:color w:val="auto"/>
        </w:rPr>
        <w:t>” means a payment made by an Issuing Bank pursuant to a Letter of Credit.</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Exposure</w:t>
      </w:r>
      <w:r>
        <w:rPr>
          <w:rFonts w:ascii="Arial" w:cs="Arial" w:eastAsia="Arial" w:hAnsi="Arial"/>
          <w:sz w:val="19"/>
          <w:szCs w:val="19"/>
          <w:color w:val="auto"/>
        </w:rPr>
        <w:t>” means, at any time, the total LC Obligations. The LC Exposure of any Revolving Lender at any time shall be its Applicable Percentage of the aggregate LC Exposure at such time.</w:t>
      </w:r>
    </w:p>
    <w:p>
      <w:pPr>
        <w:spacing w:after="0" w:line="145" w:lineRule="exact"/>
        <w:rPr>
          <w:sz w:val="20"/>
          <w:szCs w:val="20"/>
          <w:color w:val="auto"/>
        </w:rPr>
      </w:pPr>
    </w:p>
    <w:p>
      <w:pPr>
        <w:jc w:val="both"/>
        <w:ind w:firstLine="63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Obligations</w:t>
      </w:r>
      <w:r>
        <w:rPr>
          <w:rFonts w:ascii="Arial" w:cs="Arial" w:eastAsia="Arial" w:hAnsi="Arial"/>
          <w:sz w:val="17"/>
          <w:szCs w:val="17"/>
          <w:color w:val="auto"/>
        </w:rPr>
        <w:t>” means, at any time, an amount equal to the sum of (a) the aggregate then undrawn and unexpired amount of the then outstanding Letters of Credit and (b) the aggregate amount of drawings under Letters of Credit that have not then been reimbursed pursuant to Section 2.22. For all purposes of this Agreement, if on any date of determination a Letter of 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 provided that with respect to any Letter of Credit that, by its terms or the terms of any document related thereto, provides for one or more automatic increases in the stated amount thereof, the</w:t>
      </w:r>
    </w:p>
    <w:p>
      <w:pPr>
        <w:sectPr>
          <w:pgSz w:w="11900" w:h="16838" w:orient="portrait"/>
          <w:cols w:equalWidth="0" w:num="1">
            <w:col w:w="11420"/>
          </w:cols>
          <w:pgMar w:left="240" w:top="122" w:right="239" w:bottom="0" w:gutter="0" w:footer="0" w:header="0"/>
        </w:sectPr>
      </w:pPr>
    </w:p>
    <w:bookmarkStart w:id="114" w:name="page115"/>
    <w:bookmarkEnd w:id="114"/>
    <w:p>
      <w:pPr>
        <w:jc w:val="both"/>
        <w:spacing w:after="0" w:line="275" w:lineRule="auto"/>
        <w:rPr>
          <w:sz w:val="20"/>
          <w:szCs w:val="20"/>
          <w:color w:val="auto"/>
        </w:rPr>
      </w:pPr>
      <w:r>
        <w:rPr>
          <w:rFonts w:ascii="Arial" w:cs="Arial" w:eastAsia="Arial" w:hAnsi="Arial"/>
          <w:sz w:val="19"/>
          <w:szCs w:val="19"/>
          <w:color w:val="auto"/>
        </w:rPr>
        <w:t>amount of such Letter of Credit shall be deemed to be the maximum stated amount of such Letter of Credit after giving effect to all such increases, whether or not such maximum stated amount is in effect at such time.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Participants</w:t>
      </w:r>
      <w:r>
        <w:rPr>
          <w:rFonts w:ascii="Arial" w:cs="Arial" w:eastAsia="Arial" w:hAnsi="Arial"/>
          <w:sz w:val="19"/>
          <w:szCs w:val="19"/>
          <w:color w:val="auto"/>
        </w:rPr>
        <w:t>” means the collective reference to all the Revolving Lenders other than the Issuing Bank.</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Lead Arranger</w:t>
      </w:r>
      <w:r>
        <w:rPr>
          <w:rFonts w:ascii="Arial" w:cs="Arial" w:eastAsia="Arial" w:hAnsi="Arial"/>
          <w:sz w:val="19"/>
          <w:szCs w:val="19"/>
          <w:color w:val="auto"/>
        </w:rPr>
        <w:t>” means JPMorgan Chase Bank, N.A.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 Parent</w:t>
      </w:r>
      <w:r>
        <w:rPr>
          <w:rFonts w:ascii="Arial" w:cs="Arial" w:eastAsia="Arial" w:hAnsi="Arial"/>
          <w:sz w:val="19"/>
          <w:szCs w:val="19"/>
          <w:color w:val="auto"/>
        </w:rPr>
        <w:t>” means, with respect to any Lender, any Person as to which such Lender is, directly or indirectly, a Subsidiary.</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Lenders</w:t>
      </w:r>
      <w:r>
        <w:rPr>
          <w:rFonts w:ascii="Arial" w:cs="Arial" w:eastAsia="Arial" w:hAnsi="Arial"/>
          <w:sz w:val="19"/>
          <w:szCs w:val="19"/>
          <w:color w:val="auto"/>
        </w:rPr>
        <w:t>” means the Persons listed on Schedule 2.01, each Converting Term Lender and any other Person that shall have become a party hereto (as a lender) pursuant to an Assignment and Assumption, an Incremental Revolving Facility Amendment, an Incremental Term Facility Amendment, a Refinancing Amendment or the Escrow Assumption, in each case, other than any such Person that ceases to be a party hereto pursuant to an Assignment and Assumption.</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Letters of Credit</w:t>
      </w:r>
      <w:r>
        <w:rPr>
          <w:rFonts w:ascii="Arial" w:cs="Arial" w:eastAsia="Arial" w:hAnsi="Arial"/>
          <w:sz w:val="19"/>
          <w:szCs w:val="19"/>
          <w:color w:val="auto"/>
        </w:rPr>
        <w:t>” has the meaning assigned to such term in Section 2.22(a).</w:t>
      </w:r>
    </w:p>
    <w:p>
      <w:pPr>
        <w:spacing w:after="0" w:line="215" w:lineRule="exact"/>
        <w:rPr>
          <w:sz w:val="20"/>
          <w:szCs w:val="20"/>
          <w:color w:val="auto"/>
        </w:rPr>
      </w:pPr>
    </w:p>
    <w:p>
      <w:pPr>
        <w:jc w:val="both"/>
        <w:ind w:firstLine="63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Rate</w:t>
      </w:r>
      <w:r>
        <w:rPr>
          <w:rFonts w:ascii="Arial" w:cs="Arial" w:eastAsia="Arial" w:hAnsi="Arial"/>
          <w:sz w:val="18"/>
          <w:szCs w:val="18"/>
          <w:color w:val="auto"/>
        </w:rPr>
        <w:t>” means, with respect to any Eurodollar Borrowing for any Interest Period, the rate per annum equal to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18"/>
          <w:szCs w:val="18"/>
          <w:b w:val="1"/>
          <w:bCs w:val="1"/>
          <w:color w:val="auto"/>
        </w:rPr>
        <w:t>LIBOR Screen Rate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LIBO Screen Rate determined pursuant to this definition would be less than zero, such rate shall be deemed to be zero for the purposes of this Agreement) at approximately 11:00 a.m., London time, two Business Days prior to the commencement of such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LIBO Screen Rate shall not be available at such time for such Interest Period (an “</w:t>
      </w:r>
      <w:r>
        <w:rPr>
          <w:rFonts w:ascii="Arial" w:cs="Arial" w:eastAsia="Arial" w:hAnsi="Arial"/>
          <w:sz w:val="18"/>
          <w:szCs w:val="18"/>
          <w:b w:val="1"/>
          <w:bCs w:val="1"/>
          <w:color w:val="auto"/>
        </w:rPr>
        <w:t>Impacted Interest Period</w:t>
      </w:r>
      <w:r>
        <w:rPr>
          <w:rFonts w:ascii="Arial" w:cs="Arial" w:eastAsia="Arial" w:hAnsi="Arial"/>
          <w:sz w:val="18"/>
          <w:szCs w:val="18"/>
          <w:color w:val="auto"/>
        </w:rPr>
        <w:t>”), then the LIBO Rate shall be the Interpolated Rate comparable to such period as of approximately 11:00 a.m., London time, on such date.</w:t>
      </w:r>
    </w:p>
    <w:p>
      <w:pPr>
        <w:spacing w:after="0" w:line="170" w:lineRule="exact"/>
        <w:rPr>
          <w:sz w:val="20"/>
          <w:szCs w:val="20"/>
          <w:color w:val="auto"/>
        </w:rPr>
      </w:pPr>
    </w:p>
    <w:p>
      <w:pPr>
        <w:jc w:val="both"/>
        <w:ind w:firstLine="630"/>
        <w:spacing w:after="0" w:line="273" w:lineRule="auto"/>
        <w:rPr>
          <w:sz w:val="20"/>
          <w:szCs w:val="20"/>
          <w:color w:val="auto"/>
        </w:rPr>
      </w:pPr>
      <w:r>
        <w:rPr>
          <w:rFonts w:ascii="Arial" w:cs="Arial" w:eastAsia="Arial" w:hAnsi="Arial"/>
          <w:sz w:val="18"/>
          <w:szCs w:val="18"/>
          <w:color w:val="auto"/>
        </w:rPr>
        <w:t>Notwithstanding the foregoing, (i) solely with respect to the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Loans, the LIBO Rate with respect to any applicable Interest Period will be deemed to be 1.00% per annum if the LIBO Rate for such Interest Period determined pursuant to this definition would otherwise be less than 1.00% per annum and (ii) solely with respect to Revolving Loans, the LIBO Rate with respect to any applicable Interest Period will be deemed to be zero if the LIBO Rate for such Interest Period determined pursuant to this definition would otherwise be less than zero.</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LIBOR Screen Rate</w:t>
      </w:r>
      <w:r>
        <w:rPr>
          <w:rFonts w:ascii="Arial" w:cs="Arial" w:eastAsia="Arial" w:hAnsi="Arial"/>
          <w:sz w:val="19"/>
          <w:szCs w:val="19"/>
          <w:color w:val="auto"/>
        </w:rPr>
        <w:t>” shall have the meaning set forth in the definition of “LIBO Rate.”</w:t>
      </w:r>
    </w:p>
    <w:p>
      <w:pPr>
        <w:spacing w:after="0" w:line="215"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Document Obligations</w:t>
      </w:r>
      <w:r>
        <w:rPr>
          <w:rFonts w:ascii="Arial" w:cs="Arial" w:eastAsia="Arial" w:hAnsi="Arial"/>
          <w:sz w:val="19"/>
          <w:szCs w:val="19"/>
          <w:color w:val="auto"/>
        </w:rPr>
        <w:t>” has the meaning assigned to such term in the Collateral Agreement.</w:t>
      </w:r>
    </w:p>
    <w:p>
      <w:pPr>
        <w:spacing w:after="0" w:line="215"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Documents</w:t>
      </w:r>
      <w:r>
        <w:rPr>
          <w:rFonts w:ascii="Arial" w:cs="Arial" w:eastAsia="Arial" w:hAnsi="Arial"/>
          <w:sz w:val="19"/>
          <w:szCs w:val="19"/>
          <w:color w:val="auto"/>
        </w:rPr>
        <w:t>” means the Restatement Agreement, the Agency Transfer Agreement, this Agreement, any Refinancing Amendment, the Guarantee Agreement, the Collateral Agreement, the other Security Documents, any Reaffirmation Agreement, the First Lien Intercreditor Agreement, the Junior Lien Intercreditor Agreement, any promissory notes delivered pursuant to Section 2.07(e) (except for purposes of Section 9.02), Amendment No. 1</w:t>
      </w:r>
      <w:r>
        <w:rPr>
          <w:rFonts w:ascii="Arial" w:cs="Arial" w:eastAsia="Arial" w:hAnsi="Arial"/>
          <w:sz w:val="19"/>
          <w:szCs w:val="19"/>
          <w:u w:val="single" w:color="auto"/>
          <w:color w:val="0000FF"/>
        </w:rPr>
        <w:t>, Amendment No. 2</w:t>
      </w:r>
      <w:r>
        <w:rPr>
          <w:rFonts w:ascii="Arial" w:cs="Arial" w:eastAsia="Arial" w:hAnsi="Arial"/>
          <w:sz w:val="19"/>
          <w:szCs w:val="19"/>
          <w:color w:val="auto"/>
        </w:rPr>
        <w:t xml:space="preserve"> and any other agreement, document or instrument to which any Loan Party is a party and which is designated as a Loan Document.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Parties</w:t>
      </w:r>
      <w:r>
        <w:rPr>
          <w:rFonts w:ascii="Arial" w:cs="Arial" w:eastAsia="Arial" w:hAnsi="Arial"/>
          <w:sz w:val="19"/>
          <w:szCs w:val="19"/>
          <w:color w:val="auto"/>
        </w:rPr>
        <w:t>” means Holdings, any Intermediate Parent, the Borrower and the Subsidiary Loan Parties.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Loans</w:t>
      </w:r>
      <w:r>
        <w:rPr>
          <w:rFonts w:ascii="Arial" w:cs="Arial" w:eastAsia="Arial" w:hAnsi="Arial"/>
          <w:sz w:val="19"/>
          <w:szCs w:val="19"/>
          <w:color w:val="auto"/>
        </w:rPr>
        <w:t>” means the loans made by the Lenders to the Borrower pursuant to this Agreement.</w:t>
      </w:r>
    </w:p>
    <w:p>
      <w:pPr>
        <w:spacing w:after="0" w:line="215" w:lineRule="exact"/>
        <w:rPr>
          <w:sz w:val="20"/>
          <w:szCs w:val="20"/>
          <w:color w:val="auto"/>
        </w:rPr>
      </w:pPr>
    </w:p>
    <w:p>
      <w:pPr>
        <w:jc w:val="both"/>
        <w:ind w:firstLine="63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in Interest,</w:t>
      </w:r>
      <w:r>
        <w:rPr>
          <w:rFonts w:ascii="Arial" w:cs="Arial" w:eastAsia="Arial" w:hAnsi="Arial"/>
          <w:sz w:val="18"/>
          <w:szCs w:val="18"/>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aggregate unused Revolving Commitments at such time and (b) in the case of the Term Lenders of any Class, Lenders holding outstanding Term Loans of such Class representing more than 50% of all Term Loans of such Class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Loans, Revolving Exposures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the Majority in Interest.</w:t>
      </w:r>
    </w:p>
    <w:p>
      <w:pPr>
        <w:spacing w:after="0" w:line="160"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any event, circumstance or condition that has had, or would reasonably be expected to have, a materially adverse effect on (a) the business, financial condition or results of operations of Holdings and its Restricted Subsidiaries, taken as a whole, (b) the ability of the Borrower and the other Loan Parties, taken as a whole, to perform their payment obligations under the Loan Documents or (c) the rights and remedies of the Administrative Agent and the Lenders under the Loan Documents.</w:t>
      </w:r>
    </w:p>
    <w:p>
      <w:pPr>
        <w:spacing w:after="0" w:line="167"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Indebtedness</w:t>
      </w:r>
      <w:r>
        <w:rPr>
          <w:rFonts w:ascii="Arial" w:cs="Arial" w:eastAsia="Arial" w:hAnsi="Arial"/>
          <w:sz w:val="19"/>
          <w:szCs w:val="19"/>
          <w:color w:val="auto"/>
        </w:rPr>
        <w:t>” means Indebtedness (other than the Loan Document Obligations), or obligations in respect of one or more Swap Agreements, of any one or more of Holdings and the Restricted Subsidiaries in an aggregate principal amount exceeding $40,000,000. For purposes of determining Material Indebtedness, the “principal amount” of the obligations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169" w:lineRule="exact"/>
        <w:rPr>
          <w:sz w:val="20"/>
          <w:szCs w:val="20"/>
          <w:color w:val="auto"/>
        </w:rPr>
      </w:pPr>
    </w:p>
    <w:p>
      <w:pPr>
        <w:jc w:val="both"/>
        <w:ind w:firstLine="63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Subsidiary</w:t>
      </w:r>
      <w:r>
        <w:rPr>
          <w:rFonts w:ascii="Arial" w:cs="Arial" w:eastAsia="Arial" w:hAnsi="Arial"/>
          <w:sz w:val="17"/>
          <w:szCs w:val="17"/>
          <w:color w:val="auto"/>
        </w:rPr>
        <w:t xml:space="preserve">” means (i) each Wholly Owned Restricted Subsidiary that, as of the last day of the fiscal quarter of Holdings most recently ended, had revenues or total assets for such quarter in excess of 2.5% of the consolidated revenues or total assets, as applicable, of Holdings for such quarter and (ii) any group comprising Wholly Owned Restricted Subsidiaries that each would not have been a Material Subsidiary under clause (i) but that, taken together, as of the last day of the fiscal quarter of Holdings most recently ended, had revenues or total assets for such quarter in excess of 5% of the consolidated revenues or total assets, as applicable, of Holdings for such quarter;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w:t>
      </w:r>
    </w:p>
    <w:p>
      <w:pPr>
        <w:sectPr>
          <w:pgSz w:w="11900" w:h="16838" w:orient="portrait"/>
          <w:cols w:equalWidth="0" w:num="1">
            <w:col w:w="11420"/>
          </w:cols>
          <w:pgMar w:left="240" w:top="121" w:right="239" w:bottom="0" w:gutter="0" w:footer="0" w:header="0"/>
        </w:sectPr>
      </w:pPr>
    </w:p>
    <w:bookmarkStart w:id="115" w:name="page116"/>
    <w:bookmarkEnd w:id="115"/>
    <w:p>
      <w:pPr>
        <w:spacing w:after="0" w:line="6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for purposes of Sections 7.01(h) and (i) each such Subsidiary forming part of such group is subject to an Event of Default under one or more of such Sections.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Maximum Rate</w:t>
      </w:r>
      <w:r>
        <w:rPr>
          <w:rFonts w:ascii="Arial" w:cs="Arial" w:eastAsia="Arial" w:hAnsi="Arial"/>
          <w:sz w:val="19"/>
          <w:szCs w:val="19"/>
          <w:color w:val="auto"/>
        </w:rPr>
        <w:t>” has the meaning assigned to such term in Section 9.16.</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Merger Agreement</w:t>
      </w:r>
      <w:r>
        <w:rPr>
          <w:rFonts w:ascii="Arial" w:cs="Arial" w:eastAsia="Arial" w:hAnsi="Arial"/>
          <w:sz w:val="19"/>
          <w:szCs w:val="19"/>
          <w:color w:val="auto"/>
        </w:rPr>
        <w:t>” means that certain Agreement and Plan of Merger and Contribution, dated as of April 20, 2017, among Virtu Financial, Inc., Merger Sub and KCG.</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Merger and Contribution</w:t>
      </w:r>
      <w:r>
        <w:rPr>
          <w:rFonts w:ascii="Arial" w:cs="Arial" w:eastAsia="Arial" w:hAnsi="Arial"/>
          <w:sz w:val="19"/>
          <w:szCs w:val="19"/>
          <w:color w:val="auto"/>
        </w:rPr>
        <w:t>” means the merger of Merger Sub with and into KCG, with KCG surviving such merger, followed by the immediate series of contributions of the Escrow Borrower and its Subsidiaries (including KCG) to Holdings and then to the Borrower and then to Virtu Financial Operating LLC, resulting in KCG becoming an indirect, wholly owned subsidiary of the Borrower.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Merger Sub</w:t>
      </w:r>
      <w:r>
        <w:rPr>
          <w:rFonts w:ascii="Arial" w:cs="Arial" w:eastAsia="Arial" w:hAnsi="Arial"/>
          <w:sz w:val="19"/>
          <w:szCs w:val="19"/>
          <w:color w:val="auto"/>
        </w:rPr>
        <w:t>” means Orchestra Merger Sub, Inc., a Delaware corporation.</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Moody’s</w:t>
      </w:r>
      <w:r>
        <w:rPr>
          <w:rFonts w:ascii="Arial" w:cs="Arial" w:eastAsia="Arial" w:hAnsi="Arial"/>
          <w:sz w:val="19"/>
          <w:szCs w:val="19"/>
          <w:color w:val="auto"/>
        </w:rPr>
        <w:t>” means Moody’s Investors Service, Inc. and any successor to its rating agency business.</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Mortgage</w:t>
      </w:r>
      <w:r>
        <w:rPr>
          <w:rFonts w:ascii="Arial" w:cs="Arial" w:eastAsia="Arial" w:hAnsi="Arial"/>
          <w:sz w:val="19"/>
          <w:szCs w:val="19"/>
          <w:color w:val="auto"/>
        </w:rPr>
        <w:t>” means a mortgage, deed of trust, assignment of leases and rents, leasehold mortgage or other security document granting a Lien on any Mortgaged Property to secure the Secured Obligations. Each Mortgage shall be in form and substance reasonably satisfactory to the Administrative Agent and the Borrower.</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Mortgaged Property</w:t>
      </w:r>
      <w:r>
        <w:rPr>
          <w:rFonts w:ascii="Arial" w:cs="Arial" w:eastAsia="Arial" w:hAnsi="Arial"/>
          <w:sz w:val="19"/>
          <w:szCs w:val="19"/>
          <w:color w:val="auto"/>
        </w:rPr>
        <w:t>” means each parcel of real property and the improvements thereto owned by a Loan Party with respect to which a Mortgage is granted pursuant to Section 5.11 or Section 5.12.</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Multiemployer Plan</w:t>
      </w:r>
      <w:r>
        <w:rPr>
          <w:rFonts w:ascii="Arial" w:cs="Arial" w:eastAsia="Arial" w:hAnsi="Arial"/>
          <w:sz w:val="19"/>
          <w:szCs w:val="19"/>
          <w:color w:val="auto"/>
        </w:rPr>
        <w:t>” means a multiemployer plan as defined in Section 4001(a)(3) of ERISA.</w:t>
      </w:r>
    </w:p>
    <w:p>
      <w:pPr>
        <w:spacing w:after="0" w:line="215"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Proceeds</w:t>
      </w:r>
      <w:r>
        <w:rPr>
          <w:rFonts w:ascii="Arial" w:cs="Arial" w:eastAsia="Arial" w:hAnsi="Arial"/>
          <w:sz w:val="17"/>
          <w:szCs w:val="17"/>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and (iii) in the case of a condemnation or similar event, condemnation awards and similar payments,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of (i) all fees and out-of-pocket expenses paid by Holdings, any Intermediate Parent,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any Permitted First Priority Refinancing Debt, any Permitted Junior Lien Refinancing Debt, any Second Lien Notes, any secured Indebtedness incurred pursuant to Section 6.01(a)(viii) or any secured Additional Notes issued pursuant to Section 6.01(a)(xxii))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its Restricted Subsidiaries as a result thereof and</w:t>
      </w:r>
    </w:p>
    <w:p>
      <w:pPr>
        <w:spacing w:after="0" w:line="9" w:lineRule="exact"/>
        <w:rPr>
          <w:sz w:val="20"/>
          <w:szCs w:val="20"/>
          <w:color w:val="auto"/>
        </w:rPr>
      </w:pPr>
    </w:p>
    <w:p>
      <w:pPr>
        <w:jc w:val="both"/>
        <w:ind w:firstLine="5"/>
        <w:spacing w:after="0" w:line="263" w:lineRule="auto"/>
        <w:tabs>
          <w:tab w:leader="none" w:pos="2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amount of any liabilities directly associated with such asset and retained by the Borrower or any Restricted Subsidiary and (iii) the amount of all taxes paid (or reasonably estimated to be payable), and the amount of any reserves established by Holdings, any Intermediate Parent, the Borrower and its Restricted Subsidiaries to fund contingent liabilities reasonably estimated to be payable, that are directly attributable to such event,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(x) if the amount of any such estimated taxes exceeds the amount of taxes actually required to be paid in cash in respect of such event,</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amount of such excess shall constitute Net Proceeds at the time such taxes are actually paid and (y) any reduction at any time in the amount of any such reserves (other than as a result of payments made in respect thereof) shall be deemed to constitute the receipt by the Borrower at such time of Net Proceeds in the amount of such reduction.</w:t>
      </w:r>
    </w:p>
    <w:p>
      <w:pPr>
        <w:spacing w:after="0" w:line="162"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color w:val="FF0000"/>
          <w:strike w:val="1"/>
        </w:rPr>
        <w:t>“</w:t>
      </w:r>
      <w:r>
        <w:rPr>
          <w:rFonts w:ascii="Arial" w:cs="Arial" w:eastAsia="Arial" w:hAnsi="Arial"/>
          <w:sz w:val="19"/>
          <w:szCs w:val="19"/>
          <w:b w:val="1"/>
          <w:bCs w:val="1"/>
          <w:color w:val="FF0000"/>
          <w:strike w:val="1"/>
        </w:rPr>
        <w:t>New Term Loans</w:t>
      </w:r>
      <w:r>
        <w:rPr>
          <w:rFonts w:ascii="Arial" w:cs="Arial" w:eastAsia="Arial" w:hAnsi="Arial"/>
          <w:sz w:val="19"/>
          <w:szCs w:val="19"/>
          <w:color w:val="FF0000"/>
          <w:strike w:val="1"/>
        </w:rPr>
        <w:t>” means all term loans (including the Initial Term Loans and the Escrow Term Loans) that are outstanding under this</w:t>
      </w:r>
      <w:r>
        <w:rPr>
          <w:rFonts w:ascii="Arial" w:cs="Arial" w:eastAsia="Arial" w:hAnsi="Arial"/>
          <w:sz w:val="19"/>
          <w:szCs w:val="19"/>
          <w:u w:val="single" w:color="auto"/>
          <w:color w:val="0000FF"/>
        </w:rPr>
        <w:t xml:space="preserve"> </w:t>
      </w:r>
      <w:r>
        <w:rPr>
          <w:rFonts w:ascii="Arial" w:cs="Arial" w:eastAsia="Arial" w:hAnsi="Arial"/>
          <w:sz w:val="19"/>
          <w:szCs w:val="19"/>
          <w:color w:val="FF0000"/>
          <w:strike w:val="1"/>
        </w:rPr>
        <w:t>Agreement immediately prior to the Amendment No. 1 Effective Date.</w:t>
      </w:r>
    </w:p>
    <w:p>
      <w:pPr>
        <w:spacing w:after="0" w:line="145"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color w:val="000000"/>
        </w:rPr>
        <w:t>Non-Cash Charges</w:t>
      </w:r>
      <w:r>
        <w:rPr>
          <w:rFonts w:ascii="Arial" w:cs="Arial" w:eastAsia="Arial" w:hAnsi="Arial"/>
          <w:sz w:val="19"/>
          <w:szCs w:val="19"/>
          <w:color w:val="000000"/>
        </w:rPr>
        <w:t>” means (a) any non-cash impairment charge or asset write-off or write-down related to intangible assets (including</w:t>
      </w:r>
      <w:r>
        <w:rPr>
          <w:rFonts w:ascii="Arial" w:cs="Arial" w:eastAsia="Arial" w:hAnsi="Arial"/>
          <w:sz w:val="19"/>
          <w:szCs w:val="19"/>
          <w:color w:val="FF0000"/>
        </w:rPr>
        <w:t xml:space="preserve"> </w:t>
      </w:r>
      <w:r>
        <w:rPr>
          <w:rFonts w:ascii="Arial" w:cs="Arial" w:eastAsia="Arial" w:hAnsi="Arial"/>
          <w:sz w:val="19"/>
          <w:szCs w:val="19"/>
          <w:color w:val="000000"/>
        </w:rPr>
        <w:t>goodwill), long-lived assets, and Investments in debt and equity securities pursuant to GAAP, (b) all non-cash losses from Investments recorded using the equity method, (c) all Non-Cash Compensation Expenses, (d) the non-cash impact of acquisition method accounting, and (e) other non-cash charges (</w:t>
      </w:r>
      <w:r>
        <w:rPr>
          <w:rFonts w:ascii="Arial" w:cs="Arial" w:eastAsia="Arial" w:hAnsi="Arial"/>
          <w:sz w:val="19"/>
          <w:szCs w:val="19"/>
          <w:i w:val="1"/>
          <w:iCs w:val="1"/>
          <w:color w:val="000000"/>
        </w:rPr>
        <w:t>provided</w:t>
      </w:r>
      <w:r>
        <w:rPr>
          <w:rFonts w:ascii="Arial" w:cs="Arial" w:eastAsia="Arial" w:hAnsi="Arial"/>
          <w:sz w:val="19"/>
          <w:szCs w:val="19"/>
          <w:color w:val="000000"/>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72"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Non-Cash Compensation Expense</w:t>
      </w:r>
      <w:r>
        <w:rPr>
          <w:rFonts w:ascii="Arial" w:cs="Arial" w:eastAsia="Arial" w:hAnsi="Arial"/>
          <w:sz w:val="19"/>
          <w:szCs w:val="19"/>
          <w:color w:val="auto"/>
        </w:rPr>
        <w:t>” means any non-cash expenses and costs that result from the issuance of stock-based awards, partnership interest-based awards and similar incentive based compensation awards or arrangements.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Non-Consenting Lender</w:t>
      </w:r>
      <w:r>
        <w:rPr>
          <w:rFonts w:ascii="Arial" w:cs="Arial" w:eastAsia="Arial" w:hAnsi="Arial"/>
          <w:sz w:val="19"/>
          <w:szCs w:val="19"/>
          <w:color w:val="auto"/>
        </w:rPr>
        <w:t>” has the meaning assigned to such term in Section 9.02(c).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Non-Converted</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B-1</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xml:space="preserve">” means each </w:t>
      </w:r>
      <w:r>
        <w:rPr>
          <w:rFonts w:ascii="Arial" w:cs="Arial" w:eastAsia="Arial" w:hAnsi="Arial"/>
          <w:sz w:val="18"/>
          <w:szCs w:val="18"/>
          <w:color w:val="FF0000"/>
          <w:strike w:val="1"/>
        </w:rPr>
        <w:t>New</w:t>
      </w:r>
      <w:r>
        <w:rPr>
          <w:rFonts w:ascii="Arial" w:cs="Arial" w:eastAsia="Arial" w:hAnsi="Arial"/>
          <w:sz w:val="18"/>
          <w:szCs w:val="18"/>
          <w:color w:val="auto"/>
        </w:rPr>
        <w:t xml:space="preserve"> Term </w:t>
      </w:r>
      <w:r>
        <w:rPr>
          <w:rFonts w:ascii="Arial" w:cs="Arial" w:eastAsia="Arial" w:hAnsi="Arial"/>
          <w:sz w:val="18"/>
          <w:szCs w:val="18"/>
          <w:u w:val="single" w:color="auto"/>
          <w:color w:val="0000FF"/>
        </w:rPr>
        <w:t>B-1</w:t>
      </w:r>
      <w:r>
        <w:rPr>
          <w:rFonts w:ascii="Arial" w:cs="Arial" w:eastAsia="Arial" w:hAnsi="Arial"/>
          <w:sz w:val="18"/>
          <w:szCs w:val="18"/>
          <w:color w:val="auto"/>
        </w:rPr>
        <w:t xml:space="preserve"> Loan (or portion thereof) other than a Converted </w:t>
      </w:r>
      <w:r>
        <w:rPr>
          <w:rFonts w:ascii="Arial" w:cs="Arial" w:eastAsia="Arial" w:hAnsi="Arial"/>
          <w:sz w:val="18"/>
          <w:szCs w:val="18"/>
          <w:color w:val="FF0000"/>
          <w:strike w:val="1"/>
        </w:rPr>
        <w:t>New</w:t>
      </w:r>
      <w:r>
        <w:rPr>
          <w:rFonts w:ascii="Arial" w:cs="Arial" w:eastAsia="Arial" w:hAnsi="Arial"/>
          <w:sz w:val="18"/>
          <w:szCs w:val="18"/>
          <w:color w:val="auto"/>
        </w:rPr>
        <w:t xml:space="preserve"> Term </w:t>
      </w:r>
      <w:r>
        <w:rPr>
          <w:rFonts w:ascii="Arial" w:cs="Arial" w:eastAsia="Arial" w:hAnsi="Arial"/>
          <w:sz w:val="18"/>
          <w:szCs w:val="18"/>
          <w:u w:val="single" w:color="auto"/>
          <w:color w:val="0000FF"/>
        </w:rPr>
        <w:t>B-1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Loan.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color w:val="FF0000"/>
          <w:strike w:val="1"/>
        </w:rPr>
        <w:t>Non-Converting Term Loan</w:t>
      </w:r>
      <w:r>
        <w:rPr>
          <w:rFonts w:ascii="Arial" w:cs="Arial" w:eastAsia="Arial" w:hAnsi="Arial"/>
          <w:sz w:val="19"/>
          <w:szCs w:val="19"/>
          <w:color w:val="FF0000"/>
          <w:strike w:val="1"/>
        </w:rPr>
        <w:t>” means each Original Term Loan other than a Converting Term Loan.</w:t>
      </w:r>
    </w:p>
    <w:p>
      <w:pPr>
        <w:spacing w:after="0" w:line="215" w:lineRule="exact"/>
        <w:rPr>
          <w:sz w:val="20"/>
          <w:szCs w:val="20"/>
          <w:color w:val="auto"/>
        </w:rPr>
      </w:pPr>
    </w:p>
    <w:p>
      <w:pPr>
        <w:jc w:val="both"/>
        <w:ind w:firstLine="63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Non-Loan Party Investment Amount</w:t>
      </w:r>
      <w:r>
        <w:rPr>
          <w:rFonts w:ascii="Arial" w:cs="Arial" w:eastAsia="Arial" w:hAnsi="Arial"/>
          <w:sz w:val="17"/>
          <w:szCs w:val="17"/>
          <w:color w:val="auto"/>
        </w:rPr>
        <w:t xml:space="preserve">” means, at any time, the sum of (a) the greater of $100,000,000 and 40% of Consolidated EBITDA for the most recently ended Test Period, (b) the aggregate amount of the Net Proceeds of the issuance of, or contribution in respect of existing, Qualified Equity Interests, in each case to the extent contributed to Holdings as cash common equity after (I) prior to the Escrow Assumption Date, the Closing Date and (II) if the Escrow Assumption Date shall have occurred, the Escrow Assumption Date (other than, in each case, any such issuance or contribution made pursuant to Section 7.02 or any issuance to or contribution from a Restricted Subsidiary) that are Not Otherwise Applied and (c) Cumulative Excess Cash Flow that is Not Otherwise Applied;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amounts under clause (b) or (c) may only be utilized to make an Investment or acquisition if (i) no Default has occurred and is continuing at the time of the applicable Investment or acquisition</w:t>
      </w:r>
    </w:p>
    <w:p>
      <w:pPr>
        <w:sectPr>
          <w:pgSz w:w="11900" w:h="16904" w:orient="portrait"/>
          <w:cols w:equalWidth="0" w:num="1">
            <w:col w:w="11420"/>
          </w:cols>
          <w:pgMar w:left="240" w:top="121" w:right="239" w:bottom="0" w:gutter="0" w:footer="0" w:header="0"/>
        </w:sectPr>
      </w:pPr>
    </w:p>
    <w:bookmarkStart w:id="116" w:name="page117"/>
    <w:bookmarkEnd w:id="116"/>
    <w:p>
      <w:pPr>
        <w:spacing w:after="0" w:line="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or would result therefrom and (ii) at the time of the applicable Investment or acquisition and immediately after giving effect thereto, the Borrower would be in compliance with the Financial Performance Covenants on a Pro Forma Basis as of the end of the most recent Test Period for which financial statements are available.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Non-Wholly Owned Subsidiary</w:t>
      </w:r>
      <w:r>
        <w:rPr>
          <w:rFonts w:ascii="Arial" w:cs="Arial" w:eastAsia="Arial" w:hAnsi="Arial"/>
          <w:sz w:val="19"/>
          <w:szCs w:val="19"/>
          <w:color w:val="auto"/>
        </w:rPr>
        <w:t>” of any Person means any Subsidiary of such Person other than a Wholly Owned Subsidiary.</w:t>
      </w:r>
    </w:p>
    <w:p>
      <w:pPr>
        <w:spacing w:after="0" w:line="215"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 Otherwise Applied</w:t>
      </w:r>
      <w:r>
        <w:rPr>
          <w:rFonts w:ascii="Arial" w:cs="Arial" w:eastAsia="Arial" w:hAnsi="Arial"/>
          <w:sz w:val="17"/>
          <w:szCs w:val="17"/>
          <w:color w:val="auto"/>
        </w:rPr>
        <w:t>” means, with reference to any amount of Net Proceeds of any transaction or event or of Excess Cash Flow, that such amount (a) was not or was not required to be applied to prepay the Loans pursuant to Section 2.09(c) (or, prior to the Restatement Effective Date, to prepay the Original Term Loans pursuant to Section 2.09(c) of the Existing Credit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if such Excess Cash Flow was not required to be applied to prepay the Loans pursuant to Section 2.09(f), such Excess Cash Flow shall only be deemed “Not Otherwise Applied” to the extent the Borrower has made a payment of Term Loans pursuant to clause (B) of Section 2.09(f) and such amounts represent the amount of additional taxes that would have been payable or reserved against if such Excess Cash Flow had been repatriated and (II) with respect to any fiscal quarter ending on or after June 30, 2017 and prior to the earlier of (x) the Escrow Assumption Date and (y) the termination of the Merger Agreement, an amount of Excess Cash Flow equal to 50% (or, if the Total Leverage Ratio as of the last day of such fiscal quarter was less than or equal to 2.0 to 1.0, 0%) of such Excess Cash Flow for such fiscal quarter shall be deemed for purposes of this definition to have been applied to prepay Loans pursuant to Section 2.09(c)), and (b) was not previously applied pursuant to any of Sections 6.04(c)(iii)(A), 6.04(h), 6.04(m), 6.08(a) (iii), 6.08(a)(viii), 6.08(a)(ix) or 6.08(b)(iv) (or, prior to the Restatement Effective Date, any such Section of the Existing Credit Agreement).</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Notes Co-Issuer</w:t>
      </w:r>
      <w:r>
        <w:rPr>
          <w:rFonts w:ascii="Arial" w:cs="Arial" w:eastAsia="Arial" w:hAnsi="Arial"/>
          <w:sz w:val="19"/>
          <w:szCs w:val="19"/>
          <w:color w:val="auto"/>
        </w:rPr>
        <w:t>” means Orchestra Co-Issuer, Inc., a Delaware corporation.</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NYFRB</w:t>
      </w:r>
      <w:r>
        <w:rPr>
          <w:rFonts w:ascii="Arial" w:cs="Arial" w:eastAsia="Arial" w:hAnsi="Arial"/>
          <w:sz w:val="19"/>
          <w:szCs w:val="19"/>
          <w:color w:val="auto"/>
        </w:rPr>
        <w:t>” means the Federal Reserve Bank of New York.</w:t>
      </w:r>
    </w:p>
    <w:p>
      <w:pPr>
        <w:spacing w:after="0" w:line="215"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NYFRB Rate</w:t>
      </w:r>
      <w:r>
        <w:rPr>
          <w:rFonts w:ascii="Arial" w:cs="Arial" w:eastAsia="Arial" w:hAnsi="Arial"/>
          <w:sz w:val="18"/>
          <w:szCs w:val="18"/>
          <w:color w:val="auto"/>
        </w:rPr>
        <w:t xml:space="preserve">” means, for any day, the greater of (a) the Federal Funds Effective Rate in effect on such day and (b) the Overnight Bank Funding Rate in effect on such date (or for any day that is not a Business Day, for the immediately preceding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none of such rates for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any of the aforesaid rates shall be less than zero, such rate shall be deemed to be zero for purposes of this Agreement.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OFAC</w:t>
      </w:r>
      <w:r>
        <w:rPr>
          <w:rFonts w:ascii="Arial" w:cs="Arial" w:eastAsia="Arial" w:hAnsi="Arial"/>
          <w:sz w:val="19"/>
          <w:szCs w:val="19"/>
          <w:color w:val="auto"/>
        </w:rPr>
        <w:t>” has the meaning assigned to such term in Section 3.19(c).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OID</w:t>
      </w:r>
      <w:r>
        <w:rPr>
          <w:rFonts w:ascii="Arial" w:cs="Arial" w:eastAsia="Arial" w:hAnsi="Arial"/>
          <w:sz w:val="19"/>
          <w:szCs w:val="19"/>
          <w:color w:val="auto"/>
        </w:rPr>
        <w:t>” has the meaning assigned to such term in Section 2.18(a)(ii).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Offered Amount</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Offered Discount</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Organizational Documents</w:t>
      </w:r>
      <w:r>
        <w:rPr>
          <w:rFonts w:ascii="Arial" w:cs="Arial" w:eastAsia="Arial" w:hAnsi="Arial"/>
          <w:sz w:val="19"/>
          <w:szCs w:val="19"/>
          <w:color w:val="auto"/>
        </w:rPr>
        <w:t>” means, with respect to any Person, the charter, articles or certificate of organization or incorporation and bylaws or other organizational or governing documents of such Person.</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Term Lender</w:t>
      </w:r>
      <w:r>
        <w:rPr>
          <w:rFonts w:ascii="Arial" w:cs="Arial" w:eastAsia="Arial" w:hAnsi="Arial"/>
          <w:sz w:val="19"/>
          <w:szCs w:val="19"/>
          <w:color w:val="auto"/>
        </w:rPr>
        <w:t>” means a Lender that holds Original Term Loans immediately prior to the Restatement Effective Date.</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Term Loan</w:t>
      </w:r>
      <w:r>
        <w:rPr>
          <w:rFonts w:ascii="Arial" w:cs="Arial" w:eastAsia="Arial" w:hAnsi="Arial"/>
          <w:sz w:val="19"/>
          <w:szCs w:val="19"/>
          <w:color w:val="auto"/>
        </w:rPr>
        <w:t>” means each “Term Loan” as defined in the Existing Credit Agreement that is outstanding immediately prior to the Restatement Effective Date.</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Revolving Commitments</w:t>
      </w:r>
      <w:r>
        <w:rPr>
          <w:rFonts w:ascii="Arial" w:cs="Arial" w:eastAsia="Arial" w:hAnsi="Arial"/>
          <w:sz w:val="19"/>
          <w:szCs w:val="19"/>
          <w:color w:val="auto"/>
        </w:rPr>
        <w:t>” means one or more Classes of revolving credit commitments hereunder or extended Revolving Commitments that result from a Refinancing Amendment.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Revolving Loans</w:t>
      </w:r>
      <w:r>
        <w:rPr>
          <w:rFonts w:ascii="Arial" w:cs="Arial" w:eastAsia="Arial" w:hAnsi="Arial"/>
          <w:sz w:val="19"/>
          <w:szCs w:val="19"/>
          <w:color w:val="auto"/>
        </w:rPr>
        <w:t>” means the Revolving Loans made pursuant to any Other Revolving Commitment.</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Taxes</w:t>
      </w:r>
      <w:r>
        <w:rPr>
          <w:rFonts w:ascii="Arial" w:cs="Arial" w:eastAsia="Arial" w:hAnsi="Arial"/>
          <w:sz w:val="19"/>
          <w:szCs w:val="19"/>
          <w:color w:val="auto"/>
        </w:rPr>
        <w:t>” means any and all present or future recording, stamp, documentary, excise, transfer, sales, property or similar Taxes, charges or levies arising from any payment made under any Loan Document or from the execution, delivery or enforcement of, or otherwise with respect to, any Loan Document.</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Term Commitments</w:t>
      </w:r>
      <w:r>
        <w:rPr>
          <w:rFonts w:ascii="Arial" w:cs="Arial" w:eastAsia="Arial" w:hAnsi="Arial"/>
          <w:sz w:val="19"/>
          <w:szCs w:val="19"/>
          <w:color w:val="auto"/>
        </w:rPr>
        <w:t>” means one or more Classes of term loan commitments hereunder that result from a Refinancing Amendment.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Term Loans</w:t>
      </w:r>
      <w:r>
        <w:rPr>
          <w:rFonts w:ascii="Arial" w:cs="Arial" w:eastAsia="Arial" w:hAnsi="Arial"/>
          <w:sz w:val="19"/>
          <w:szCs w:val="19"/>
          <w:color w:val="auto"/>
        </w:rPr>
        <w:t>” means one or more Classes of Term Loans that result from a Refinancing Amendment.</w:t>
      </w:r>
    </w:p>
    <w:p>
      <w:pPr>
        <w:spacing w:after="0" w:line="215"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has the meaning assigned to such term in Section 9.04(c).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 Register</w:t>
      </w:r>
      <w:r>
        <w:rPr>
          <w:rFonts w:ascii="Arial" w:cs="Arial" w:eastAsia="Arial" w:hAnsi="Arial"/>
          <w:sz w:val="19"/>
          <w:szCs w:val="19"/>
          <w:color w:val="auto"/>
        </w:rPr>
        <w:t>” has the meaning assigned to such term in Section 9.04(c)(ii).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Participating Lender</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PBGC</w:t>
      </w:r>
      <w:r>
        <w:rPr>
          <w:rFonts w:ascii="Arial" w:cs="Arial" w:eastAsia="Arial" w:hAnsi="Arial"/>
          <w:sz w:val="19"/>
          <w:szCs w:val="19"/>
          <w:color w:val="auto"/>
        </w:rPr>
        <w:t>” means the Pension Benefit Guaranty Corporation referred to and defined in ERISA and any successor entity performing similar functions.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Perfection Certificate</w:t>
      </w:r>
      <w:r>
        <w:rPr>
          <w:rFonts w:ascii="Arial" w:cs="Arial" w:eastAsia="Arial" w:hAnsi="Arial"/>
          <w:sz w:val="19"/>
          <w:szCs w:val="19"/>
          <w:color w:val="auto"/>
        </w:rPr>
        <w:t>” means a certificate substantially in the form of Exhibit C.</w:t>
      </w:r>
    </w:p>
    <w:p>
      <w:pPr>
        <w:spacing w:after="0" w:line="215" w:lineRule="exact"/>
        <w:rPr>
          <w:sz w:val="20"/>
          <w:szCs w:val="20"/>
          <w:color w:val="auto"/>
        </w:rPr>
      </w:pPr>
    </w:p>
    <w:p>
      <w:pPr>
        <w:jc w:val="both"/>
        <w:ind w:firstLine="630"/>
        <w:spacing w:after="0" w:line="34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Acquisition</w:t>
      </w:r>
      <w:r>
        <w:rPr>
          <w:rFonts w:ascii="Arial" w:cs="Arial" w:eastAsia="Arial" w:hAnsi="Arial"/>
          <w:sz w:val="17"/>
          <w:szCs w:val="17"/>
          <w:color w:val="auto"/>
        </w:rPr>
        <w:t>” means the purchase or other acquisition, by merger or otherwise, by Holdings or any Restricted Subsidiary of Equity Interests in, or all or substantially all the assets of (or all or substantially all the assets constituting a business unit, division, product line or</w:t>
      </w:r>
    </w:p>
    <w:p>
      <w:pPr>
        <w:sectPr>
          <w:pgSz w:w="11900" w:h="16846" w:orient="portrait"/>
          <w:cols w:equalWidth="0" w:num="1">
            <w:col w:w="11420"/>
          </w:cols>
          <w:pgMar w:left="240" w:top="122" w:right="239" w:bottom="0" w:gutter="0" w:footer="0" w:header="0"/>
        </w:sectPr>
      </w:pPr>
    </w:p>
    <w:bookmarkStart w:id="117" w:name="page118"/>
    <w:bookmarkEnd w:id="117"/>
    <w:p>
      <w:pPr>
        <w:spacing w:after="0" w:line="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line of business of), any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in the case of any purchase or other acquisition of Equity Interests in a Person, such Person, upon the consummation of such acquisition, will be a Restricted Subsidiary (including as a result of a merger or consolidation between any Restricted Subsidiary and such Person), (b) all transactions related thereto are consummated in accordance with all Requirements of Law, (c) the business of such Person, or such assets, as the case may be, constitute a business permitted by Section 6.03(b), (d) with respect to each such purchase or other acquisition, all actions required to be taken with respect to such newly created or acquired Restricted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reasonably satisfactory to the Administrative Agent shall have been made), (e) after giving effect to any such purchase or other acquisition and any incurrence or assumption of Indebtedness in connection therewith, (A) no Event of Default shall have occurred and be continuing and (B) the Borrower shall be in compliance with the Financial Performance Covenants on a Pro Forma Basis as of the end of the most recent Test Period for which financial statements are available and (f) Holdings shall have delivered to the Administrative Agent a certificate of a Financial Officer certifying that all the requirements set forth in this definition have been satisfied with respect to such purchase or other acquisition, together with reasonably detailed calculations demonstrating satisfaction of the requirement set forth in clause (e) above.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Encumbrances</w:t>
      </w:r>
      <w:r>
        <w:rPr>
          <w:rFonts w:ascii="Arial" w:cs="Arial" w:eastAsia="Arial" w:hAnsi="Arial"/>
          <w:sz w:val="19"/>
          <w:szCs w:val="19"/>
          <w:color w:val="auto"/>
        </w:rPr>
        <w:t>” means:</w:t>
      </w:r>
    </w:p>
    <w:p>
      <w:pPr>
        <w:spacing w:after="0" w:line="221" w:lineRule="exact"/>
        <w:rPr>
          <w:sz w:val="20"/>
          <w:szCs w:val="20"/>
          <w:color w:val="auto"/>
        </w:rPr>
      </w:pPr>
    </w:p>
    <w:p>
      <w:pPr>
        <w:jc w:val="both"/>
        <w:ind w:firstLine="635"/>
        <w:spacing w:after="0" w:line="259" w:lineRule="auto"/>
        <w:tabs>
          <w:tab w:leader="none" w:pos="1153"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for taxes, assessments or governmental charges that are not overdue for a period of more than 30 days or that are being contested in good faith and by appropriate proceedings diligently conducted, if adequate reserves with respect thereto are maintained on the books of the applicable Person in accordance with GAAP;</w:t>
      </w:r>
    </w:p>
    <w:p>
      <w:pPr>
        <w:spacing w:after="0" w:line="171" w:lineRule="exact"/>
        <w:rPr>
          <w:rFonts w:ascii="Arial" w:cs="Arial" w:eastAsia="Arial" w:hAnsi="Arial"/>
          <w:sz w:val="19"/>
          <w:szCs w:val="19"/>
          <w:color w:val="auto"/>
        </w:rPr>
      </w:pPr>
    </w:p>
    <w:p>
      <w:pPr>
        <w:jc w:val="both"/>
        <w:ind w:firstLine="635"/>
        <w:spacing w:after="0" w:line="289" w:lineRule="auto"/>
        <w:tabs>
          <w:tab w:leader="none" w:pos="1079"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mechanics’, materialmen’s, repairmen’s or construction contractors’ Liens and other similar Liens, in each case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148" w:lineRule="exact"/>
        <w:rPr>
          <w:rFonts w:ascii="Arial" w:cs="Arial" w:eastAsia="Arial" w:hAnsi="Arial"/>
          <w:sz w:val="17"/>
          <w:szCs w:val="17"/>
          <w:color w:val="auto"/>
        </w:rPr>
      </w:pPr>
    </w:p>
    <w:p>
      <w:pPr>
        <w:jc w:val="both"/>
        <w:ind w:firstLine="635"/>
        <w:spacing w:after="0" w:line="254" w:lineRule="auto"/>
        <w:tabs>
          <w:tab w:leader="none" w:pos="1123"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incurred or deposits made in the ordinary course of business (i) in connection with workers’ compensation, unemployment insurance and other social security legislation and (ii) securing liability for reimbursement or indemnification obligations of (including obligations in respect of letters of credit or bank guarantees for the benefit of) insurance carriers providing property, casualty or liability insurance to Holdings or any Restricted Subsidiary;</w:t>
      </w:r>
    </w:p>
    <w:p>
      <w:pPr>
        <w:spacing w:after="0" w:line="177" w:lineRule="exact"/>
        <w:rPr>
          <w:rFonts w:ascii="Arial" w:cs="Arial" w:eastAsia="Arial" w:hAnsi="Arial"/>
          <w:sz w:val="19"/>
          <w:szCs w:val="19"/>
          <w:color w:val="auto"/>
        </w:rPr>
      </w:pPr>
    </w:p>
    <w:p>
      <w:pPr>
        <w:jc w:val="both"/>
        <w:ind w:firstLine="635"/>
        <w:spacing w:after="0" w:line="259" w:lineRule="auto"/>
        <w:tabs>
          <w:tab w:leader="none" w:pos="1154"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incurred or deposits made to secure the performance of bids, trade contracts, governmental contracts and leases, statutory obligations, surety, stay, customs and appeal bonds, performance bonds and other obligations of a like nature (including those to secure health, safety and environmental obligations), in each case incurred in the ordinary course of business;</w:t>
      </w:r>
    </w:p>
    <w:p>
      <w:pPr>
        <w:spacing w:after="0" w:line="171" w:lineRule="exact"/>
        <w:rPr>
          <w:rFonts w:ascii="Arial" w:cs="Arial" w:eastAsia="Arial" w:hAnsi="Arial"/>
          <w:sz w:val="19"/>
          <w:szCs w:val="19"/>
          <w:color w:val="auto"/>
        </w:rPr>
      </w:pPr>
    </w:p>
    <w:p>
      <w:pPr>
        <w:jc w:val="both"/>
        <w:ind w:firstLine="635"/>
        <w:spacing w:after="0" w:line="259" w:lineRule="auto"/>
        <w:tabs>
          <w:tab w:leader="none" w:pos="1104" w:val="left"/>
        </w:tabs>
        <w:numPr>
          <w:ilvl w:val="0"/>
          <w:numId w:val="53"/>
        </w:numPr>
        <w:rPr>
          <w:rFonts w:ascii="Arial" w:cs="Arial" w:eastAsia="Arial" w:hAnsi="Arial"/>
          <w:sz w:val="19"/>
          <w:szCs w:val="19"/>
          <w:color w:val="auto"/>
        </w:rPr>
      </w:pPr>
      <w:r>
        <w:rPr>
          <w:rFonts w:ascii="Arial" w:cs="Arial" w:eastAsia="Arial" w:hAnsi="Arial"/>
          <w:sz w:val="19"/>
          <w:szCs w:val="19"/>
          <w:color w:val="auto"/>
        </w:rPr>
        <w:t>easements, rights-of-way, restrictions, encroachments, protrusions and other similar encumbrances and minor title defects affecting real property that, in the aggregate, do not in any case materially interfere with the ordinary conduct of the business of Holdings and its Restricted Subsidiaries, taken as a whole;</w:t>
      </w:r>
    </w:p>
    <w:p>
      <w:pPr>
        <w:spacing w:after="0" w:line="171" w:lineRule="exact"/>
        <w:rPr>
          <w:rFonts w:ascii="Arial" w:cs="Arial" w:eastAsia="Arial" w:hAnsi="Arial"/>
          <w:sz w:val="19"/>
          <w:szCs w:val="19"/>
          <w:color w:val="auto"/>
        </w:rPr>
      </w:pPr>
    </w:p>
    <w:p>
      <w:pPr>
        <w:ind w:left="1020" w:hanging="385"/>
        <w:spacing w:after="0"/>
        <w:tabs>
          <w:tab w:leader="none" w:pos="10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securing, or otherwise arising from, judgments not constituting an Event of Default under Section 7.01(j);</w:t>
      </w:r>
    </w:p>
    <w:p>
      <w:pPr>
        <w:spacing w:after="0" w:line="214" w:lineRule="exact"/>
        <w:rPr>
          <w:rFonts w:ascii="Arial" w:cs="Arial" w:eastAsia="Arial" w:hAnsi="Arial"/>
          <w:sz w:val="19"/>
          <w:szCs w:val="19"/>
          <w:color w:val="auto"/>
        </w:rPr>
      </w:pPr>
    </w:p>
    <w:p>
      <w:pPr>
        <w:jc w:val="both"/>
        <w:ind w:firstLine="635"/>
        <w:spacing w:after="0" w:line="259" w:lineRule="auto"/>
        <w:tabs>
          <w:tab w:leader="none" w:pos="1065"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Liens on goods the purchase price of which is financed by a documentary letter of credit issued for the account of Holdings or any of its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 secures only the obligations of Holdings or such Restricted Subsidiaries in respect of such letter of credit to the extent such obligations are permitted by Section 6.01; and</w:t>
      </w:r>
    </w:p>
    <w:p>
      <w:pPr>
        <w:spacing w:after="0" w:line="171" w:lineRule="exact"/>
        <w:rPr>
          <w:rFonts w:ascii="Arial" w:cs="Arial" w:eastAsia="Arial" w:hAnsi="Arial"/>
          <w:sz w:val="19"/>
          <w:szCs w:val="19"/>
          <w:color w:val="auto"/>
        </w:rPr>
      </w:pPr>
    </w:p>
    <w:p>
      <w:pPr>
        <w:ind w:firstLine="635"/>
        <w:spacing w:after="0" w:line="274" w:lineRule="auto"/>
        <w:tabs>
          <w:tab w:leader="none" w:pos="1141"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arising from precautionary Uniform Commercial Code financing statements or similar filings made in respect of operating leases entered into by Holdings or any of its Restricted Subsidiaries;</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term “Permitted Encumbrances” shall not include any Lien securing Indebtedness other than Liens referred to in clause (c) above</w:t>
      </w:r>
      <w:r>
        <w:rPr>
          <w:rFonts w:ascii="Arial" w:cs="Arial" w:eastAsia="Arial" w:hAnsi="Arial"/>
          <w:sz w:val="19"/>
          <w:szCs w:val="19"/>
          <w:i w:val="1"/>
          <w:iCs w:val="1"/>
          <w:color w:val="auto"/>
        </w:rPr>
        <w:t xml:space="preserve"> </w:t>
      </w:r>
      <w:r>
        <w:rPr>
          <w:rFonts w:ascii="Arial" w:cs="Arial" w:eastAsia="Arial" w:hAnsi="Arial"/>
          <w:sz w:val="19"/>
          <w:szCs w:val="19"/>
          <w:color w:val="auto"/>
        </w:rPr>
        <w:t>securing obligations under letters of credit or bank guarantees and in clause (g) above.</w:t>
      </w:r>
    </w:p>
    <w:p>
      <w:pPr>
        <w:spacing w:after="0" w:line="151"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First Priority Refinancing Debt</w:t>
      </w:r>
      <w:r>
        <w:rPr>
          <w:rFonts w:ascii="Arial" w:cs="Arial" w:eastAsia="Arial" w:hAnsi="Arial"/>
          <w:sz w:val="18"/>
          <w:szCs w:val="18"/>
          <w:color w:val="auto"/>
        </w:rPr>
        <w:t xml:space="preserve">” means any secured Indebtedness incurred by the Borrower in the form of one or more series of senior secured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is secured by the Collateral on a pari passu basis (but without regard to the control of remedies) with the Loan Document Obligations and is not secured by any property or assets of Holdings, any Intermediate Parent, the Borrower or any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are substantially the same as the Security Documents (with such differences as are reasonably satisfactory to the Administrative Agent), (v) such Indebtedness is not at any time guaranteed by any Subsidiaries other than the Subsidiary Loan Parties and (vi) a Senior Representative acting on behalf of the holders of such Indebtedness shall have become party to the First Lien Intercreditor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the initial Permitted First Priority Refinancing Debt incurred by the Borrower, then the Loan Parties, the Administrative Agent and the Senior Representative for such Indebtedness shall have executed and delivered the First Lien Intercreditor Agreement. Permitted First Priority Refinancing Debt will include any Registered Equivalent Notes issued in exchange therefor.</w:t>
      </w:r>
    </w:p>
    <w:p>
      <w:pPr>
        <w:spacing w:after="0" w:line="173"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Holders</w:t>
      </w:r>
      <w:r>
        <w:rPr>
          <w:rFonts w:ascii="Arial" w:cs="Arial" w:eastAsia="Arial" w:hAnsi="Arial"/>
          <w:sz w:val="19"/>
          <w:szCs w:val="19"/>
          <w:color w:val="auto"/>
        </w:rPr>
        <w:t>” means (i) the VV Holders, (ii) North Island Holdings I, LP and any Affiliate thereof, (iii) Aranda Investments Pte. Ltd. and any Affiliate thereof, (iv) any group (within the meaning of Section 13(d)(3) or Section 14(d)(2) of the Exchange Act or any successor provision) the members of which include any of the foregoing, so long as no Person or other ‘‘group’’ (other than Permitted Holders specified in clauses (i) through (iii) above) beneficially owns more than 50% on a fully diluted basis of the voting power held by such Permitted Holder group and (v) Virtu Financial, Inc. and its Subsidiaries, so long as no ‘‘person’’ or ‘‘group’’ (as each such term is used in Section 13(d) of the Exchange Act)) other than one or more Permitted Holders specified in clauses (i) through (iv) above is or becomes the Beneficial Owner, directly or indirectly, of more than 50% of the Voting Stock of Virtu Financial, Inc. or any such Subsidiary, measured by voting power rather than number of shares, units or the like.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Investments</w:t>
      </w:r>
      <w:r>
        <w:rPr>
          <w:rFonts w:ascii="Arial" w:cs="Arial" w:eastAsia="Arial" w:hAnsi="Arial"/>
          <w:sz w:val="19"/>
          <w:szCs w:val="19"/>
          <w:color w:val="auto"/>
        </w:rPr>
        <w:t>” means any of the following, to the extent owned by Holdings or any Restricted Subsidiary:</w:t>
      </w:r>
    </w:p>
    <w:p>
      <w:pPr>
        <w:sectPr>
          <w:pgSz w:w="11900" w:h="16875" w:orient="portrait"/>
          <w:cols w:equalWidth="0" w:num="1">
            <w:col w:w="11420"/>
          </w:cols>
          <w:pgMar w:left="240" w:top="121" w:right="239" w:bottom="0" w:gutter="0" w:footer="0" w:header="0"/>
        </w:sectPr>
      </w:pPr>
    </w:p>
    <w:bookmarkStart w:id="118" w:name="page119"/>
    <w:bookmarkEnd w:id="118"/>
    <w:p>
      <w:pPr>
        <w:spacing w:after="0" w:line="98" w:lineRule="exact"/>
        <w:rPr>
          <w:sz w:val="20"/>
          <w:szCs w:val="20"/>
          <w:color w:val="auto"/>
        </w:rPr>
      </w:pPr>
    </w:p>
    <w:p>
      <w:pPr>
        <w:ind w:left="1040" w:hanging="405"/>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dollars, euro or such other currencies held by it from time to time in the ordinary course of business;</w:t>
      </w:r>
    </w:p>
    <w:p>
      <w:pPr>
        <w:spacing w:after="0" w:line="214" w:lineRule="exact"/>
        <w:rPr>
          <w:rFonts w:ascii="Arial" w:cs="Arial" w:eastAsia="Arial" w:hAnsi="Arial"/>
          <w:sz w:val="19"/>
          <w:szCs w:val="19"/>
          <w:color w:val="auto"/>
        </w:rPr>
      </w:pPr>
    </w:p>
    <w:p>
      <w:pPr>
        <w:jc w:val="both"/>
        <w:ind w:firstLine="635"/>
        <w:spacing w:after="0" w:line="254" w:lineRule="auto"/>
        <w:tabs>
          <w:tab w:leader="none" w:pos="1075"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readily marketable obligations issued or directly and fully guaranteed or insured by the government or any agency or instrumentality of (i) the United States or (ii) any member nation of the European Union, having average maturities of not more than 12 months from the date of acquisition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full faith and credit of the United States or a member nation of the European Union is pledged in support thereof;</w:t>
      </w:r>
    </w:p>
    <w:p>
      <w:pPr>
        <w:spacing w:after="0" w:line="177" w:lineRule="exact"/>
        <w:rPr>
          <w:rFonts w:ascii="Arial" w:cs="Arial" w:eastAsia="Arial" w:hAnsi="Arial"/>
          <w:sz w:val="19"/>
          <w:szCs w:val="19"/>
          <w:color w:val="auto"/>
        </w:rPr>
      </w:pPr>
    </w:p>
    <w:p>
      <w:pPr>
        <w:jc w:val="both"/>
        <w:ind w:firstLine="635"/>
        <w:spacing w:after="0" w:line="259" w:lineRule="auto"/>
        <w:tabs>
          <w:tab w:leader="none" w:pos="1078" w:val="left"/>
        </w:tabs>
        <w:numPr>
          <w:ilvl w:val="0"/>
          <w:numId w:val="54"/>
        </w:numPr>
        <w:rPr>
          <w:rFonts w:ascii="Arial" w:cs="Arial" w:eastAsia="Arial" w:hAnsi="Arial"/>
          <w:sz w:val="19"/>
          <w:szCs w:val="19"/>
          <w:color w:val="auto"/>
        </w:rPr>
      </w:pPr>
      <w:r>
        <w:rPr>
          <w:rFonts w:ascii="Arial" w:cs="Arial" w:eastAsia="Arial" w:hAnsi="Arial"/>
          <w:sz w:val="19"/>
          <w:szCs w:val="19"/>
          <w:color w:val="auto"/>
        </w:rPr>
        <w:t>time deposits with, or insured certificates of deposit or bankers’ acceptances of, any commercial bank that (i) is a Lender or (ii) has combined capital and surplus of at least $250,000,000 (any such bank in the foregoing clauses (i) or (ii) being an “</w:t>
      </w:r>
      <w:r>
        <w:rPr>
          <w:rFonts w:ascii="Arial" w:cs="Arial" w:eastAsia="Arial" w:hAnsi="Arial"/>
          <w:sz w:val="19"/>
          <w:szCs w:val="19"/>
          <w:b w:val="1"/>
          <w:bCs w:val="1"/>
          <w:color w:val="auto"/>
        </w:rPr>
        <w:t>Approved Bank</w:t>
      </w:r>
      <w:r>
        <w:rPr>
          <w:rFonts w:ascii="Arial" w:cs="Arial" w:eastAsia="Arial" w:hAnsi="Arial"/>
          <w:sz w:val="19"/>
          <w:szCs w:val="19"/>
          <w:color w:val="auto"/>
        </w:rPr>
        <w:t>”), in each case with average maturities of not more than 12 months from the date of acquisition thereof;</w:t>
      </w:r>
    </w:p>
    <w:p>
      <w:pPr>
        <w:spacing w:after="0" w:line="171" w:lineRule="exact"/>
        <w:rPr>
          <w:rFonts w:ascii="Arial" w:cs="Arial" w:eastAsia="Arial" w:hAnsi="Arial"/>
          <w:sz w:val="19"/>
          <w:szCs w:val="19"/>
          <w:color w:val="auto"/>
        </w:rPr>
      </w:pPr>
    </w:p>
    <w:p>
      <w:pPr>
        <w:jc w:val="both"/>
        <w:ind w:firstLine="635"/>
        <w:spacing w:after="0" w:line="280" w:lineRule="auto"/>
        <w:tabs>
          <w:tab w:leader="none" w:pos="10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154" w:lineRule="exact"/>
        <w:rPr>
          <w:rFonts w:ascii="Arial" w:cs="Arial" w:eastAsia="Arial" w:hAnsi="Arial"/>
          <w:sz w:val="18"/>
          <w:szCs w:val="18"/>
          <w:color w:val="auto"/>
        </w:rPr>
      </w:pPr>
    </w:p>
    <w:p>
      <w:pPr>
        <w:jc w:val="both"/>
        <w:ind w:firstLine="635"/>
        <w:spacing w:after="0" w:line="269" w:lineRule="auto"/>
        <w:tabs>
          <w:tab w:leader="none" w:pos="10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repurchase agreements entered into by any Person with an Approved Bank, a bank or trust company (including any of the Lenders) or recognized securities dealer, in each case, having capital and surplus in excess of $250,000,000 for direct obligations issued by or fully guaranteed or insured by the government or any agency or instrumentality of (i) the United States or (ii) any member nation of the European Union (other than Greece), in which such Person shall have a perfected first priority security interest (subject to no other Liens) and having, on the date of purchase thereof, a fair market value of at least 100% of the amount of the repurchase obligations;</w:t>
      </w:r>
    </w:p>
    <w:p>
      <w:pPr>
        <w:spacing w:after="0" w:line="165" w:lineRule="exact"/>
        <w:rPr>
          <w:rFonts w:ascii="Arial" w:cs="Arial" w:eastAsia="Arial" w:hAnsi="Arial"/>
          <w:sz w:val="18"/>
          <w:szCs w:val="18"/>
          <w:color w:val="auto"/>
        </w:rPr>
      </w:pPr>
    </w:p>
    <w:p>
      <w:pPr>
        <w:jc w:val="both"/>
        <w:ind w:firstLine="635"/>
        <w:spacing w:after="0" w:line="259" w:lineRule="auto"/>
        <w:tabs>
          <w:tab w:leader="none" w:pos="1028" w:val="left"/>
        </w:tabs>
        <w:numPr>
          <w:ilvl w:val="0"/>
          <w:numId w:val="54"/>
        </w:numPr>
        <w:rPr>
          <w:rFonts w:ascii="Arial" w:cs="Arial" w:eastAsia="Arial" w:hAnsi="Arial"/>
          <w:sz w:val="19"/>
          <w:szCs w:val="19"/>
          <w:color w:val="auto"/>
        </w:rPr>
      </w:pPr>
      <w:r>
        <w:rPr>
          <w:rFonts w:ascii="Arial" w:cs="Arial" w:eastAsia="Arial" w:hAnsi="Arial"/>
          <w:sz w:val="19"/>
          <w:szCs w:val="19"/>
          <w:color w:val="auto"/>
        </w:rPr>
        <w:t>marketable short-term money market and similar highly liquid funds either (i) having assets in excess of $250,000,000 or (ii) having a rating of at least A-2 or P-2 from either S&amp;P or Moody’s (or, if at any time neither S&amp;P nor Moody’s shall be rating such obligations, an equivalent rating from another nationally recognized rating service);</w:t>
      </w:r>
    </w:p>
    <w:p>
      <w:pPr>
        <w:spacing w:after="0" w:line="171" w:lineRule="exact"/>
        <w:rPr>
          <w:rFonts w:ascii="Arial" w:cs="Arial" w:eastAsia="Arial" w:hAnsi="Arial"/>
          <w:sz w:val="19"/>
          <w:szCs w:val="19"/>
          <w:color w:val="auto"/>
        </w:rPr>
      </w:pPr>
    </w:p>
    <w:p>
      <w:pPr>
        <w:jc w:val="both"/>
        <w:ind w:firstLine="635"/>
        <w:spacing w:after="0" w:line="259" w:lineRule="auto"/>
        <w:tabs>
          <w:tab w:leader="none" w:pos="1204" w:val="left"/>
        </w:tabs>
        <w:numPr>
          <w:ilvl w:val="0"/>
          <w:numId w:val="54"/>
        </w:numPr>
        <w:rPr>
          <w:rFonts w:ascii="Arial" w:cs="Arial" w:eastAsia="Arial" w:hAnsi="Arial"/>
          <w:sz w:val="19"/>
          <w:szCs w:val="19"/>
          <w:color w:val="auto"/>
        </w:rPr>
      </w:pPr>
      <w:r>
        <w:rPr>
          <w:rFonts w:ascii="Arial" w:cs="Arial" w:eastAsia="Arial" w:hAnsi="Arial"/>
          <w:sz w:val="19"/>
          <w:szCs w:val="19"/>
          <w:color w:val="auto"/>
        </w:rPr>
        <w:t>securities with average maturities of 12 months or less from the date of acquisition issued or fully guaranteed by any state, commonwealth or territory of the United States or by any political subdivision or taxing authority of any such state, commonwealth or territory, in each case having an investment grade rating from either S&amp;P or Moody’s (or the equivalent thereof);</w:t>
      </w:r>
    </w:p>
    <w:p>
      <w:pPr>
        <w:spacing w:after="0" w:line="171" w:lineRule="exact"/>
        <w:rPr>
          <w:rFonts w:ascii="Arial" w:cs="Arial" w:eastAsia="Arial" w:hAnsi="Arial"/>
          <w:sz w:val="19"/>
          <w:szCs w:val="19"/>
          <w:color w:val="auto"/>
        </w:rPr>
      </w:pPr>
    </w:p>
    <w:p>
      <w:pPr>
        <w:ind w:firstLine="635"/>
        <w:spacing w:after="0" w:line="274" w:lineRule="auto"/>
        <w:tabs>
          <w:tab w:leader="none" w:pos="1076"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investments with average maturities of 12 months or less from the date of acquisition in mutual funds rated AAA- (or the equivalent thereof) or better by S&amp;P or Aaa3 (or the equivalent thereof) or better by Moody’s;</w:t>
      </w:r>
    </w:p>
    <w:p>
      <w:pPr>
        <w:spacing w:after="0" w:line="157" w:lineRule="exact"/>
        <w:rPr>
          <w:rFonts w:ascii="Arial" w:cs="Arial" w:eastAsia="Arial" w:hAnsi="Arial"/>
          <w:sz w:val="19"/>
          <w:szCs w:val="19"/>
          <w:color w:val="auto"/>
        </w:rPr>
      </w:pPr>
    </w:p>
    <w:p>
      <w:pPr>
        <w:jc w:val="both"/>
        <w:ind w:firstLine="635"/>
        <w:spacing w:after="0" w:line="254" w:lineRule="auto"/>
        <w:tabs>
          <w:tab w:leader="none" w:pos="1118"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in such jurisdiction; and</w:t>
      </w:r>
    </w:p>
    <w:p>
      <w:pPr>
        <w:spacing w:after="0" w:line="177" w:lineRule="exact"/>
        <w:rPr>
          <w:rFonts w:ascii="Arial" w:cs="Arial" w:eastAsia="Arial" w:hAnsi="Arial"/>
          <w:sz w:val="19"/>
          <w:szCs w:val="19"/>
          <w:color w:val="auto"/>
        </w:rPr>
      </w:pPr>
    </w:p>
    <w:p>
      <w:pPr>
        <w:jc w:val="both"/>
        <w:ind w:firstLine="635"/>
        <w:spacing w:after="0" w:line="254" w:lineRule="auto"/>
        <w:tabs>
          <w:tab w:leader="none" w:pos="1139"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investments, classified in accordance with GAAP as current assets of Holdings or any Restricted Subsidiary,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clauses (a) through (i) of this definition.</w:t>
      </w:r>
    </w:p>
    <w:p>
      <w:pPr>
        <w:spacing w:after="0" w:line="172"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Junior Lien Refinancing Debt</w:t>
      </w:r>
      <w:r>
        <w:rPr>
          <w:rFonts w:ascii="Arial" w:cs="Arial" w:eastAsia="Arial" w:hAnsi="Arial"/>
          <w:sz w:val="18"/>
          <w:szCs w:val="18"/>
          <w:color w:val="auto"/>
        </w:rPr>
        <w:t xml:space="preserve">” means secured Indebtedness incurred by the Borrower in the form of one or more series of junior lien secured notes or junior lien secured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is secured by the Collateral and the obligations in respect of any Permitted First Priority Refinancing Debt and is not secured by any property or assets of Holdings, any Intermediate Parent, the Borrower or any Restricted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reflect the “silent” junior lien nature of the security interests securing such Indebtedness consistent with the terms of the Junior Lien Intercreditor Agreement and are otherwise substantially the same as the Security Documents (with such differences as are reasonably satisfactory to the Administrative Agent), (v) such Indebtedness is not at any time guaranteed by any Subsidiaries other than the Subsidiary Loan Parties and (vi) a Senior Representative acting on behalf of the holders of such Indebtedness shall have become party to the Junior Lien Intercreditor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the initial Permitted Junior Lien Refinancing Debt incurred by the Borrower, then the Loan Parties, the Administrative Agent and the Senior Representatives for such Indebtedness shall have executed and delivered the Junior Lien Intercreditor Agreement. Permitted Junior Lien Refinancing Debt will include any Registered Equivalent Notes issued in exchange therefor.</w:t>
      </w:r>
    </w:p>
    <w:p>
      <w:pPr>
        <w:spacing w:after="0" w:line="170" w:lineRule="exact"/>
        <w:rPr>
          <w:sz w:val="20"/>
          <w:szCs w:val="20"/>
          <w:color w:val="auto"/>
        </w:rPr>
      </w:pPr>
    </w:p>
    <w:p>
      <w:pPr>
        <w:jc w:val="both"/>
        <w:ind w:firstLine="63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Refinancing</w:t>
      </w:r>
      <w:r>
        <w:rPr>
          <w:rFonts w:ascii="Arial" w:cs="Arial" w:eastAsia="Arial" w:hAnsi="Arial"/>
          <w:sz w:val="17"/>
          <w:szCs w:val="17"/>
          <w:color w:val="auto"/>
        </w:rPr>
        <w:t xml:space="preserve">” means, with respect to any Person, any modification, refinancing, refunding, renewal or extension of any Indebtedness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immediately after giving effect thereto, no Event of Default shall have occurred and be continuing, (d) if the Indebtedness being modified, refinanced, refunded, renewed or extended is subordinated in right of payment or lien priority to the Loan Document Obligations, Indebtedness resulting from such modification, refinancing, refunding, renewal or extension is subordinated in right of payment or lien priority, as applicable, to the Loan Document Obligations on terms at least as favorable to the Lenders as those contained in the documentation governing the Indebtedness being modified, refinanced, refunded, renewed or extended and (e) if the Indebtedness being modified, refinanced, refunded, renewed or extended is the Second Lien Notes or Indebtedness permitted pursuant to Section 6.01(a)(ii), (a)(xx) or (a)(xxi) or is otherwise a Junior Financing, (i) the terms and conditions (including, if applicable, as to collateral but excluding as to subordination, interest rate (including whether such interest is payable in cash or in kind) and redemption premium) of Indebtedness resulting from such modification, refinancing, refunding, renewal or extension are not, taken as a whole, materially less favorable to the Loan Parties or the Lenders than the terms and conditions of the</w:t>
      </w:r>
    </w:p>
    <w:p>
      <w:pPr>
        <w:sectPr>
          <w:pgSz w:w="11900" w:h="16936" w:orient="portrait"/>
          <w:cols w:equalWidth="0" w:num="1">
            <w:col w:w="11420"/>
          </w:cols>
          <w:pgMar w:left="240" w:top="320" w:right="239" w:bottom="0" w:gutter="0" w:footer="0" w:header="0"/>
        </w:sectPr>
      </w:pPr>
    </w:p>
    <w:bookmarkStart w:id="119" w:name="page120"/>
    <w:bookmarkEnd w:id="119"/>
    <w:p>
      <w:pPr>
        <w:jc w:val="both"/>
        <w:spacing w:after="0" w:line="248" w:lineRule="auto"/>
        <w:rPr>
          <w:sz w:val="20"/>
          <w:szCs w:val="20"/>
          <w:color w:val="auto"/>
        </w:rPr>
      </w:pPr>
      <w:r>
        <w:rPr>
          <w:rFonts w:ascii="Arial" w:cs="Arial" w:eastAsia="Arial" w:hAnsi="Arial"/>
          <w:sz w:val="19"/>
          <w:szCs w:val="19"/>
          <w:color w:val="auto"/>
        </w:rPr>
        <w:t xml:space="preserve">Indebtedness being modified, refinanced, refunded, renewed or extended;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certificate of a Responsible Officer shall be delivered to the Administrative Agent at least five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requirements and (ii) the primary obligor in respect of, and the Persons (if any) that Guarantee, Indebtedness resulting from such modification, refinancing, refunding, renewal or extension are the primary obligor in respect of, and Persons (if any) that Guaranteed, respectively, the Indebtedness being modified, refinanced, refunded, renewed or extended. For the avoidance of doubt, it is understood that a Permitted Refinancing may constitute a portion of an issuance of Indebtedness in excess of the amount of such Permitted Refinancing;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excess amount is otherwise permitted to be incurred under Section 6.01.</w:t>
      </w:r>
    </w:p>
    <w:p>
      <w:pPr>
        <w:spacing w:after="0" w:line="181"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Tax Distributions</w:t>
      </w:r>
      <w:r>
        <w:rPr>
          <w:rFonts w:ascii="Arial" w:cs="Arial" w:eastAsia="Arial" w:hAnsi="Arial"/>
          <w:sz w:val="18"/>
          <w:szCs w:val="18"/>
          <w:color w:val="auto"/>
        </w:rPr>
        <w:t>” means, collectively distributions to the members of Holdings in cash in an amount up to (i) in the case of payments in respect of a Tax Estimation Period, the excess of (A)(I) the Company Income Amount for the Tax Estimation Period in question and for all preceding Tax Estimation Periods, if any, within the Taxable Year containing such Tax Estimation Period multiplied by (II) the Assumed Tax Rate over (B) the aggregate amount of any distributions made with respect to any previous Tax Estimation Period falling in the Taxable Year containing the applicable Tax Estimation Period referred to in (A)(I), and (ii) after the end of a Taxable Year, the excess, if any, of (A)(I) the Taxable Year Income Amount for the Taxable Year in question multiplied by (II) the Assumed Tax Rate over (B) the aggregate amount of any Permitted Tax Distributions under clause (i) made with respect to the Tax Estimation Periods in such Taxable Year; provided that if the amount payable in connection with a Tax Estimation Period under clause (i) is less than the aggregate required annualized installment for all members of Holdings for the estimated payment date for such Tax Estimation Period under Section 6655(e) of the Code (calculated assuming (x) all such members are corporations (other than with respect to the Assumed Tax Rate) and Section 6655(e)(2)(C)(ii) is in effect, (y) such members’ only income is from Holdings (determined without regard to any adjustments under Code Sections 743(b) or 704(c)) and (z) the Assumed Tax Rate applies), Holdings shall be permitted to pay an additional amount with respect to such estimated payment date equal to the excess of such aggregate required annualized installment over the amount permitted under clause (i).</w:t>
      </w:r>
    </w:p>
    <w:p>
      <w:pPr>
        <w:spacing w:after="0" w:line="173" w:lineRule="exact"/>
        <w:rPr>
          <w:sz w:val="20"/>
          <w:szCs w:val="20"/>
          <w:color w:val="auto"/>
        </w:rPr>
      </w:pPr>
    </w:p>
    <w:p>
      <w:pPr>
        <w:jc w:val="both"/>
        <w:ind w:firstLine="63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Unsecured Refinancing Debt</w:t>
      </w:r>
      <w:r>
        <w:rPr>
          <w:rFonts w:ascii="Arial" w:cs="Arial" w:eastAsia="Arial" w:hAnsi="Arial"/>
          <w:sz w:val="17"/>
          <w:szCs w:val="17"/>
          <w:color w:val="auto"/>
        </w:rPr>
        <w:t xml:space="preserve">” means unsecured Indebtedness incurred by any Loan Party in the form of one or more series of senior unsecured notes or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Indebtedness constitutes Credit Agreement Refinancing Indebtedness, (ii)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(iii) such Indebtedness is not at any time guaranteed by any Subsidiaries other than Loan Parties and (iv) such Indebtedness (including any Guarantee thereof) is not secured by any Lien on any property or assets of Holdings or any Restricted Subsidiary. Permitted Unsecured Refinancing Debt will include any Registered Equivalent Notes issued in exchange therefor.</w:t>
      </w:r>
    </w:p>
    <w:p>
      <w:pPr>
        <w:spacing w:after="0" w:line="14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natural person, corporation, limited liability company, trust, joint venture, association, company, partnership, Governmental Authority or other entity.</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Platform</w:t>
      </w:r>
      <w:r>
        <w:rPr>
          <w:rFonts w:ascii="Arial" w:cs="Arial" w:eastAsia="Arial" w:hAnsi="Arial"/>
          <w:sz w:val="19"/>
          <w:szCs w:val="19"/>
          <w:color w:val="auto"/>
        </w:rPr>
        <w:t>” has the meaning assigned to such term in Section 5.01.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Post-Transaction Period</w:t>
      </w:r>
      <w:r>
        <w:rPr>
          <w:rFonts w:ascii="Arial" w:cs="Arial" w:eastAsia="Arial" w:hAnsi="Arial"/>
          <w:sz w:val="19"/>
          <w:szCs w:val="19"/>
          <w:color w:val="auto"/>
        </w:rPr>
        <w:t>” has the meaning assigned to such term in the definition of “Pro Forma Adjustment.”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Prepayment Event</w:t>
      </w:r>
      <w:r>
        <w:rPr>
          <w:rFonts w:ascii="Arial" w:cs="Arial" w:eastAsia="Arial" w:hAnsi="Arial"/>
          <w:sz w:val="19"/>
          <w:szCs w:val="19"/>
          <w:color w:val="auto"/>
        </w:rPr>
        <w:t>” means:</w:t>
      </w:r>
    </w:p>
    <w:p>
      <w:pPr>
        <w:spacing w:after="0" w:line="221" w:lineRule="exact"/>
        <w:rPr>
          <w:sz w:val="20"/>
          <w:szCs w:val="20"/>
          <w:color w:val="auto"/>
        </w:rPr>
      </w:pPr>
    </w:p>
    <w:p>
      <w:pPr>
        <w:jc w:val="both"/>
        <w:ind w:firstLine="635"/>
        <w:spacing w:after="0" w:line="252" w:lineRule="auto"/>
        <w:tabs>
          <w:tab w:leader="none" w:pos="1215"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sale, transfer or other disposition (including (x) pursuant to a sale and leaseback transaction, (y) by way of merger or consolidation and (z) any casualty or other insured damage to, or any taking under power of eminent domain or by condemnation or similar proceeding) of any property or asset of Holdings or any of its Restricted Subsidiaries permitted by Section 6.05(f), (j), (k), (m) or (n) other than dispositions resulting in aggregate Net Proceeds not exceeding (A) $5,000,000 in the case of any single transaction or series of related transactions and (B) $10,000,000 for all such transactions during any fiscal year of Holdings; or</w:t>
      </w:r>
    </w:p>
    <w:p>
      <w:pPr>
        <w:spacing w:after="0" w:line="178" w:lineRule="exact"/>
        <w:rPr>
          <w:rFonts w:ascii="Arial" w:cs="Arial" w:eastAsia="Arial" w:hAnsi="Arial"/>
          <w:sz w:val="19"/>
          <w:szCs w:val="19"/>
          <w:color w:val="auto"/>
        </w:rPr>
      </w:pPr>
    </w:p>
    <w:p>
      <w:pPr>
        <w:jc w:val="both"/>
        <w:ind w:firstLine="635"/>
        <w:spacing w:after="0" w:line="254" w:lineRule="auto"/>
        <w:tabs>
          <w:tab w:leader="none" w:pos="1118"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incurrence by the Borrower or any of its Restricted Subsidiaries of any Indebtedness, other than Indebtedness permitted under Section 6.01 (other than Permitted Unsecured Refinancing Debt, Permitted First Priority Refinancing Debt, Permitted Junior Lien Refinancing Debt and Other Term Loans which shall constitute a Prepayment Event to the extent required by the definition of “Credit Agreement Refinancing Indebtedness”) or permitted by the Required Lenders pursuant to Section 9.02.</w:t>
      </w:r>
    </w:p>
    <w:p>
      <w:pPr>
        <w:spacing w:after="0" w:line="172" w:lineRule="exact"/>
        <w:rPr>
          <w:sz w:val="20"/>
          <w:szCs w:val="20"/>
          <w:color w:val="auto"/>
        </w:rPr>
      </w:pPr>
    </w:p>
    <w:p>
      <w:pPr>
        <w:jc w:val="both"/>
        <w:ind w:firstLine="63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w:t>
      </w:r>
      <w:r>
        <w:rPr>
          <w:rFonts w:ascii="Arial" w:cs="Arial" w:eastAsia="Arial" w:hAnsi="Arial"/>
          <w:sz w:val="18"/>
          <w:szCs w:val="18"/>
          <w:u w:val="single" w:color="auto"/>
          <w:color w:val="0000FF"/>
        </w:rPr>
        <w:t>last quoted by The Wall Street Journal as the “Prime Rate” in the U.S. or, if The Wall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w:t>
      </w:r>
      <w:r>
        <w:rPr>
          <w:rFonts w:ascii="Arial" w:cs="Arial" w:eastAsia="Arial" w:hAnsi="Arial"/>
          <w:sz w:val="18"/>
          <w:szCs w:val="18"/>
          <w:color w:val="0000FF"/>
        </w:rPr>
        <w:t xml:space="preserve"> </w:t>
      </w:r>
      <w:r>
        <w:rPr>
          <w:rFonts w:ascii="Arial" w:cs="Arial" w:eastAsia="Arial" w:hAnsi="Arial"/>
          <w:sz w:val="18"/>
          <w:szCs w:val="18"/>
          <w:color w:val="000000"/>
        </w:rPr>
        <w:t>determined by the Administrative Agent</w:t>
      </w:r>
      <w:r>
        <w:rPr>
          <w:rFonts w:ascii="Arial" w:cs="Arial" w:eastAsia="Arial" w:hAnsi="Arial"/>
          <w:sz w:val="18"/>
          <w:szCs w:val="18"/>
          <w:color w:val="0000FF"/>
        </w:rPr>
        <w:t xml:space="preserve"> </w:t>
      </w:r>
      <w:r>
        <w:rPr>
          <w:rFonts w:ascii="Arial" w:cs="Arial" w:eastAsia="Arial" w:hAnsi="Arial"/>
          <w:sz w:val="18"/>
          <w:szCs w:val="18"/>
          <w:color w:val="FF0000"/>
          <w:strike w:val="1"/>
        </w:rPr>
        <w:t>as its prime rate in effect at its principal office in New York City and notified to the Borrower,</w:t>
      </w:r>
      <w:r>
        <w:rPr>
          <w:rFonts w:ascii="Arial" w:cs="Arial" w:eastAsia="Arial" w:hAnsi="Arial"/>
          <w:sz w:val="18"/>
          <w:szCs w:val="18"/>
          <w:color w:val="0000FF"/>
        </w:rPr>
        <w:t xml:space="preserve"> </w:t>
      </w:r>
      <w:r>
        <w:rPr>
          <w:rFonts w:ascii="Arial" w:cs="Arial" w:eastAsia="Arial" w:hAnsi="Arial"/>
          <w:sz w:val="18"/>
          <w:szCs w:val="18"/>
          <w:color w:val="FF0000"/>
          <w:strike w:val="1"/>
        </w:rPr>
        <w:t>as in effect from time to time. The Prime Rate is a reference rate and does not necessarily represent the lowest or best rate actually charged to any customer. The</w:t>
      </w:r>
      <w:r>
        <w:rPr>
          <w:rFonts w:ascii="Arial" w:cs="Arial" w:eastAsia="Arial" w:hAnsi="Arial"/>
          <w:sz w:val="18"/>
          <w:szCs w:val="18"/>
          <w:u w:val="single" w:color="auto"/>
          <w:color w:val="0000FF"/>
          <w:strike w:val="1"/>
        </w:rPr>
        <w:t>) or any similar release by the Federal Reserve Board (as determined by the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Administrative Agent</w:t>
      </w:r>
      <w:r>
        <w:rPr>
          <w:rFonts w:ascii="Arial" w:cs="Arial" w:eastAsia="Arial" w:hAnsi="Arial"/>
          <w:sz w:val="18"/>
          <w:szCs w:val="18"/>
          <w:color w:val="FF0000"/>
          <w:strike w:val="1"/>
        </w:rPr>
        <w:t xml:space="preserve"> or any Lender may make commercial loans or other loans at rates of interest at, above or below</w:t>
      </w:r>
      <w:r>
        <w:rPr>
          <w:rFonts w:ascii="Arial" w:cs="Arial" w:eastAsia="Arial" w:hAnsi="Arial"/>
          <w:sz w:val="18"/>
          <w:szCs w:val="18"/>
          <w:u w:val="single" w:color="auto"/>
          <w:color w:val="0000FF"/>
          <w:strike w:val="1"/>
        </w:rPr>
        <w:t>). Each change in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the Prime Rate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shall be effective from and including the date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such change is publicly announced or quoted as being effective</w:t>
      </w:r>
      <w:r>
        <w:rPr>
          <w:rFonts w:ascii="Arial" w:cs="Arial" w:eastAsia="Arial" w:hAnsi="Arial"/>
          <w:sz w:val="18"/>
          <w:szCs w:val="18"/>
          <w:color w:val="000000"/>
          <w:strike w:val="1"/>
        </w:rPr>
        <w:t>.</w:t>
      </w:r>
    </w:p>
    <w:p>
      <w:pPr>
        <w:spacing w:after="0" w:line="160" w:lineRule="exact"/>
        <w:rPr>
          <w:sz w:val="20"/>
          <w:szCs w:val="20"/>
          <w:color w:val="auto"/>
        </w:rPr>
      </w:pPr>
    </w:p>
    <w:p>
      <w:pPr>
        <w:jc w:val="both"/>
        <w:ind w:firstLine="630"/>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Adjustment</w:t>
      </w:r>
      <w:r>
        <w:rPr>
          <w:rFonts w:ascii="Arial" w:cs="Arial" w:eastAsia="Arial" w:hAnsi="Arial"/>
          <w:sz w:val="17"/>
          <w:szCs w:val="17"/>
          <w:color w:val="auto"/>
        </w:rPr>
        <w:t>” means, for any Test Period, the amount of “run rate” net cost savings, synergies and operating expense reductions projected by Holdings in good faith to result from the Transactions or other acquisitions or dispositions, in each case no later than 18 months after the Escrow Assumption Date or the date of such other acquisition or disposition (the “</w:t>
      </w:r>
      <w:r>
        <w:rPr>
          <w:rFonts w:ascii="Arial" w:cs="Arial" w:eastAsia="Arial" w:hAnsi="Arial"/>
          <w:sz w:val="17"/>
          <w:szCs w:val="17"/>
          <w:b w:val="1"/>
          <w:bCs w:val="1"/>
          <w:color w:val="auto"/>
        </w:rPr>
        <w:t>Post-Transaction Period</w:t>
      </w:r>
      <w:r>
        <w:rPr>
          <w:rFonts w:ascii="Arial" w:cs="Arial" w:eastAsia="Arial" w:hAnsi="Arial"/>
          <w:sz w:val="17"/>
          <w:szCs w:val="17"/>
          <w:color w:val="auto"/>
        </w:rPr>
        <w:t xml:space="preserve">”) (calculated on a Pro Forma Basis as though such cost savings, operating expense reductions and synergies had been realized on the first day of the period for which Consolidated EBITDA is being determined and if such cost savings, operating expense reductions and synergies were realized during the entirety of such period), net of the amount of actual benefits realized during such period from such actions (and reflected in Consolidated Net Income for such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cost savings, operating expense reductions and synergies (a) are reasonably identifiable and factually supportable and described in reasonable detail by a Financial Officer in an officer’s certificate delivered to the Administrative Agent (it being understood and agreed that “run rate” means the full recurring benefit for a period that is associated with any action taken, committed to be taken or with respect to which</w:t>
      </w:r>
    </w:p>
    <w:p>
      <w:pPr>
        <w:sectPr>
          <w:pgSz w:w="11900" w:h="16838" w:orient="portrait"/>
          <w:cols w:equalWidth="0" w:num="1">
            <w:col w:w="11420"/>
          </w:cols>
          <w:pgMar w:left="240" w:top="121" w:right="239" w:bottom="0" w:gutter="0" w:footer="0" w:header="0"/>
        </w:sectPr>
      </w:pPr>
    </w:p>
    <w:bookmarkStart w:id="120" w:name="page121"/>
    <w:bookmarkEnd w:id="120"/>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substantial steps have been taken or are expected to be taken), (b) in the case of the Transactions, shall not exceed for any four quarter period (which aggregated with any such “run rate” cost savings pursuant to clause (c) below) $185 million (provided that for any four quarter period ending after (w) the six month anniversary of the Escrow Assumption Date, no more than 75% of such maximum amount may be attributable to cost savings expected to be realized based on actions that have not yet been taken, (x) the nine month anniversary of the Escrow Assumption Date, no more than 50% of such maximum amount may be attributable to cost savings expected to be realized based on actions that have not yet been taken, (y) the one year anniversary of the Escrow Assumption Date, no more than 25% of such maximum amount may be attributable to cost savings expected to be realized based on actions that have not yet been taken and (z) the fifteen month anniversary of the Escrow Assumption Date, none of such amount may be attributable to cost savings expected to be realized based on actions that have not yet been taken) and (c) in the case of acquisitions and dispositions other than in connection with the Transactions, shall not exceed an amount for any four quarter period greater than 15% of Consolidated EBITDA for such four quarter period (calculated prior to giving effect to such add-backs).</w:t>
      </w:r>
    </w:p>
    <w:p>
      <w:pPr>
        <w:spacing w:after="0" w:line="168" w:lineRule="exact"/>
        <w:rPr>
          <w:sz w:val="20"/>
          <w:szCs w:val="20"/>
          <w:color w:val="auto"/>
        </w:rPr>
      </w:pPr>
    </w:p>
    <w:p>
      <w:pPr>
        <w:jc w:val="both"/>
        <w:ind w:firstLine="63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Basis</w:t>
      </w:r>
      <w:r>
        <w:rPr>
          <w:rFonts w:ascii="Arial" w:cs="Arial" w:eastAsia="Arial" w:hAnsi="Arial"/>
          <w:sz w:val="17"/>
          <w:szCs w:val="17"/>
          <w:color w:val="auto"/>
        </w:rPr>
        <w:t>,” “</w:t>
      </w:r>
      <w:r>
        <w:rPr>
          <w:rFonts w:ascii="Arial" w:cs="Arial" w:eastAsia="Arial" w:hAnsi="Arial"/>
          <w:sz w:val="17"/>
          <w:szCs w:val="17"/>
          <w:b w:val="1"/>
          <w:bCs w:val="1"/>
          <w:color w:val="auto"/>
        </w:rPr>
        <w:t>Pro Forma Compliance</w:t>
      </w:r>
      <w:r>
        <w:rPr>
          <w:rFonts w:ascii="Arial" w:cs="Arial" w:eastAsia="Arial" w:hAnsi="Arial"/>
          <w:sz w:val="17"/>
          <w:szCs w:val="17"/>
          <w:color w:val="auto"/>
        </w:rPr>
        <w:t>” and “</w:t>
      </w:r>
      <w:r>
        <w:rPr>
          <w:rFonts w:ascii="Arial" w:cs="Arial" w:eastAsia="Arial" w:hAnsi="Arial"/>
          <w:sz w:val="17"/>
          <w:szCs w:val="17"/>
          <w:b w:val="1"/>
          <w:bCs w:val="1"/>
          <w:color w:val="auto"/>
        </w:rPr>
        <w:t>Pro Forma Effect</w:t>
      </w:r>
      <w:r>
        <w:rPr>
          <w:rFonts w:ascii="Arial" w:cs="Arial" w:eastAsia="Arial" w:hAnsi="Arial"/>
          <w:sz w:val="17"/>
          <w:szCs w:val="17"/>
          <w:color w:val="auto"/>
        </w:rPr>
        <w:t xml:space="preserve">” means, with respect to compliance with any test or covenant hereunder required by the terms of this Agreement to be made on a Pro Forma Basis,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or any of its Restricted Subsidiaries, shall be excluded and (B) in the case of a Permitted Acquisition or Investment described in the definition of “Specified Transaction,” shall be included, (ii) any retirement of Indebtedness, and (iii) any Indebtedness incurred or assumed by Holdings, the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or any of its Restricted Subsidiaries and (z) factually supportable or (ii) otherwise consistent with the definition of Pro Forma Adjustment,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all pro forma adjustments made pursuant to this definition (including the Pro Forma Adjustment) with respect to the Transactions shall be consistent in character and amount with the adjustments reflected in the Pro Forma Financial Statements.</w:t>
      </w:r>
    </w:p>
    <w:p>
      <w:pPr>
        <w:spacing w:after="0" w:line="157" w:lineRule="exact"/>
        <w:rPr>
          <w:sz w:val="20"/>
          <w:szCs w:val="20"/>
          <w:color w:val="auto"/>
        </w:rPr>
      </w:pPr>
    </w:p>
    <w:p>
      <w:pPr>
        <w:jc w:val="both"/>
        <w:ind w:firstLine="630"/>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Disposal Adjustment</w:t>
      </w:r>
      <w:r>
        <w:rPr>
          <w:rFonts w:ascii="Arial" w:cs="Arial" w:eastAsia="Arial" w:hAnsi="Arial"/>
          <w:sz w:val="17"/>
          <w:szCs w:val="17"/>
          <w:color w:val="auto"/>
        </w:rPr>
        <w:t>” means, for any Test Period that includes all or a portion of a fiscal quarter included in any Post-Transaction Period with respect to any Sold Entity or Business or Converted Unrestricted Subsidiary, the pro forma increase or decrease in Consolidated EBITDA projected by Holdings in good faith as a result of contractual arrangements between Holdings or any Restricted Subsidiary entered into with such Sold Entity or Business or Converted Unrestricted Subsidiary at the time of its disposal or conversion within the Post-Transaction Period and which represent an increase or decrease in Consolidated EBITDA which is incremental to the Disposed EBITDA of such Sold Entity or Business or Converted Unrestricted Subsidiary for the most recent four quarter period prior to its disposal or conversion.</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Forma Entity</w:t>
      </w:r>
      <w:r>
        <w:rPr>
          <w:rFonts w:ascii="Arial" w:cs="Arial" w:eastAsia="Arial" w:hAnsi="Arial"/>
          <w:sz w:val="19"/>
          <w:szCs w:val="19"/>
          <w:color w:val="auto"/>
        </w:rPr>
        <w:t>” has the meaning given to such term in the definition of “Acquired EBITDA.”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Forma Financial Statements</w:t>
      </w:r>
      <w:r>
        <w:rPr>
          <w:rFonts w:ascii="Arial" w:cs="Arial" w:eastAsia="Arial" w:hAnsi="Arial"/>
          <w:sz w:val="19"/>
          <w:szCs w:val="19"/>
          <w:color w:val="auto"/>
        </w:rPr>
        <w:t xml:space="preserve">” shall have the meaning set forth in Section </w:t>
      </w:r>
      <w:r>
        <w:rPr>
          <w:rFonts w:ascii="Arial" w:cs="Arial" w:eastAsia="Arial" w:hAnsi="Arial"/>
          <w:sz w:val="19"/>
          <w:szCs w:val="19"/>
          <w:u w:val="single" w:color="auto"/>
          <w:color w:val="auto"/>
        </w:rPr>
        <w:t>4.03(m)</w:t>
      </w:r>
      <w:r>
        <w:rPr>
          <w:rFonts w:ascii="Arial" w:cs="Arial" w:eastAsia="Arial" w:hAnsi="Arial"/>
          <w:sz w:val="19"/>
          <w:szCs w:val="19"/>
          <w:color w:val="auto"/>
        </w:rPr>
        <w: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Proposed Change</w:t>
      </w:r>
      <w:r>
        <w:rPr>
          <w:rFonts w:ascii="Arial" w:cs="Arial" w:eastAsia="Arial" w:hAnsi="Arial"/>
          <w:sz w:val="19"/>
          <w:szCs w:val="19"/>
          <w:color w:val="auto"/>
        </w:rPr>
        <w:t>” has the meaning assigned to such term in Section 9.02(c).</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PTE</w:t>
      </w:r>
      <w:r>
        <w:rPr>
          <w:rFonts w:ascii="Arial" w:cs="Arial" w:eastAsia="Arial" w:hAnsi="Arial"/>
          <w:sz w:val="19"/>
          <w:szCs w:val="19"/>
          <w:color w:val="auto"/>
        </w:rPr>
        <w:t>” means a prohibited transaction class exemption issued by the U.S. Department of Labor, as any such exemption may be amended from time to time.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 Lender</w:t>
      </w:r>
      <w:r>
        <w:rPr>
          <w:rFonts w:ascii="Arial" w:cs="Arial" w:eastAsia="Arial" w:hAnsi="Arial"/>
          <w:sz w:val="19"/>
          <w:szCs w:val="19"/>
          <w:color w:val="auto"/>
        </w:rPr>
        <w:t>” has the meaning assigned to such term in Section 5.01.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Equity Interests</w:t>
      </w:r>
      <w:r>
        <w:rPr>
          <w:rFonts w:ascii="Arial" w:cs="Arial" w:eastAsia="Arial" w:hAnsi="Arial"/>
          <w:sz w:val="19"/>
          <w:szCs w:val="19"/>
          <w:color w:val="auto"/>
        </w:rPr>
        <w:t>” means Equity Interests of a Person other than Disqualified Equity Interests of such Person.</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Qualifying Lender</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Reaffirmation Agreement</w:t>
      </w:r>
      <w:r>
        <w:rPr>
          <w:rFonts w:ascii="Arial" w:cs="Arial" w:eastAsia="Arial" w:hAnsi="Arial"/>
          <w:sz w:val="19"/>
          <w:szCs w:val="19"/>
          <w:color w:val="auto"/>
        </w:rPr>
        <w:t>” means an agreement substantially in the form of Exhibit B.</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Refinanced Debt</w:t>
      </w:r>
      <w:r>
        <w:rPr>
          <w:rFonts w:ascii="Arial" w:cs="Arial" w:eastAsia="Arial" w:hAnsi="Arial"/>
          <w:sz w:val="19"/>
          <w:szCs w:val="19"/>
          <w:color w:val="auto"/>
        </w:rPr>
        <w:t>” has the meaning assigned to such term in the definition of “Credit Agreement Refinancing Indebtedness.”</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Refinancing Amendment</w:t>
      </w:r>
      <w:r>
        <w:rPr>
          <w:rFonts w:ascii="Arial" w:cs="Arial" w:eastAsia="Arial" w:hAnsi="Arial"/>
          <w:sz w:val="19"/>
          <w:szCs w:val="19"/>
          <w:color w:val="auto"/>
        </w:rPr>
        <w:t>” means an amendment to this Agreement in form and substance reasonably satisfactory to the Administrative Agent and the Borrower executed by each of (a) the Borrower and Holdings, (b) the Administrative Agent and (c) each Additional Lender and Lender that agrees to provide any portion of the Credit Agreement Refinancing Indebtedness being incurred pursuant thereto, in accordance with Section 2.19.</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w:t>
      </w:r>
      <w:r>
        <w:rPr>
          <w:rFonts w:ascii="Arial" w:cs="Arial" w:eastAsia="Arial" w:hAnsi="Arial"/>
          <w:sz w:val="19"/>
          <w:szCs w:val="19"/>
          <w:color w:val="auto"/>
        </w:rPr>
        <w:t>” has the meaning assigned to such term in Section 9.04(b).</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Registered Equivalent Notes</w:t>
      </w:r>
      <w:r>
        <w:rPr>
          <w:rFonts w:ascii="Arial" w:cs="Arial" w:eastAsia="Arial" w:hAnsi="Arial"/>
          <w:sz w:val="19"/>
          <w:szCs w:val="19"/>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Regulated Subsidiary</w:t>
      </w:r>
      <w:r>
        <w:rPr>
          <w:rFonts w:ascii="Arial" w:cs="Arial" w:eastAsia="Arial" w:hAnsi="Arial"/>
          <w:sz w:val="19"/>
          <w:szCs w:val="19"/>
          <w:color w:val="auto"/>
        </w:rPr>
        <w:t>” means any Broker-Dealer Subsidiary, any subsidiary of a Broker-Dealer Subsidiary or other Subsidiary subject to regulation of capital adequacy.</w:t>
      </w:r>
    </w:p>
    <w:p>
      <w:pPr>
        <w:spacing w:after="0" w:line="14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Regulatory Supervising Organization</w:t>
      </w:r>
      <w:r>
        <w:rPr>
          <w:rFonts w:ascii="Arial" w:cs="Arial" w:eastAsia="Arial" w:hAnsi="Arial"/>
          <w:sz w:val="19"/>
          <w:szCs w:val="19"/>
          <w:color w:val="auto"/>
        </w:rPr>
        <w:t>” means any of (a) the SEC, (b) the Financial Industry Regulatory Authority, (c) the Chicago Stock Exchange, (d) the Commodity Futures Trading Commission, (e) state securities commissions, (f) the Irish Financial Regulator and (g) any other U.S. or foreign governmental or self-regulatory organization, exchange, clearing house or financial regulatory authority of which any Subsidiary is a member or to whose rules it is subject.</w:t>
      </w:r>
    </w:p>
    <w:p>
      <w:pPr>
        <w:spacing w:after="0" w:line="16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Reimbursement Obligation</w:t>
      </w:r>
      <w:r>
        <w:rPr>
          <w:rFonts w:ascii="Arial" w:cs="Arial" w:eastAsia="Arial" w:hAnsi="Arial"/>
          <w:sz w:val="19"/>
          <w:szCs w:val="19"/>
          <w:color w:val="auto"/>
        </w:rPr>
        <w:t>” means the obligation of the Borrower to reimburse the Issuing Bank pursuant to Section 2.22(d) for amounts drawn under Letters of Credit.</w:t>
      </w:r>
    </w:p>
    <w:p>
      <w:pPr>
        <w:sectPr>
          <w:pgSz w:w="11900" w:h="16893" w:orient="portrait"/>
          <w:cols w:equalWidth="0" w:num="1">
            <w:col w:w="11420"/>
          </w:cols>
          <w:pgMar w:left="240" w:top="121" w:right="239" w:bottom="0" w:gutter="0" w:footer="0" w:header="0"/>
        </w:sectPr>
      </w:pPr>
    </w:p>
    <w:bookmarkStart w:id="121" w:name="page122"/>
    <w:bookmarkEnd w:id="121"/>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Related Parties</w:t>
      </w:r>
      <w:r>
        <w:rPr>
          <w:rFonts w:ascii="Arial" w:cs="Arial" w:eastAsia="Arial" w:hAnsi="Arial"/>
          <w:sz w:val="19"/>
          <w:szCs w:val="19"/>
          <w:color w:val="auto"/>
        </w:rPr>
        <w:t>” means, with respect to any specified Person, such Person’s Affiliates and the partners, directors, officers, employees, trustees, agents, controlling persons, advisors and other representatives of such Person and of each of such Person’s Affiliates and permitted successors and assigns.</w:t>
      </w:r>
    </w:p>
    <w:p>
      <w:pPr>
        <w:spacing w:after="0" w:line="161"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w:t>
      </w:r>
      <w:r>
        <w:rPr>
          <w:rFonts w:ascii="Arial" w:cs="Arial" w:eastAsia="Arial" w:hAnsi="Arial"/>
          <w:sz w:val="19"/>
          <w:szCs w:val="19"/>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Released Subsidiary</w:t>
      </w:r>
      <w:r>
        <w:rPr>
          <w:rFonts w:ascii="Arial" w:cs="Arial" w:eastAsia="Arial" w:hAnsi="Arial"/>
          <w:sz w:val="19"/>
          <w:szCs w:val="19"/>
          <w:color w:val="auto"/>
        </w:rPr>
        <w:t>” has the meaning assigned to such term in Section 6.14(b).</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Repo Agreement</w:t>
      </w:r>
      <w:r>
        <w:rPr>
          <w:rFonts w:ascii="Arial" w:cs="Arial" w:eastAsia="Arial" w:hAnsi="Arial"/>
          <w:sz w:val="19"/>
          <w:szCs w:val="19"/>
          <w:color w:val="auto"/>
        </w:rPr>
        <w:t>” means any of the following: repurchase agreements, reverse repurchase agreements, sell buy backs and buy sell backs agreements, securities lending and borrowing agreements and any other agreement or transaction similar to those referred to above in this definition.</w:t>
      </w:r>
    </w:p>
    <w:p>
      <w:pPr>
        <w:spacing w:after="0" w:line="161" w:lineRule="exact"/>
        <w:rPr>
          <w:sz w:val="20"/>
          <w:szCs w:val="20"/>
          <w:color w:val="auto"/>
        </w:rPr>
      </w:pPr>
    </w:p>
    <w:p>
      <w:pPr>
        <w:jc w:val="both"/>
        <w:ind w:firstLine="630"/>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Repricing Transaction</w:t>
      </w:r>
      <w:r>
        <w:rPr>
          <w:rFonts w:ascii="Arial" w:cs="Arial" w:eastAsia="Arial" w:hAnsi="Arial"/>
          <w:sz w:val="17"/>
          <w:szCs w:val="17"/>
          <w:color w:val="auto"/>
        </w:rPr>
        <w:t>” means the prepayment or refinancing of all or a portion of the Term B-</w:t>
      </w:r>
      <w:r>
        <w:rPr>
          <w:rFonts w:ascii="Arial" w:cs="Arial" w:eastAsia="Arial" w:hAnsi="Arial"/>
          <w:sz w:val="17"/>
          <w:szCs w:val="17"/>
          <w:color w:val="FF0000"/>
          <w:strike w:val="1"/>
        </w:rPr>
        <w:t>1</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Loans with the incurrence by any Loan Party of any long term bank debt financing incurred for the primary purpose of repaying, refinancing, substituting or replacing the Term B-</w:t>
      </w:r>
      <w:r>
        <w:rPr>
          <w:rFonts w:ascii="Arial" w:cs="Arial" w:eastAsia="Arial" w:hAnsi="Arial"/>
          <w:sz w:val="17"/>
          <w:szCs w:val="17"/>
          <w:color w:val="FF0000"/>
          <w:strike w:val="1"/>
        </w:rPr>
        <w:t>1</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Loans and having an effective interest cost or weighted average yield (as determined by the Administrative Agent consistent with generally accepted financial practice and, in any event, excluding any arrangement or commitment fees in connection therewith) that is less than the interest rate for or weighted average yield (as determined by the Administrative Agent on the same basis) of the Term B-</w:t>
      </w:r>
      <w:r>
        <w:rPr>
          <w:rFonts w:ascii="Arial" w:cs="Arial" w:eastAsia="Arial" w:hAnsi="Arial"/>
          <w:sz w:val="17"/>
          <w:szCs w:val="17"/>
          <w:color w:val="FF0000"/>
          <w:strike w:val="1"/>
        </w:rPr>
        <w:t>1</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Loans, including without limitation, as may be effected through any amendment to this Agreement relating to the interest rate for, or weighted average yield of, the Term B-</w:t>
      </w:r>
      <w:r>
        <w:rPr>
          <w:rFonts w:ascii="Arial" w:cs="Arial" w:eastAsia="Arial" w:hAnsi="Arial"/>
          <w:sz w:val="17"/>
          <w:szCs w:val="17"/>
          <w:color w:val="FF0000"/>
          <w:strike w:val="1"/>
        </w:rPr>
        <w:t>1</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Loans.</w:t>
      </w:r>
    </w:p>
    <w:p>
      <w:pPr>
        <w:spacing w:after="0" w:line="146"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means, at any time, Lenders having Revolving Exposures, Term Loans and unused Commitments representing more than 50% of the aggregate Revolving Exposures, outstanding Term Loans and unused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set forth in Section 9.02, (a) the Revolving Exposures, Term Loans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Required Lenders.</w:t>
      </w:r>
    </w:p>
    <w:p>
      <w:pPr>
        <w:spacing w:after="0" w:line="157"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Requirements of Law</w:t>
      </w:r>
      <w:r>
        <w:rPr>
          <w:rFonts w:ascii="Arial" w:cs="Arial" w:eastAsia="Arial" w:hAnsi="Arial"/>
          <w:sz w:val="19"/>
          <w:szCs w:val="19"/>
          <w:color w:val="auto"/>
        </w:rPr>
        <w:t>” means, with respect to any Person, any statutes, laws (common, statutory or otherwise), treaties, rules, regulations (including any official interpretations thereof), orders, decrees, writs, injunctions or determinations of any arbitrator or court or other Governmental Authority or Regulatory Supervising Organization, in each case applicable to or binding upon such Person or any of its property or to which such Person or any of its property is subject.</w:t>
      </w:r>
    </w:p>
    <w:p>
      <w:pPr>
        <w:spacing w:after="0" w:line="167" w:lineRule="exact"/>
        <w:rPr>
          <w:sz w:val="20"/>
          <w:szCs w:val="20"/>
          <w:color w:val="auto"/>
        </w:rPr>
      </w:pPr>
    </w:p>
    <w:p>
      <w:pPr>
        <w:jc w:val="both"/>
        <w:ind w:firstLine="63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means the chief executive officer, chief operating officer, president, vice president, chief financial officer, treasurer or assistant treasurer, or other similar officer, manager or a director of a Loan Party and with respect to certain limited liability companies or partnerships that do not have officers, any manager, sole member, managing member or general partner thereof, and as to any document delivered on the Restatement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4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Restatement Agreement</w:t>
      </w:r>
      <w:r>
        <w:rPr>
          <w:rFonts w:ascii="Arial" w:cs="Arial" w:eastAsia="Arial" w:hAnsi="Arial"/>
          <w:sz w:val="19"/>
          <w:szCs w:val="19"/>
          <w:color w:val="auto"/>
        </w:rPr>
        <w:t>” means the Restatement Agreement to the Existing Credit Agreement dated as of June 30, 2017 by and among each of the Loan Parties party thereto, the Administrative Agent and the Lenders party thereto.</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Restatement Effective Date</w:t>
      </w:r>
      <w:r>
        <w:rPr>
          <w:rFonts w:ascii="Arial" w:cs="Arial" w:eastAsia="Arial" w:hAnsi="Arial"/>
          <w:sz w:val="19"/>
          <w:szCs w:val="19"/>
          <w:color w:val="auto"/>
        </w:rPr>
        <w:t>” has the meaning given to such term in the Restatement Agreement.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Restatement Effective Date Certificate</w:t>
      </w:r>
      <w:r>
        <w:rPr>
          <w:rFonts w:ascii="Arial" w:cs="Arial" w:eastAsia="Arial" w:hAnsi="Arial"/>
          <w:sz w:val="19"/>
          <w:szCs w:val="19"/>
          <w:color w:val="auto"/>
        </w:rPr>
        <w:t>” means a Restatement Effective Date Certificate substantially in the form of Exhibit G.</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Restatement Effective Date Refinancing</w:t>
      </w:r>
      <w:r>
        <w:rPr>
          <w:rFonts w:ascii="Arial" w:cs="Arial" w:eastAsia="Arial" w:hAnsi="Arial"/>
          <w:sz w:val="19"/>
          <w:szCs w:val="19"/>
          <w:color w:val="auto"/>
        </w:rPr>
        <w:t>” means the repayment of the Non-Converting Term Loans.</w:t>
      </w:r>
    </w:p>
    <w:p>
      <w:pPr>
        <w:spacing w:after="0" w:line="215"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Holdings, the Borrower or any Restricted Subsidiary or any Intermediate Parent, or any payment (whether in cash, securities or other property), including any sinking fund or similar deposit, on account of the purchase, redemption, retirement, acquisition, cancellation or termination of any Equity Interests in Holdings, any Intermediate Parent, the Borrower or any Restricted Subsidiary or any option, warrant or other right to acquire any such Equity Interests in Holdings, any Intermediate Parent, the Borrower or any Restricted Subsidiary.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Subsidiary</w:t>
      </w:r>
      <w:r>
        <w:rPr>
          <w:rFonts w:ascii="Arial" w:cs="Arial" w:eastAsia="Arial" w:hAnsi="Arial"/>
          <w:sz w:val="19"/>
          <w:szCs w:val="19"/>
          <w:color w:val="auto"/>
        </w:rPr>
        <w:t>” means any Subsidiary other than an Unrestricted Subsidiary.</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Availability Date</w:t>
      </w:r>
      <w:r>
        <w:rPr>
          <w:rFonts w:ascii="Arial" w:cs="Arial" w:eastAsia="Arial" w:hAnsi="Arial"/>
          <w:sz w:val="19"/>
          <w:szCs w:val="19"/>
          <w:color w:val="auto"/>
        </w:rPr>
        <w:t>” means April 21, 2015.</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Availability Period</w:t>
      </w:r>
      <w:r>
        <w:rPr>
          <w:rFonts w:ascii="Arial" w:cs="Arial" w:eastAsia="Arial" w:hAnsi="Arial"/>
          <w:sz w:val="19"/>
          <w:szCs w:val="19"/>
          <w:color w:val="auto"/>
        </w:rPr>
        <w:t>” means the period from and including the Revolving Availability Date to but excluding the earlier of (a) the Revolving Maturity Date and (b) the date of the termination of the Revolving Commitments.</w:t>
      </w:r>
    </w:p>
    <w:p>
      <w:pPr>
        <w:spacing w:after="0" w:line="145"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Commitment</w:t>
      </w:r>
      <w:r>
        <w:rPr>
          <w:rFonts w:ascii="Arial" w:cs="Arial" w:eastAsia="Arial" w:hAnsi="Arial"/>
          <w:sz w:val="19"/>
          <w:szCs w:val="19"/>
          <w:color w:val="auto"/>
        </w:rPr>
        <w:t>” means, with respect to each Lender, the commitment, if any, of such Lender to make Revolving Loans and to acquire participations in Letters of Credit hereunder, expressed as an amount representing the maximum possible aggregate amount of such Lender’s Revolving Exposure hereunder, as such commitment may be (a) reduced from time to time pursuant to Section 2.06 and (b) reduced or increased from time to time pursuant to (i) assignments by or to such Lender pursuant to an Assignment and Assumption or (ii) a Refinancing Amendment. The initial amount of each Lender’s Revolving Commitment is set forth on Schedule 2.01, in the Assignment and Assumption or in the Refinancing Amendment pursuant to which such Lender shall have assumed its Revolving Commitment, as the case may be. The initial aggregate amount of the Lenders’ Revolving Commitments was $100,000,000; it being understood that such Revolving Commitments terminated in full on the Escrow Assumption 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Commitment Increase</w:t>
      </w:r>
      <w:r>
        <w:rPr>
          <w:rFonts w:ascii="Arial" w:cs="Arial" w:eastAsia="Arial" w:hAnsi="Arial"/>
          <w:sz w:val="19"/>
          <w:szCs w:val="19"/>
          <w:color w:val="auto"/>
        </w:rPr>
        <w:t>” has the meaning assigned to such term in Section 2.18(c).</w:t>
      </w:r>
    </w:p>
    <w:p>
      <w:pPr>
        <w:sectPr>
          <w:pgSz w:w="11900" w:h="16838" w:orient="portrait"/>
          <w:cols w:equalWidth="0" w:num="1">
            <w:col w:w="11420"/>
          </w:cols>
          <w:pgMar w:left="240" w:top="261" w:right="239" w:bottom="176" w:gutter="0" w:footer="0" w:header="0"/>
        </w:sectPr>
      </w:pPr>
    </w:p>
    <w:bookmarkStart w:id="122" w:name="page123"/>
    <w:bookmarkEnd w:id="122"/>
    <w:p>
      <w:pPr>
        <w:jc w:val="both"/>
        <w:ind w:firstLine="630"/>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Commitment Letter</w:t>
      </w:r>
      <w:r>
        <w:rPr>
          <w:rFonts w:ascii="Arial" w:cs="Arial" w:eastAsia="Arial" w:hAnsi="Arial"/>
          <w:sz w:val="19"/>
          <w:szCs w:val="19"/>
          <w:color w:val="auto"/>
        </w:rPr>
        <w:t>” means, with respect to the Revolving Lenders party to Amendment No. 1 to the Existing Credit Agreement, the Commitment Letter dated on or about February 19, 2015 among Holdings and the Revolving Lenders.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Commitment Termination Date</w:t>
      </w:r>
      <w:r>
        <w:rPr>
          <w:rFonts w:ascii="Arial" w:cs="Arial" w:eastAsia="Arial" w:hAnsi="Arial"/>
          <w:sz w:val="19"/>
          <w:szCs w:val="19"/>
          <w:color w:val="auto"/>
        </w:rPr>
        <w:t>” means the Revolving Maturity Date.</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Exposure</w:t>
      </w:r>
      <w:r>
        <w:rPr>
          <w:rFonts w:ascii="Arial" w:cs="Arial" w:eastAsia="Arial" w:hAnsi="Arial"/>
          <w:sz w:val="19"/>
          <w:szCs w:val="19"/>
          <w:color w:val="auto"/>
        </w:rPr>
        <w:t>” means, with respect to any Revolving Lender at any time, the sum of the outstanding principal amount of such Revolving Lender’s Revolving Loans and its LC Exposure at such time.</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Lender</w:t>
      </w:r>
      <w:r>
        <w:rPr>
          <w:rFonts w:ascii="Arial" w:cs="Arial" w:eastAsia="Arial" w:hAnsi="Arial"/>
          <w:sz w:val="19"/>
          <w:szCs w:val="19"/>
          <w:color w:val="auto"/>
        </w:rPr>
        <w:t>” means a Lender with a Revolving Commitment or, if the Revolving Commitments have terminated or expired, a Lender with Revolving Exposure.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Loan</w:t>
      </w:r>
      <w:r>
        <w:rPr>
          <w:rFonts w:ascii="Arial" w:cs="Arial" w:eastAsia="Arial" w:hAnsi="Arial"/>
          <w:sz w:val="19"/>
          <w:szCs w:val="19"/>
          <w:color w:val="auto"/>
        </w:rPr>
        <w:t>” means a Loan made pursuant to clause (c) of Section 2.01.</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Maturity Date</w:t>
      </w:r>
      <w:r>
        <w:rPr>
          <w:rFonts w:ascii="Arial" w:cs="Arial" w:eastAsia="Arial" w:hAnsi="Arial"/>
          <w:sz w:val="19"/>
          <w:szCs w:val="19"/>
          <w:color w:val="auto"/>
        </w:rPr>
        <w:t>” means the earlier of (x) April 15, 2018 (or, with respect to any Revolving Lender that has extended its Revolving Commitment pursuant to Section 2.19(b), the extended maturity date set forth in the Extension Notice delivered by the Borrower and such Revolving Lender to the Administrative Agent pursuant to Section 2.19(b)) and (y) the Escrow Assumption Date.</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S&amp;P</w:t>
      </w:r>
      <w:r>
        <w:rPr>
          <w:rFonts w:ascii="Arial" w:cs="Arial" w:eastAsia="Arial" w:hAnsi="Arial"/>
          <w:sz w:val="19"/>
          <w:szCs w:val="19"/>
          <w:color w:val="auto"/>
        </w:rPr>
        <w:t>” means Standard &amp; Poor’s Ratings Services, a division of The McGraw-Hill Companies, Inc., and any successor to its rating agency business.</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Sanctions</w:t>
      </w:r>
      <w:r>
        <w:rPr>
          <w:rFonts w:ascii="Arial" w:cs="Arial" w:eastAsia="Arial" w:hAnsi="Arial"/>
          <w:sz w:val="19"/>
          <w:szCs w:val="19"/>
          <w:color w:val="auto"/>
        </w:rPr>
        <w:t>” means economic sanctions administered or enforced by the United States Government (including without limitation, sanctions enforced by OFAC), the United Nations Security Council, the European Union or Her Majesty’s Treasury.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SDN List</w:t>
      </w:r>
      <w:r>
        <w:rPr>
          <w:rFonts w:ascii="Arial" w:cs="Arial" w:eastAsia="Arial" w:hAnsi="Arial"/>
          <w:sz w:val="19"/>
          <w:szCs w:val="19"/>
          <w:color w:val="auto"/>
        </w:rPr>
        <w:t>” has the meaning assigned to such term in Section 3.19(d).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6"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Lien Notes</w:t>
      </w:r>
      <w:r>
        <w:rPr>
          <w:rFonts w:ascii="Arial" w:cs="Arial" w:eastAsia="Arial" w:hAnsi="Arial"/>
          <w:sz w:val="19"/>
          <w:szCs w:val="19"/>
          <w:color w:val="auto"/>
        </w:rPr>
        <w:t>” means up to $500,000,000 in aggregate principal amount of Senior Secured Second Lien Notes due 2022 to be initially issued by the Escrow Borrower and the Notes Co-Issuer on or prior to the Escrow Assumption Date and the Escrow Borrower’s obligations with respect to which shall be assumed by the Borrower on the Escrow Assumption Date.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Secured Obligations</w:t>
      </w:r>
      <w:r>
        <w:rPr>
          <w:rFonts w:ascii="Arial" w:cs="Arial" w:eastAsia="Arial" w:hAnsi="Arial"/>
          <w:sz w:val="19"/>
          <w:szCs w:val="19"/>
          <w:color w:val="auto"/>
        </w:rPr>
        <w:t>” has the meaning assigned to such term in the Collateral Agreement.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Secured Parties</w:t>
      </w:r>
      <w:r>
        <w:rPr>
          <w:rFonts w:ascii="Arial" w:cs="Arial" w:eastAsia="Arial" w:hAnsi="Arial"/>
          <w:sz w:val="19"/>
          <w:szCs w:val="19"/>
          <w:color w:val="auto"/>
        </w:rPr>
        <w:t>” has the meaning assigned to such term in the Collateral Agreement.</w:t>
      </w:r>
    </w:p>
    <w:p>
      <w:pPr>
        <w:spacing w:after="0" w:line="215"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 the Collateral Agreement, the Mortgages and each other security agreement or pledge agreement executed and delivered pursuant to the Collateral and Guarantee Requirement, Section 5.11 or 5.12 to secure any of the Secured Obligations.</w:t>
      </w:r>
    </w:p>
    <w:p>
      <w:pPr>
        <w:spacing w:after="0" w:line="121" w:lineRule="exact"/>
        <w:rPr>
          <w:sz w:val="20"/>
          <w:szCs w:val="20"/>
          <w:color w:val="auto"/>
        </w:rPr>
      </w:pPr>
    </w:p>
    <w:p>
      <w:pPr>
        <w:jc w:val="both"/>
        <w:ind w:firstLine="630"/>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Representative</w:t>
      </w:r>
      <w:r>
        <w:rPr>
          <w:rFonts w:ascii="Arial" w:cs="Arial" w:eastAsia="Arial" w:hAnsi="Arial"/>
          <w:sz w:val="17"/>
          <w:szCs w:val="17"/>
          <w:color w:val="auto"/>
        </w:rPr>
        <w:t>” means, with respect to the Second Lien Notes or any series of Permitted First Priority Refinancing Debt, Permitted Junior Lien Refinancing Debt, secured Indebtedness incurred pursuant to Section 6.01(a)(viii) or secured Additional Notes issued pursuant to Section 6.01(a)(xxii),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Sold Entity or Business</w:t>
      </w:r>
      <w:r>
        <w:rPr>
          <w:rFonts w:ascii="Arial" w:cs="Arial" w:eastAsia="Arial" w:hAnsi="Arial"/>
          <w:sz w:val="19"/>
          <w:szCs w:val="19"/>
          <w:color w:val="auto"/>
        </w:rPr>
        <w:t>” has the meaning assigned to such term in the definition of the term “Consolidated EBITDA.”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 Proration</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Discounted Prepayment Amount</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Discounted Prepayment Notice</w:t>
      </w:r>
      <w:r>
        <w:rPr>
          <w:rFonts w:ascii="Arial" w:cs="Arial" w:eastAsia="Arial" w:hAnsi="Arial"/>
          <w:sz w:val="19"/>
          <w:szCs w:val="19"/>
          <w:color w:val="auto"/>
        </w:rPr>
        <w:t>” means an irrevocable written notice of a Borrower Solicitation of Discounted Prepayment Offers made pursuant to Section 2.09(a)(ii)(D) substantially in the form of Exhibit M.</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Discounted Prepayment Offer</w:t>
      </w:r>
      <w:r>
        <w:rPr>
          <w:rFonts w:ascii="Arial" w:cs="Arial" w:eastAsia="Arial" w:hAnsi="Arial"/>
          <w:sz w:val="19"/>
          <w:szCs w:val="19"/>
          <w:color w:val="auto"/>
        </w:rPr>
        <w:t>” means the irrevocable written offer by each Term Lender, substantially in the form of Exhibit N, submitted following the Administrative Agent’s receipt of a Solicited Discounted Prepayment Notice.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Discounted Prepayment Response Date</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w:t>
      </w:r>
      <w:r>
        <w:rPr>
          <w:rFonts w:ascii="Arial" w:cs="Arial" w:eastAsia="Arial" w:hAnsi="Arial"/>
          <w:sz w:val="19"/>
          <w:szCs w:val="19"/>
          <w:color w:val="auto"/>
        </w:rPr>
        <w:t>” has the meaning assigned to such term in Section 2.09(a)(ii)(B).</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Prepayment Amount</w:t>
      </w:r>
      <w:r>
        <w:rPr>
          <w:rFonts w:ascii="Arial" w:cs="Arial" w:eastAsia="Arial" w:hAnsi="Arial"/>
          <w:sz w:val="19"/>
          <w:szCs w:val="19"/>
          <w:color w:val="auto"/>
        </w:rPr>
        <w:t>” has the meaning assigned to such term in Section 2.09(a)(ii)(B).</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Prepayment Notice</w:t>
      </w:r>
      <w:r>
        <w:rPr>
          <w:rFonts w:ascii="Arial" w:cs="Arial" w:eastAsia="Arial" w:hAnsi="Arial"/>
          <w:sz w:val="19"/>
          <w:szCs w:val="19"/>
          <w:color w:val="auto"/>
        </w:rPr>
        <w:t>” means an irrevocable written notice of a Borrower Offer of Specified Discount Prepayment made pursuant to Section 2.09(a)(ii)(B) substantially in the form of Exhibit I.</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Prepayment Response</w:t>
      </w:r>
      <w:r>
        <w:rPr>
          <w:rFonts w:ascii="Arial" w:cs="Arial" w:eastAsia="Arial" w:hAnsi="Arial"/>
          <w:sz w:val="19"/>
          <w:szCs w:val="19"/>
          <w:color w:val="auto"/>
        </w:rPr>
        <w:t>” means the irrevocable written response by each Term Lender, substantially in the form of Exhibit J, to a Specified Discount Prepayment Notice.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Prepayment Response Date</w:t>
      </w:r>
      <w:r>
        <w:rPr>
          <w:rFonts w:ascii="Arial" w:cs="Arial" w:eastAsia="Arial" w:hAnsi="Arial"/>
          <w:sz w:val="19"/>
          <w:szCs w:val="19"/>
          <w:color w:val="auto"/>
        </w:rPr>
        <w:t>” has the meaning assigned to such term in Section 2.09(a)(ii)(B).</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Proration</w:t>
      </w:r>
      <w:r>
        <w:rPr>
          <w:rFonts w:ascii="Arial" w:cs="Arial" w:eastAsia="Arial" w:hAnsi="Arial"/>
          <w:sz w:val="19"/>
          <w:szCs w:val="19"/>
          <w:color w:val="auto"/>
        </w:rPr>
        <w:t>” has the meaning assigned to such term in Section 2.09(a)(ii)(B).</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Transaction</w:t>
      </w:r>
      <w:r>
        <w:rPr>
          <w:rFonts w:ascii="Arial" w:cs="Arial" w:eastAsia="Arial" w:hAnsi="Arial"/>
          <w:sz w:val="19"/>
          <w:szCs w:val="19"/>
          <w:color w:val="auto"/>
        </w:rPr>
        <w:t>” means, with respect to any period, the Merger and Contribution, any Investment, sale, transfer or other disposition of assets, incurrence or repayment of Indebtedness, Restricted Payment, subsidiary designation or other event that by the terms of the Loan Documents requires “Pro Forma Compliance” with a test or covenant hereunder or requires such test or covenant to be calculated on a “Pro Forma Basis”.</w:t>
      </w:r>
    </w:p>
    <w:p>
      <w:pPr>
        <w:sectPr>
          <w:pgSz w:w="11900" w:h="16838" w:orient="portrait"/>
          <w:cols w:equalWidth="0" w:num="1">
            <w:col w:w="11420"/>
          </w:cols>
          <w:pgMar w:left="240" w:top="118" w:right="239" w:bottom="0" w:gutter="0" w:footer="0" w:header="0"/>
        </w:sectPr>
      </w:pPr>
    </w:p>
    <w:bookmarkStart w:id="123" w:name="page124"/>
    <w:bookmarkEnd w:id="123"/>
    <w:p>
      <w:pPr>
        <w:jc w:val="both"/>
        <w:ind w:firstLine="630"/>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and any other banking authority, domestic or foreign, to which the Administrative Agent or any Lender (including any branch, Affiliate or other fronting office making or holding a Loan) is subject for Eurocurrency Liabilities (as defined in Regulation D of the Board). Eurodollar Loans shall be deemed to constitute Eurocurrency Liabilities (as defined in Regulation D of the Board) and to be subject to such reserve requirements without benefit of or credit for proration, exemptions or offsets that may be available from time to time to any Lender under such Regulation D. Statutory Reserve Rates shall be adjusted automatically on and as of the effective date of any change in any reserve percentage.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Submitted Amount</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Submitted Discount</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any Indebtedness that is subordinated in right of payment to the Loan Document Obligations.</w:t>
      </w:r>
    </w:p>
    <w:p>
      <w:pPr>
        <w:spacing w:after="0" w:line="226" w:lineRule="exact"/>
        <w:rPr>
          <w:sz w:val="20"/>
          <w:szCs w:val="20"/>
          <w:color w:val="auto"/>
        </w:rPr>
      </w:pPr>
    </w:p>
    <w:p>
      <w:pPr>
        <w:jc w:val="both"/>
        <w:ind w:firstLine="63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b w:val="1"/>
          <w:bCs w:val="1"/>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unless otherwise specified, any subsidiary of Holdings.</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 Loan Party</w:t>
      </w:r>
      <w:r>
        <w:rPr>
          <w:rFonts w:ascii="Arial" w:cs="Arial" w:eastAsia="Arial" w:hAnsi="Arial"/>
          <w:sz w:val="19"/>
          <w:szCs w:val="19"/>
          <w:color w:val="auto"/>
        </w:rPr>
        <w:t>” means each Subsidiary of Holdings that is a party to the Guarantee Agreement (other than any Intermediate Parent, the Borrower or VFGM).</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Successor Borrower</w:t>
      </w:r>
      <w:r>
        <w:rPr>
          <w:rFonts w:ascii="Arial" w:cs="Arial" w:eastAsia="Arial" w:hAnsi="Arial"/>
          <w:sz w:val="19"/>
          <w:szCs w:val="19"/>
          <w:color w:val="auto"/>
        </w:rPr>
        <w:t>” has the meaning assigned to such term in Section 6.03(a)(iv).</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Successor Holdings</w:t>
      </w:r>
      <w:r>
        <w:rPr>
          <w:rFonts w:ascii="Arial" w:cs="Arial" w:eastAsia="Arial" w:hAnsi="Arial"/>
          <w:sz w:val="19"/>
          <w:szCs w:val="19"/>
          <w:color w:val="auto"/>
        </w:rPr>
        <w:t>” has the meaning assigned to such term in Section 6.03(a)(v).</w:t>
      </w:r>
    </w:p>
    <w:p>
      <w:pPr>
        <w:spacing w:after="0" w:line="215"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Swap Agreement</w:t>
      </w:r>
      <w:r>
        <w:rPr>
          <w:rFonts w:ascii="Arial" w:cs="Arial" w:eastAsia="Arial" w:hAnsi="Arial"/>
          <w:sz w:val="19"/>
          <w:szCs w:val="19"/>
          <w:color w:val="auto"/>
        </w:rPr>
        <w:t xml:space="preserve">” means any agreement with respect to any swap, forward, future or derivative transaction or option or similar agreement or contract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phantom stock or similar plan providing for payments only on account of services provided by current or former directors, officers, employees or consultants of Holdings, any Intermediate Parent, the Borrower or the other Subsidiaries shall be a Swap Agreement.</w:t>
      </w:r>
    </w:p>
    <w:p>
      <w:pPr>
        <w:spacing w:after="0" w:line="172"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Estimation Period</w:t>
      </w:r>
      <w:r>
        <w:rPr>
          <w:rFonts w:ascii="Arial" w:cs="Arial" w:eastAsia="Arial" w:hAnsi="Arial"/>
          <w:sz w:val="19"/>
          <w:szCs w:val="19"/>
          <w:color w:val="auto"/>
        </w:rPr>
        <w:t>” means each period (determined without regard to any prior periods) for which an estimate of corporate federal income tax liability is required to be made under the Code.</w:t>
      </w:r>
    </w:p>
    <w:p>
      <w:pPr>
        <w:spacing w:after="0" w:line="145"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Taxable Year</w:t>
      </w:r>
      <w:r>
        <w:rPr>
          <w:rFonts w:ascii="Arial" w:cs="Arial" w:eastAsia="Arial" w:hAnsi="Arial"/>
          <w:sz w:val="18"/>
          <w:szCs w:val="18"/>
          <w:color w:val="auto"/>
        </w:rPr>
        <w:t>” means Holdings' taxable year ending on the last day of each calendar year (or part thereof, in the case of Holdings' last taxable year), or such other year as is (i) required by Section 706 of the Code or (ii) determined by the Board of Managers of Holdings.</w:t>
      </w:r>
    </w:p>
    <w:p>
      <w:pPr>
        <w:spacing w:after="0" w:line="121" w:lineRule="exact"/>
        <w:rPr>
          <w:sz w:val="20"/>
          <w:szCs w:val="20"/>
          <w:color w:val="auto"/>
        </w:rPr>
      </w:pPr>
    </w:p>
    <w:p>
      <w:pPr>
        <w:jc w:val="both"/>
        <w:ind w:firstLine="63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Taxable Year Income Amount</w:t>
      </w:r>
      <w:r>
        <w:rPr>
          <w:rFonts w:ascii="Arial" w:cs="Arial" w:eastAsia="Arial" w:hAnsi="Arial"/>
          <w:sz w:val="17"/>
          <w:szCs w:val="17"/>
          <w:color w:val="auto"/>
        </w:rPr>
        <w:t>” means, for a Taxable Year, an amount equal to the net taxable income of Holdings for such Taxable Year. For purposes of calculating the Taxable Year Income Amount, items of income, gain, loss and deduction resulting from adjustments to the tax basis of Holdings' assets pursuant to Code Section 743(b) and adjustments pursuant to Code Section 704(c) shall not be taken into account.</w:t>
      </w:r>
    </w:p>
    <w:p>
      <w:pPr>
        <w:spacing w:after="0" w:line="12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Taxes</w:t>
      </w:r>
      <w:r>
        <w:rPr>
          <w:rFonts w:ascii="Arial" w:cs="Arial" w:eastAsia="Arial" w:hAnsi="Arial"/>
          <w:sz w:val="19"/>
          <w:szCs w:val="19"/>
          <w:color w:val="auto"/>
        </w:rPr>
        <w:t>” means any and all present or future taxes, levies, imposts, duties, deductions, charges or withholdings imposed by any Governmental Authority, including any interest, additions to tax or penalties applicable thereto.</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Term B-1 Loan</w:t>
      </w:r>
      <w:r>
        <w:rPr>
          <w:rFonts w:ascii="Arial" w:cs="Arial" w:eastAsia="Arial" w:hAnsi="Arial"/>
          <w:sz w:val="18"/>
          <w:szCs w:val="18"/>
          <w:u w:val="single" w:color="auto"/>
          <w:color w:val="0000FF"/>
        </w:rPr>
        <w:t>” means all term loans that are outstanding under this Agreement immediately prior to the Amendment No. 2 Effective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Date.</w:t>
      </w:r>
    </w:p>
    <w:p>
      <w:pPr>
        <w:spacing w:after="0" w:line="193"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B-</w:t>
      </w:r>
      <w:r>
        <w:rPr>
          <w:rFonts w:ascii="Arial" w:cs="Arial" w:eastAsia="Arial" w:hAnsi="Arial"/>
          <w:sz w:val="19"/>
          <w:szCs w:val="19"/>
          <w:b w:val="1"/>
          <w:bCs w:val="1"/>
          <w:color w:val="FF0000"/>
          <w:strike w:val="1"/>
        </w:rPr>
        <w:t>1</w:t>
      </w:r>
      <w:r>
        <w:rPr>
          <w:rFonts w:ascii="Arial" w:cs="Arial" w:eastAsia="Arial" w:hAnsi="Arial"/>
          <w:sz w:val="19"/>
          <w:szCs w:val="19"/>
          <w:b w:val="1"/>
          <w:bCs w:val="1"/>
          <w:u w:val="single" w:color="auto"/>
          <w:color w:val="0000FF"/>
        </w:rPr>
        <w:t>2</w:t>
      </w:r>
      <w:r>
        <w:rPr>
          <w:rFonts w:ascii="Arial" w:cs="Arial" w:eastAsia="Arial" w:hAnsi="Arial"/>
          <w:sz w:val="19"/>
          <w:szCs w:val="19"/>
          <w:color w:val="auto"/>
        </w:rPr>
        <w:t xml:space="preserve"> </w:t>
      </w:r>
      <w:r>
        <w:rPr>
          <w:rFonts w:ascii="Arial" w:cs="Arial" w:eastAsia="Arial" w:hAnsi="Arial"/>
          <w:sz w:val="19"/>
          <w:szCs w:val="19"/>
          <w:b w:val="1"/>
          <w:bCs w:val="1"/>
          <w:color w:val="auto"/>
        </w:rPr>
        <w:t>Commitment</w:t>
      </w:r>
      <w:r>
        <w:rPr>
          <w:rFonts w:ascii="Arial" w:cs="Arial" w:eastAsia="Arial" w:hAnsi="Arial"/>
          <w:sz w:val="19"/>
          <w:szCs w:val="19"/>
          <w:color w:val="auto"/>
        </w:rPr>
        <w:t>” means the obligation of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Lender to make a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 on the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Effective Date in an aggregate principal amount equal to the excess of $</w:t>
      </w:r>
      <w:r>
        <w:rPr>
          <w:rFonts w:ascii="Arial" w:cs="Arial" w:eastAsia="Arial" w:hAnsi="Arial"/>
          <w:sz w:val="19"/>
          <w:szCs w:val="19"/>
          <w:color w:val="FF0000"/>
          <w:strike w:val="1"/>
        </w:rPr>
        <w:t>650,000,000</w:t>
      </w:r>
      <w:r>
        <w:rPr>
          <w:rFonts w:ascii="Arial" w:cs="Arial" w:eastAsia="Arial" w:hAnsi="Arial"/>
          <w:sz w:val="19"/>
          <w:szCs w:val="19"/>
          <w:u w:val="single" w:color="auto"/>
          <w:color w:val="0000FF"/>
        </w:rPr>
        <w:t>400,000,000</w:t>
      </w:r>
      <w:r>
        <w:rPr>
          <w:rFonts w:ascii="Arial" w:cs="Arial" w:eastAsia="Arial" w:hAnsi="Arial"/>
          <w:sz w:val="19"/>
          <w:szCs w:val="19"/>
          <w:color w:val="auto"/>
        </w:rPr>
        <w:t xml:space="preserve"> over the aggregate principal amount of Converted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u w:val="single" w:color="auto"/>
          <w:color w:val="0000FF"/>
        </w:rPr>
        <w:t>B-1</w:t>
      </w:r>
      <w:r>
        <w:rPr>
          <w:rFonts w:ascii="Arial" w:cs="Arial" w:eastAsia="Arial" w:hAnsi="Arial"/>
          <w:sz w:val="19"/>
          <w:szCs w:val="19"/>
          <w:color w:val="auto"/>
        </w:rPr>
        <w:t xml:space="preserve"> Loans.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B-</w:t>
      </w:r>
      <w:r>
        <w:rPr>
          <w:rFonts w:ascii="Arial" w:cs="Arial" w:eastAsia="Arial" w:hAnsi="Arial"/>
          <w:sz w:val="19"/>
          <w:szCs w:val="19"/>
          <w:b w:val="1"/>
          <w:bCs w:val="1"/>
          <w:color w:val="FF0000"/>
          <w:strike w:val="1"/>
        </w:rPr>
        <w:t>1</w:t>
      </w:r>
      <w:r>
        <w:rPr>
          <w:rFonts w:ascii="Arial" w:cs="Arial" w:eastAsia="Arial" w:hAnsi="Arial"/>
          <w:sz w:val="19"/>
          <w:szCs w:val="19"/>
          <w:b w:val="1"/>
          <w:bCs w:val="1"/>
          <w:u w:val="single" w:color="auto"/>
          <w:color w:val="0000FF"/>
        </w:rPr>
        <w:t>2</w:t>
      </w:r>
      <w:r>
        <w:rPr>
          <w:rFonts w:ascii="Arial" w:cs="Arial" w:eastAsia="Arial" w:hAnsi="Arial"/>
          <w:sz w:val="19"/>
          <w:szCs w:val="19"/>
          <w:color w:val="auto"/>
        </w:rPr>
        <w:t xml:space="preserve"> </w:t>
      </w:r>
      <w:r>
        <w:rPr>
          <w:rFonts w:ascii="Arial" w:cs="Arial" w:eastAsia="Arial" w:hAnsi="Arial"/>
          <w:sz w:val="19"/>
          <w:szCs w:val="19"/>
          <w:b w:val="1"/>
          <w:bCs w:val="1"/>
          <w:color w:val="auto"/>
        </w:rPr>
        <w:t>Lender</w:t>
      </w:r>
      <w:r>
        <w:rPr>
          <w:rFonts w:ascii="Arial" w:cs="Arial" w:eastAsia="Arial" w:hAnsi="Arial"/>
          <w:sz w:val="19"/>
          <w:szCs w:val="19"/>
          <w:color w:val="auto"/>
        </w:rPr>
        <w:t xml:space="preserve">” means the Lender identified as such in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B-</w:t>
      </w:r>
      <w:r>
        <w:rPr>
          <w:rFonts w:ascii="Arial" w:cs="Arial" w:eastAsia="Arial" w:hAnsi="Arial"/>
          <w:sz w:val="19"/>
          <w:szCs w:val="19"/>
          <w:b w:val="1"/>
          <w:bCs w:val="1"/>
          <w:color w:val="FF0000"/>
          <w:strike w:val="1"/>
        </w:rPr>
        <w:t>1</w:t>
      </w:r>
      <w:r>
        <w:rPr>
          <w:rFonts w:ascii="Arial" w:cs="Arial" w:eastAsia="Arial" w:hAnsi="Arial"/>
          <w:sz w:val="19"/>
          <w:szCs w:val="19"/>
          <w:b w:val="1"/>
          <w:bCs w:val="1"/>
          <w:u w:val="single" w:color="auto"/>
          <w:color w:val="0000FF"/>
        </w:rPr>
        <w:t>2</w:t>
      </w:r>
      <w:r>
        <w:rPr>
          <w:rFonts w:ascii="Arial" w:cs="Arial" w:eastAsia="Arial" w:hAnsi="Arial"/>
          <w:sz w:val="19"/>
          <w:szCs w:val="19"/>
          <w:color w:val="auto"/>
        </w:rPr>
        <w:t xml:space="preserve"> </w:t>
      </w:r>
      <w:r>
        <w:rPr>
          <w:rFonts w:ascii="Arial" w:cs="Arial" w:eastAsia="Arial" w:hAnsi="Arial"/>
          <w:sz w:val="19"/>
          <w:szCs w:val="19"/>
          <w:b w:val="1"/>
          <w:bCs w:val="1"/>
          <w:color w:val="auto"/>
        </w:rPr>
        <w:t>Loan</w:t>
      </w:r>
      <w:r>
        <w:rPr>
          <w:rFonts w:ascii="Arial" w:cs="Arial" w:eastAsia="Arial" w:hAnsi="Arial"/>
          <w:sz w:val="19"/>
          <w:szCs w:val="19"/>
          <w:color w:val="auto"/>
        </w:rPr>
        <w:t>” has the meaning assigned to such term in Section 2.01(b).</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Commitment</w:t>
      </w:r>
      <w:r>
        <w:rPr>
          <w:rFonts w:ascii="Arial" w:cs="Arial" w:eastAsia="Arial" w:hAnsi="Arial"/>
          <w:sz w:val="19"/>
          <w:szCs w:val="19"/>
          <w:color w:val="auto"/>
        </w:rPr>
        <w:t>” means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Commitment and the obligation of any other Term Lender with respect to any other series of Term Loans to make a Term Loan of such series.</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Lender</w:t>
      </w:r>
      <w:r>
        <w:rPr>
          <w:rFonts w:ascii="Arial" w:cs="Arial" w:eastAsia="Arial" w:hAnsi="Arial"/>
          <w:sz w:val="19"/>
          <w:szCs w:val="19"/>
          <w:color w:val="auto"/>
        </w:rPr>
        <w:t>” means, at any time,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Lender, each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Consenting Lender, and any other Lender with a Term Commitment or a Term Loan at such time.</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Loans</w:t>
      </w:r>
      <w:r>
        <w:rPr>
          <w:rFonts w:ascii="Arial" w:cs="Arial" w:eastAsia="Arial" w:hAnsi="Arial"/>
          <w:sz w:val="19"/>
          <w:szCs w:val="19"/>
          <w:color w:val="auto"/>
        </w:rPr>
        <w:t>” means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Other Term Loans and loans made pursuant to an Incremental Term Facility, as the context requires.</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Maturity Date</w:t>
      </w:r>
      <w:r>
        <w:rPr>
          <w:rFonts w:ascii="Arial" w:cs="Arial" w:eastAsia="Arial" w:hAnsi="Arial"/>
          <w:sz w:val="19"/>
          <w:szCs w:val="19"/>
          <w:color w:val="auto"/>
        </w:rPr>
        <w:t>” means December 30, 2021 (or, with respect to any Term Lender that has extended the maturity date of its Term Loans pursuant to Section 2.19(b), the extended maturity date set forth in the Extension Notice delivered by the Borrower and such Term Lender to the Administrative Agent pursuant to Section 2.19(b)).</w:t>
      </w:r>
    </w:p>
    <w:p>
      <w:pPr>
        <w:sectPr>
          <w:pgSz w:w="11900" w:h="16838" w:orient="portrait"/>
          <w:cols w:equalWidth="0" w:num="1">
            <w:col w:w="11420"/>
          </w:cols>
          <w:pgMar w:left="240" w:top="130" w:right="239" w:bottom="0" w:gutter="0" w:footer="0" w:header="0"/>
        </w:sectPr>
      </w:pPr>
    </w:p>
    <w:bookmarkStart w:id="124" w:name="page125"/>
    <w:bookmarkEnd w:id="124"/>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means, as of any date of determination, the period of four consecutive fiscal quarters of the Borrower then most recently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ended.</w:t>
      </w:r>
    </w:p>
    <w:p>
      <w:pPr>
        <w:spacing w:after="0" w:line="193"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Net Leverage Ratio</w:t>
      </w:r>
      <w:r>
        <w:rPr>
          <w:rFonts w:ascii="Arial" w:cs="Arial" w:eastAsia="Arial" w:hAnsi="Arial"/>
          <w:sz w:val="19"/>
          <w:szCs w:val="19"/>
          <w:color w:val="auto"/>
        </w:rPr>
        <w:t>” means, on any date, the ratio of (a) Consolidated Total Net Debt as of such date to (b) Consolidated EBITDA for the Test Period most recently ended.</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Leverage Ratio</w:t>
      </w:r>
      <w:r>
        <w:rPr>
          <w:rFonts w:ascii="Arial" w:cs="Arial" w:eastAsia="Arial" w:hAnsi="Arial"/>
          <w:sz w:val="19"/>
          <w:szCs w:val="19"/>
          <w:color w:val="auto"/>
        </w:rPr>
        <w:t>” means, on any date, the ratio of (a) Consolidated Total Debt as of such date to (b) Consolidated EBITDA for the Test Period most recently ended.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Revolving Commitments</w:t>
      </w:r>
      <w:r>
        <w:rPr>
          <w:rFonts w:ascii="Arial" w:cs="Arial" w:eastAsia="Arial" w:hAnsi="Arial"/>
          <w:sz w:val="19"/>
          <w:szCs w:val="19"/>
          <w:color w:val="auto"/>
        </w:rPr>
        <w:t>” means, at any time, the aggregate amount of the Revolving Commitments then in effect.</w:t>
      </w:r>
    </w:p>
    <w:p>
      <w:pPr>
        <w:spacing w:after="0" w:line="215"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Debt</w:t>
      </w:r>
      <w:r>
        <w:rPr>
          <w:rFonts w:ascii="Arial" w:cs="Arial" w:eastAsia="Arial" w:hAnsi="Arial"/>
          <w:sz w:val="19"/>
          <w:szCs w:val="19"/>
          <w:color w:val="auto"/>
        </w:rPr>
        <w:t>” means any margin facility or other margin-related Indebtedness or any other Indebtedness incurred exclusively to finance the securities, derivatives, commodities or futures trading positions and related assets and liabilities of Holdings and its Restricted Subsidiaries, including, without limitation, any collateralized loan, any obligations under any securities lending and/or borrowing facility and any day loans and overnight loans with settlement banks and prime brokers to finance securities, derivatives, commodities or futures trading positions and margin loans.</w:t>
      </w:r>
    </w:p>
    <w:p>
      <w:pPr>
        <w:spacing w:after="0" w:line="169"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Costs</w:t>
      </w:r>
      <w:r>
        <w:rPr>
          <w:rFonts w:ascii="Arial" w:cs="Arial" w:eastAsia="Arial" w:hAnsi="Arial"/>
          <w:sz w:val="19"/>
          <w:szCs w:val="19"/>
          <w:color w:val="auto"/>
        </w:rPr>
        <w:t>” means all fees, costs and expenses incurred or payable by Holdings, the Borrower or any other Subsidiary in connection with the Transactions.</w:t>
      </w:r>
    </w:p>
    <w:p>
      <w:pPr>
        <w:spacing w:after="0" w:line="14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Transactions</w:t>
      </w:r>
      <w:r>
        <w:rPr>
          <w:rFonts w:ascii="Arial" w:cs="Arial" w:eastAsia="Arial" w:hAnsi="Arial"/>
          <w:sz w:val="19"/>
          <w:szCs w:val="19"/>
          <w:color w:val="auto"/>
        </w:rPr>
        <w:t>” means, collectively, (i) the Financing Transactions, (iii) the Restatement Effective Date Refinancing, (iv) the consummation of the Merger and Contribution pursuant to the terms of the Merger Agreement, (v) the KCG Refinancing, (vi) the assumption by the Borrower of the Escrow Borrower’s obligations in respect of the Second Lien Notes, and (vii) the payment of the Transaction Costs in connection with the foregoing.</w:t>
      </w:r>
    </w:p>
    <w:p>
      <w:pPr>
        <w:spacing w:after="0" w:line="16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Type</w:t>
      </w:r>
      <w:r>
        <w:rPr>
          <w:rFonts w:ascii="Arial" w:cs="Arial" w:eastAsia="Arial" w:hAnsi="Arial"/>
          <w:sz w:val="19"/>
          <w:szCs w:val="19"/>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Unrestricted Subsidiary</w:t>
      </w:r>
      <w:r>
        <w:rPr>
          <w:rFonts w:ascii="Arial" w:cs="Arial" w:eastAsia="Arial" w:hAnsi="Arial"/>
          <w:sz w:val="19"/>
          <w:szCs w:val="19"/>
          <w:color w:val="auto"/>
        </w:rPr>
        <w:t>” means any Subsidiary (other than an Intermediate Parent or the Borrower) designated by the Borrower as an Unrestricted Subsidiary pursuant to Section 5.13 subsequent to the Restatement Effective Date.</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USA Patriot Act</w:t>
      </w:r>
      <w:r>
        <w:rPr>
          <w:rFonts w:ascii="Arial" w:cs="Arial" w:eastAsia="Arial" w:hAnsi="Arial"/>
          <w:sz w:val="19"/>
          <w:szCs w:val="19"/>
          <w:color w:val="auto"/>
        </w:rPr>
        <w:t>” means the Uniting and Strengthening America by Providing Appropriate Tools Required to Intercept and Obstruct Terrorism Act of 2001, as amended from time to time.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VFGM</w:t>
      </w:r>
      <w:r>
        <w:rPr>
          <w:rFonts w:ascii="Arial" w:cs="Arial" w:eastAsia="Arial" w:hAnsi="Arial"/>
          <w:sz w:val="19"/>
          <w:szCs w:val="19"/>
          <w:color w:val="auto"/>
        </w:rPr>
        <w:t>” means Virtu Financial Global Markets LLC, a Delaware limited liability company.</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Voting Stock</w:t>
      </w:r>
      <w:r>
        <w:rPr>
          <w:rFonts w:ascii="Arial" w:cs="Arial" w:eastAsia="Arial" w:hAnsi="Arial"/>
          <w:sz w:val="19"/>
          <w:szCs w:val="19"/>
          <w:color w:val="auto"/>
        </w:rPr>
        <w:t>” of any specified Person as of any date means the Equity Interests of such Person that is at the time entitled to vote in an election of the Board of Directors of Holdings or such Person.</w:t>
      </w:r>
    </w:p>
    <w:p>
      <w:pPr>
        <w:spacing w:after="0" w:line="14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VV Holders</w:t>
      </w:r>
      <w:r>
        <w:rPr>
          <w:rFonts w:ascii="Arial" w:cs="Arial" w:eastAsia="Arial" w:hAnsi="Arial"/>
          <w:sz w:val="19"/>
          <w:szCs w:val="19"/>
          <w:color w:val="auto"/>
        </w:rPr>
        <w:t>” means (i) Vincent Viola, (ii) TJMT Holdings LLC (f/k/a Virtu Holdings LLC), (iii) any immediate family member of Vincent Viola, a trust, family-partnership or estate-planning vehicle solely for the benefit of Vincent Viola and/or any of his immediate family members (including siblings of Vincent Viola and Teresa Viola), (iv) Virtu Employee Holdco LLC and (v) any other Affiliate of any of the foregoing.</w:t>
      </w:r>
    </w:p>
    <w:p>
      <w:pPr>
        <w:spacing w:after="0" w:line="167" w:lineRule="exact"/>
        <w:rPr>
          <w:sz w:val="20"/>
          <w:szCs w:val="20"/>
          <w:color w:val="auto"/>
        </w:rPr>
      </w:pPr>
    </w:p>
    <w:p>
      <w:pPr>
        <w:jc w:val="both"/>
        <w:ind w:firstLine="630"/>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Wholly Owned Restricted Subsidiary</w:t>
      </w:r>
      <w:r>
        <w:rPr>
          <w:rFonts w:ascii="Arial" w:cs="Arial" w:eastAsia="Arial" w:hAnsi="Arial"/>
          <w:sz w:val="19"/>
          <w:szCs w:val="19"/>
          <w:color w:val="auto"/>
        </w:rPr>
        <w:t>” means any Restricted Subsidiary that is a Wholly Owned Subsidiary of Holdings.</w:t>
      </w:r>
    </w:p>
    <w:p>
      <w:pPr>
        <w:spacing w:after="0" w:line="215"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54"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Withdrawal Liability</w:t>
      </w:r>
      <w:r>
        <w:rPr>
          <w:rFonts w:ascii="Arial" w:cs="Arial" w:eastAsia="Arial" w:hAnsi="Arial"/>
          <w:sz w:val="19"/>
          <w:szCs w:val="19"/>
          <w:color w:val="auto"/>
        </w:rPr>
        <w:t>” means liability to a Multiemployer Plan as a result of a complete or partial withdrawal from such Multiemployer Plan, as such terms are defined in Part I of Subtitle E of Title IV of ERISA.</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i w:val="1"/>
          <w:iCs w:val="1"/>
          <w:color w:val="auto"/>
        </w:rPr>
        <w:t>Classification of Loans and Borrowings</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For purposes of this Agreement, Loans and Borrowings may be classified and</w:t>
      </w:r>
      <w:r>
        <w:rPr>
          <w:rFonts w:ascii="Arial" w:cs="Arial" w:eastAsia="Arial" w:hAnsi="Arial"/>
          <w:sz w:val="21"/>
          <w:szCs w:val="21"/>
          <w:color w:val="auto"/>
        </w:rPr>
        <w:t xml:space="preserve"> </w:t>
      </w:r>
      <w:r>
        <w:rPr>
          <w:rFonts w:ascii="Arial" w:cs="Arial" w:eastAsia="Arial" w:hAnsi="Arial"/>
          <w:sz w:val="19"/>
          <w:szCs w:val="19"/>
          <w:color w:val="auto"/>
        </w:rPr>
        <w:t>referred to by Class (e.g., a “</w:t>
      </w:r>
      <w:r>
        <w:rPr>
          <w:rFonts w:ascii="Arial" w:cs="Arial" w:eastAsia="Arial" w:hAnsi="Arial"/>
          <w:sz w:val="19"/>
          <w:szCs w:val="19"/>
          <w:b w:val="1"/>
          <w:bCs w:val="1"/>
          <w:color w:val="auto"/>
        </w:rPr>
        <w:t>Term Loan</w:t>
      </w:r>
      <w:r>
        <w:rPr>
          <w:rFonts w:ascii="Arial" w:cs="Arial" w:eastAsia="Arial" w:hAnsi="Arial"/>
          <w:sz w:val="19"/>
          <w:szCs w:val="19"/>
          <w:color w:val="auto"/>
        </w:rPr>
        <w:t>” or “</w:t>
      </w:r>
      <w:r>
        <w:rPr>
          <w:rFonts w:ascii="Arial" w:cs="Arial" w:eastAsia="Arial" w:hAnsi="Arial"/>
          <w:sz w:val="19"/>
          <w:szCs w:val="19"/>
          <w:b w:val="1"/>
          <w:bCs w:val="1"/>
          <w:color w:val="auto"/>
        </w:rPr>
        <w:t>Revolving Loan</w:t>
      </w:r>
      <w:r>
        <w:rPr>
          <w:rFonts w:ascii="Arial" w:cs="Arial" w:eastAsia="Arial" w:hAnsi="Arial"/>
          <w:sz w:val="19"/>
          <w:szCs w:val="19"/>
          <w:color w:val="auto"/>
        </w:rPr>
        <w:t>”) or by Type (e.g., a “</w:t>
      </w:r>
      <w:r>
        <w:rPr>
          <w:rFonts w:ascii="Arial" w:cs="Arial" w:eastAsia="Arial" w:hAnsi="Arial"/>
          <w:sz w:val="19"/>
          <w:szCs w:val="19"/>
          <w:b w:val="1"/>
          <w:bCs w:val="1"/>
          <w:color w:val="auto"/>
        </w:rPr>
        <w:t>Eurodollar Loan</w:t>
      </w:r>
      <w:r>
        <w:rPr>
          <w:rFonts w:ascii="Arial" w:cs="Arial" w:eastAsia="Arial" w:hAnsi="Arial"/>
          <w:sz w:val="19"/>
          <w:szCs w:val="19"/>
          <w:color w:val="auto"/>
        </w:rPr>
        <w:t>”) or by Class and Type (e.g., a “</w:t>
      </w:r>
      <w:r>
        <w:rPr>
          <w:rFonts w:ascii="Arial" w:cs="Arial" w:eastAsia="Arial" w:hAnsi="Arial"/>
          <w:sz w:val="19"/>
          <w:szCs w:val="19"/>
          <w:b w:val="1"/>
          <w:bCs w:val="1"/>
          <w:color w:val="auto"/>
        </w:rPr>
        <w:t>Eurodollar</w:t>
      </w:r>
      <w:r>
        <w:rPr>
          <w:rFonts w:ascii="Arial" w:cs="Arial" w:eastAsia="Arial" w:hAnsi="Arial"/>
          <w:sz w:val="19"/>
          <w:szCs w:val="19"/>
          <w:color w:val="auto"/>
        </w:rPr>
        <w:t xml:space="preserve"> </w:t>
      </w:r>
      <w:r>
        <w:rPr>
          <w:rFonts w:ascii="Arial" w:cs="Arial" w:eastAsia="Arial" w:hAnsi="Arial"/>
          <w:sz w:val="19"/>
          <w:szCs w:val="19"/>
          <w:b w:val="1"/>
          <w:bCs w:val="1"/>
          <w:color w:val="auto"/>
        </w:rPr>
        <w:t>Term Loan</w:t>
      </w:r>
      <w:r>
        <w:rPr>
          <w:rFonts w:ascii="Arial" w:cs="Arial" w:eastAsia="Arial" w:hAnsi="Arial"/>
          <w:sz w:val="19"/>
          <w:szCs w:val="19"/>
          <w:color w:val="auto"/>
        </w:rPr>
        <w:t>” or “</w:t>
      </w:r>
      <w:r>
        <w:rPr>
          <w:rFonts w:ascii="Arial" w:cs="Arial" w:eastAsia="Arial" w:hAnsi="Arial"/>
          <w:sz w:val="19"/>
          <w:szCs w:val="19"/>
          <w:b w:val="1"/>
          <w:bCs w:val="1"/>
          <w:color w:val="auto"/>
        </w:rPr>
        <w:t>ABR Revolving Loan</w:t>
      </w:r>
      <w:r>
        <w:rPr>
          <w:rFonts w:ascii="Arial" w:cs="Arial" w:eastAsia="Arial" w:hAnsi="Arial"/>
          <w:sz w:val="19"/>
          <w:szCs w:val="19"/>
          <w:color w:val="auto"/>
        </w:rPr>
        <w:t>”). Borrowings also may be classified and referred to by Class (e.g., a “</w:t>
      </w:r>
      <w:r>
        <w:rPr>
          <w:rFonts w:ascii="Arial" w:cs="Arial" w:eastAsia="Arial" w:hAnsi="Arial"/>
          <w:sz w:val="19"/>
          <w:szCs w:val="19"/>
          <w:b w:val="1"/>
          <w:bCs w:val="1"/>
          <w:color w:val="auto"/>
        </w:rPr>
        <w:t>Term Borrowing</w:t>
      </w:r>
      <w:r>
        <w:rPr>
          <w:rFonts w:ascii="Arial" w:cs="Arial" w:eastAsia="Arial" w:hAnsi="Arial"/>
          <w:sz w:val="19"/>
          <w:szCs w:val="19"/>
          <w:color w:val="auto"/>
        </w:rPr>
        <w:t>” or “</w:t>
      </w:r>
      <w:r>
        <w:rPr>
          <w:rFonts w:ascii="Arial" w:cs="Arial" w:eastAsia="Arial" w:hAnsi="Arial"/>
          <w:sz w:val="19"/>
          <w:szCs w:val="19"/>
          <w:b w:val="1"/>
          <w:bCs w:val="1"/>
          <w:color w:val="auto"/>
        </w:rPr>
        <w:t>Revolving Borrowing</w:t>
      </w:r>
      <w:r>
        <w:rPr>
          <w:rFonts w:ascii="Arial" w:cs="Arial" w:eastAsia="Arial" w:hAnsi="Arial"/>
          <w:sz w:val="19"/>
          <w:szCs w:val="19"/>
          <w:color w:val="auto"/>
        </w:rPr>
        <w:t>”) or by Type (e.g., a “</w:t>
      </w:r>
      <w:r>
        <w:rPr>
          <w:rFonts w:ascii="Arial" w:cs="Arial" w:eastAsia="Arial" w:hAnsi="Arial"/>
          <w:sz w:val="19"/>
          <w:szCs w:val="19"/>
          <w:b w:val="1"/>
          <w:bCs w:val="1"/>
          <w:color w:val="auto"/>
        </w:rPr>
        <w:t>Eurodollar Borrowing</w:t>
      </w:r>
      <w:r>
        <w:rPr>
          <w:rFonts w:ascii="Arial" w:cs="Arial" w:eastAsia="Arial" w:hAnsi="Arial"/>
          <w:sz w:val="19"/>
          <w:szCs w:val="19"/>
          <w:color w:val="auto"/>
        </w:rPr>
        <w:t>”) or by Class and Type (e.g., a “</w:t>
      </w:r>
      <w:r>
        <w:rPr>
          <w:rFonts w:ascii="Arial" w:cs="Arial" w:eastAsia="Arial" w:hAnsi="Arial"/>
          <w:sz w:val="19"/>
          <w:szCs w:val="19"/>
          <w:b w:val="1"/>
          <w:bCs w:val="1"/>
          <w:color w:val="auto"/>
        </w:rPr>
        <w:t>Eurodollar Term Borrowing</w:t>
      </w:r>
      <w:r>
        <w:rPr>
          <w:rFonts w:ascii="Arial" w:cs="Arial" w:eastAsia="Arial" w:hAnsi="Arial"/>
          <w:sz w:val="19"/>
          <w:szCs w:val="19"/>
          <w:color w:val="auto"/>
        </w:rPr>
        <w:t>” or “</w:t>
      </w:r>
      <w:r>
        <w:rPr>
          <w:rFonts w:ascii="Arial" w:cs="Arial" w:eastAsia="Arial" w:hAnsi="Arial"/>
          <w:sz w:val="19"/>
          <w:szCs w:val="19"/>
          <w:b w:val="1"/>
          <w:bCs w:val="1"/>
          <w:color w:val="auto"/>
        </w:rPr>
        <w:t>ABR Revolving Borrowing</w:t>
      </w:r>
      <w:r>
        <w:rPr>
          <w:rFonts w:ascii="Arial" w:cs="Arial" w:eastAsia="Arial" w:hAnsi="Arial"/>
          <w:sz w:val="19"/>
          <w:szCs w:val="19"/>
          <w:color w:val="auto"/>
        </w:rPr>
        <w:t>”).</w:t>
      </w:r>
    </w:p>
    <w:p>
      <w:pPr>
        <w:spacing w:after="0" w:line="184" w:lineRule="exact"/>
        <w:rPr>
          <w:sz w:val="20"/>
          <w:szCs w:val="20"/>
          <w:color w:val="auto"/>
        </w:rPr>
      </w:pPr>
    </w:p>
    <w:p>
      <w:pPr>
        <w:jc w:val="both"/>
        <w:ind w:firstLine="630"/>
        <w:spacing w:after="0" w:line="309"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Terms Generally</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The definitions of terms herein shall apply equally to the singular and plural forms of the terms defined.</w:t>
      </w:r>
      <w:r>
        <w:rPr>
          <w:rFonts w:ascii="Arial" w:cs="Arial" w:eastAsia="Arial" w:hAnsi="Arial"/>
          <w:sz w:val="19"/>
          <w:szCs w:val="19"/>
          <w:color w:val="auto"/>
        </w:rPr>
        <w:t xml:space="preserve"> </w:t>
      </w:r>
      <w:r>
        <w:rPr>
          <w:rFonts w:ascii="Arial" w:cs="Arial" w:eastAsia="Arial" w:hAnsi="Arial"/>
          <w:sz w:val="17"/>
          <w:szCs w:val="17"/>
          <w:color w:val="auto"/>
        </w:rPr>
        <w:t>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w:t>
      </w:r>
    </w:p>
    <w:p>
      <w:pPr>
        <w:sectPr>
          <w:pgSz w:w="11900" w:h="16838" w:orient="portrait"/>
          <w:cols w:equalWidth="0" w:num="1">
            <w:col w:w="11420"/>
          </w:cols>
          <w:pgMar w:left="240" w:top="222" w:right="239" w:bottom="0" w:gutter="0" w:footer="0" w:header="0"/>
        </w:sectPr>
      </w:pPr>
    </w:p>
    <w:bookmarkStart w:id="125" w:name="page126"/>
    <w:bookmarkEnd w:id="125"/>
    <w:p>
      <w:pPr>
        <w:jc w:val="both"/>
        <w:spacing w:after="0" w:line="277" w:lineRule="auto"/>
        <w:rPr>
          <w:sz w:val="20"/>
          <w:szCs w:val="20"/>
          <w:color w:val="auto"/>
        </w:rPr>
      </w:pPr>
      <w:r>
        <w:rPr>
          <w:rFonts w:ascii="Arial" w:cs="Arial" w:eastAsia="Arial" w:hAnsi="Arial"/>
          <w:sz w:val="19"/>
          <w:szCs w:val="19"/>
          <w:color w:val="auto"/>
        </w:rPr>
        <w:t>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or Regulatory Supervising Organization, any other Governmental Authority or Regulatory Supervising Organization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77" w:lineRule="exact"/>
        <w:rPr>
          <w:sz w:val="20"/>
          <w:szCs w:val="20"/>
          <w:color w:val="auto"/>
        </w:rPr>
      </w:pPr>
    </w:p>
    <w:p>
      <w:pPr>
        <w:jc w:val="both"/>
        <w:ind w:firstLine="630"/>
        <w:spacing w:after="0" w:line="273"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i w:val="1"/>
          <w:iCs w:val="1"/>
          <w:color w:val="auto"/>
        </w:rPr>
        <w:t>Accounting Terms</w:t>
      </w:r>
      <w:r>
        <w:rPr>
          <w:rFonts w:ascii="Arial" w:cs="Arial" w:eastAsia="Arial" w:hAnsi="Arial"/>
          <w:sz w:val="21"/>
          <w:szCs w:val="21"/>
          <w:color w:val="auto"/>
        </w:rPr>
        <w:t xml:space="preserve">; </w:t>
      </w:r>
      <w:r>
        <w:rPr>
          <w:rFonts w:ascii="Arial" w:cs="Arial" w:eastAsia="Arial" w:hAnsi="Arial"/>
          <w:sz w:val="21"/>
          <w:szCs w:val="21"/>
          <w:i w:val="1"/>
          <w:iCs w:val="1"/>
          <w:color w:val="auto"/>
        </w:rPr>
        <w:t>GAAP</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Except as otherwise expressly provided herein, all terms of an accounting or financial nature</w:t>
      </w:r>
      <w:r>
        <w:rPr>
          <w:rFonts w:ascii="Arial" w:cs="Arial" w:eastAsia="Arial" w:hAnsi="Arial"/>
          <w:sz w:val="21"/>
          <w:szCs w:val="21"/>
          <w:color w:val="auto"/>
        </w:rPr>
        <w:t xml:space="preserve"> </w:t>
      </w:r>
      <w:r>
        <w:rPr>
          <w:rFonts w:ascii="Arial" w:cs="Arial" w:eastAsia="Arial" w:hAnsi="Arial"/>
          <w:sz w:val="19"/>
          <w:szCs w:val="19"/>
          <w:color w:val="auto"/>
        </w:rPr>
        <w:t xml:space="preserve">shall be construed in accordance with GAAP, as in effect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Borrower notifies the Administrative Agent that the Borrower requests an amendment to any provision (including any definitions) hereof to eliminate the effect of any change occurring after the Restatement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Accounting Standards Codification No. 825, “Financial Instruments”, or any successor thereto (including pursuant to the Accounting Standards Codification), to value any Indebtedness of Holdings, the Borrower or any Subsidiary at “fair value”, as defined therein.</w:t>
      </w:r>
    </w:p>
    <w:p>
      <w:pPr>
        <w:spacing w:after="0" w:line="181"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i w:val="1"/>
          <w:iCs w:val="1"/>
          <w:color w:val="auto"/>
        </w:rPr>
        <w:t>Effectuation of Transactions</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All references herein to Holdings, the Borrower and the other Subsidiaries shall be deemed</w:t>
      </w:r>
      <w:r>
        <w:rPr>
          <w:rFonts w:ascii="Arial" w:cs="Arial" w:eastAsia="Arial" w:hAnsi="Arial"/>
          <w:sz w:val="21"/>
          <w:szCs w:val="21"/>
          <w:color w:val="auto"/>
        </w:rPr>
        <w:t xml:space="preserve"> </w:t>
      </w:r>
      <w:r>
        <w:rPr>
          <w:rFonts w:ascii="Arial" w:cs="Arial" w:eastAsia="Arial" w:hAnsi="Arial"/>
          <w:sz w:val="19"/>
          <w:szCs w:val="19"/>
          <w:color w:val="auto"/>
        </w:rPr>
        <w:t>to be references to such Persons, and all the representations and warranties of Holdings, the Borrower and the other Loan Parties contained in this Agreement and the other Loan Documents shall be deemed made, in each case, after giving effect to the portion of the Transactions to occur on the Restatement Effective Date, unless the context otherwise requires.</w:t>
      </w:r>
    </w:p>
    <w:p>
      <w:pPr>
        <w:spacing w:after="0" w:line="182"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i w:val="1"/>
          <w:iCs w:val="1"/>
          <w:color w:val="auto"/>
        </w:rPr>
        <w:t>Currency Translation</w:t>
      </w:r>
      <w:r>
        <w:rPr>
          <w:rFonts w:ascii="Arial" w:cs="Arial" w:eastAsia="Arial" w:hAnsi="Arial"/>
          <w:sz w:val="18"/>
          <w:szCs w:val="18"/>
          <w:color w:val="auto"/>
        </w:rPr>
        <w:t>. Notwithstanding the foregoing, for purposes of any determination under Article 5, Article 6 (other</w:t>
      </w:r>
      <w:r>
        <w:rPr>
          <w:rFonts w:ascii="Arial" w:cs="Arial" w:eastAsia="Arial" w:hAnsi="Arial"/>
          <w:sz w:val="20"/>
          <w:szCs w:val="20"/>
          <w:color w:val="auto"/>
        </w:rPr>
        <w:t xml:space="preserve"> </w:t>
      </w:r>
      <w:r>
        <w:rPr>
          <w:rFonts w:ascii="Arial" w:cs="Arial" w:eastAsia="Arial" w:hAnsi="Arial"/>
          <w:sz w:val="18"/>
          <w:szCs w:val="18"/>
          <w:color w:val="auto"/>
        </w:rPr>
        <w:t xml:space="preserve">than the Financial Performance Covenants) or Article 7 or any determination under any other provision of this Agreement expressly requiring the use of a current exchange rate, all amounts incurred, outstanding or proposed to be incurred or outstanding in currencies other than dollars shall be translated into dollars at currency exchange rates in effect on the date of such determination;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for purposes of determining compliance with Article 6 with respect to the amount of any Indebtedness, Investment, Disposition or Restricted Payment in a currency other than dollars, no Default or Event of Default shall be deemed to have occurred solely as a result of changes in rates of exchange occurring after the time such Indebtedness or Investment is incurred or Disposition or Restricted Payment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avoidance of doubt, the foregoing provisions of this Section 1.06 shall otherwise apply to such Sections, including with respect to determining whether any Indebtedness or Investment may be incurred or Disposition or Restricted Payment made at any time under such Sections. For purposes of the Financial Performance Covenants, amounts in currencies other than dollars shall be translated into dollars at the currency exchange rates used in preparing the most recently delivered financial statements pursuant to Section 5.01(a) or (b).</w:t>
      </w:r>
    </w:p>
    <w:p>
      <w:pPr>
        <w:spacing w:after="0" w:line="169"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1.07. </w:t>
      </w:r>
      <w:r>
        <w:rPr>
          <w:rFonts w:ascii="Arial" w:cs="Arial" w:eastAsia="Arial" w:hAnsi="Arial"/>
          <w:sz w:val="20"/>
          <w:szCs w:val="20"/>
          <w:i w:val="1"/>
          <w:iCs w:val="1"/>
          <w:color w:val="auto"/>
        </w:rPr>
        <w:t>Effect of this Agreement on the Existing Credit Agreement and the Other Existing Loan Documents</w:t>
      </w:r>
      <w:r>
        <w:rPr>
          <w:rFonts w:ascii="Arial" w:cs="Arial" w:eastAsia="Arial" w:hAnsi="Arial"/>
          <w:sz w:val="18"/>
          <w:szCs w:val="18"/>
          <w:color w:val="auto"/>
        </w:rPr>
        <w:t>. Upon</w:t>
      </w:r>
      <w:r>
        <w:rPr>
          <w:rFonts w:ascii="Arial" w:cs="Arial" w:eastAsia="Arial" w:hAnsi="Arial"/>
          <w:sz w:val="20"/>
          <w:szCs w:val="20"/>
          <w:color w:val="auto"/>
        </w:rPr>
        <w:t xml:space="preserve"> </w:t>
      </w:r>
      <w:r>
        <w:rPr>
          <w:rFonts w:ascii="Arial" w:cs="Arial" w:eastAsia="Arial" w:hAnsi="Arial"/>
          <w:sz w:val="18"/>
          <w:szCs w:val="18"/>
          <w:color w:val="auto"/>
        </w:rPr>
        <w:t xml:space="preserve">satisfaction of the conditions precedent to the effectiveness of this Agreement set forth in the Restatement Agreement, this Agreement shall be binding on Borrower, the other Loan Parties, the Administrative Agent, the Lenders and the other parties party hereto, and the Existing Credit Agreement and the provisions thereof shall be replaced in their entirety by this Agreement and the provisions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the Obligations (as defined in the Existing Credit Agreement) of Borrower and the other Loan Parties under the Existing Credit Agreement that remain unpaid and outstanding as of the date of this Agreement shall continue to exist under and be evidenced by this Agreement and the other Loan Documents and (b) the Loan Documents shall continue to secure, guarantee, support and otherwise benefit the Obligations on the same terms as prior to the effectiveness hereof. Upon the effectiveness of this Agreement, each Loan Document (other than the Existing Credit Agreement) that was in effect immediately prior to the date of this Agreement shall continue to be effective in accordance with its terms unless otherwise expressly stated herein or therein. Each Loan Party hereby reaffirms and confirms that as of the date hereof (i) the covenants, guarantees, pledges, grants of Liens and agreements or other commitments contained in each Loan Document to which it is a party, including, in each case, such covenants, guarantees, pledges, grants of Liens and agreements or other commitments as in effect immediately after giving effect to this Agreement and the transactions contemplated hereby, (ii) its guarantee of the Loan Document Obligations pursuant to the Guarantee Agreement, as applicable, and (iii) its grant of Liens on the Collateral to secure the Secured Obligations pursuant to the Security Documents and the effectiveness of this Agreement does not impair the validity, effectiveness or priority of Liens granted pursuant to any Security Document, and such Liens continue unimpaired with the same priority to secure repayment of all Secured Obligations, whether heretofore or hereafter incurred.</w:t>
      </w:r>
    </w:p>
    <w:p>
      <w:pPr>
        <w:spacing w:after="0" w:line="20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Article 2</w:t>
      </w:r>
    </w:p>
    <w:p>
      <w:pPr>
        <w:spacing w:after="0" w:line="70" w:lineRule="exact"/>
        <w:rPr>
          <w:sz w:val="20"/>
          <w:szCs w:val="20"/>
          <w:color w:val="auto"/>
        </w:rPr>
      </w:pPr>
    </w:p>
    <w:p>
      <w:pPr>
        <w:ind w:left="5260"/>
        <w:spacing w:after="0"/>
        <w:rPr>
          <w:sz w:val="20"/>
          <w:szCs w:val="20"/>
          <w:color w:val="auto"/>
        </w:rPr>
      </w:pPr>
      <w:r>
        <w:rPr>
          <w:rFonts w:ascii="Arial" w:cs="Arial" w:eastAsia="Arial" w:hAnsi="Arial"/>
          <w:sz w:val="19"/>
          <w:szCs w:val="19"/>
          <w:color w:val="auto"/>
        </w:rPr>
        <w:t>The Credits</w:t>
      </w:r>
    </w:p>
    <w:p>
      <w:pPr>
        <w:spacing w:after="0" w:line="249"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2.01.</w:t>
      </w:r>
      <w:r>
        <w:rPr>
          <w:sz w:val="20"/>
          <w:szCs w:val="20"/>
          <w:color w:val="auto"/>
        </w:rPr>
        <w:tab/>
      </w:r>
      <w:r>
        <w:rPr>
          <w:rFonts w:ascii="Arial" w:cs="Arial" w:eastAsia="Arial" w:hAnsi="Arial"/>
          <w:sz w:val="19"/>
          <w:szCs w:val="19"/>
          <w:i w:val="1"/>
          <w:iCs w:val="1"/>
          <w:color w:val="auto"/>
        </w:rPr>
        <w:t>Commitments</w:t>
      </w:r>
      <w:r>
        <w:rPr>
          <w:rFonts w:ascii="Arial" w:cs="Arial" w:eastAsia="Arial" w:hAnsi="Arial"/>
          <w:sz w:val="17"/>
          <w:szCs w:val="17"/>
          <w:i w:val="1"/>
          <w:iCs w:val="1"/>
          <w:color w:val="auto"/>
        </w:rPr>
        <w:t>.</w:t>
      </w:r>
      <w:r>
        <w:rPr>
          <w:rFonts w:ascii="Arial" w:cs="Arial" w:eastAsia="Arial" w:hAnsi="Arial"/>
          <w:sz w:val="19"/>
          <w:szCs w:val="19"/>
          <w:i w:val="1"/>
          <w:iCs w:val="1"/>
          <w:color w:val="auto"/>
        </w:rPr>
        <w:t xml:space="preserve"> </w:t>
      </w:r>
      <w:r>
        <w:rPr>
          <w:rFonts w:ascii="Arial" w:cs="Arial" w:eastAsia="Arial" w:hAnsi="Arial"/>
          <w:sz w:val="17"/>
          <w:szCs w:val="17"/>
          <w:color w:val="auto"/>
        </w:rPr>
        <w:t>Subject to the terms and conditions set forth herein and in Amendment No.</w:t>
      </w:r>
      <w:r>
        <w:rPr>
          <w:rFonts w:ascii="Arial" w:cs="Arial" w:eastAsia="Arial" w:hAnsi="Arial"/>
          <w:sz w:val="19"/>
          <w:szCs w:val="19"/>
          <w:i w:val="1"/>
          <w:iCs w:val="1"/>
          <w:color w:val="auto"/>
        </w:rPr>
        <w:t xml:space="preserve"> </w:t>
      </w:r>
      <w:r>
        <w:rPr>
          <w:rFonts w:ascii="Arial" w:cs="Arial" w:eastAsia="Arial" w:hAnsi="Arial"/>
          <w:sz w:val="17"/>
          <w:szCs w:val="17"/>
          <w:color w:val="FF0000"/>
          <w:strike w:val="1"/>
        </w:rPr>
        <w:t>1</w:t>
      </w:r>
      <w:r>
        <w:rPr>
          <w:rFonts w:ascii="Arial" w:cs="Arial" w:eastAsia="Arial" w:hAnsi="Arial"/>
          <w:sz w:val="17"/>
          <w:szCs w:val="17"/>
          <w:u w:val="single" w:color="auto"/>
          <w:color w:val="0000FF"/>
        </w:rPr>
        <w:t>2</w:t>
      </w:r>
      <w:r>
        <w:rPr>
          <w:rFonts w:ascii="Arial" w:cs="Arial" w:eastAsia="Arial" w:hAnsi="Arial"/>
          <w:sz w:val="17"/>
          <w:szCs w:val="17"/>
          <w:color w:val="auto"/>
        </w:rPr>
        <w:t>:</w:t>
      </w:r>
    </w:p>
    <w:p>
      <w:pPr>
        <w:spacing w:after="0" w:line="231" w:lineRule="exact"/>
        <w:rPr>
          <w:sz w:val="20"/>
          <w:szCs w:val="20"/>
          <w:color w:val="auto"/>
        </w:rPr>
      </w:pPr>
    </w:p>
    <w:p>
      <w:pPr>
        <w:jc w:val="both"/>
        <w:ind w:firstLine="819"/>
        <w:spacing w:after="0" w:line="341" w:lineRule="auto"/>
        <w:tabs>
          <w:tab w:leader="none" w:pos="1353"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Each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Converting Lender severally agrees that its Converted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u w:val="single" w:color="auto"/>
          <w:color w:val="0000FF"/>
        </w:rPr>
        <w:t>B-1</w:t>
      </w:r>
      <w:r>
        <w:rPr>
          <w:rFonts w:ascii="Arial" w:cs="Arial" w:eastAsia="Arial" w:hAnsi="Arial"/>
          <w:sz w:val="19"/>
          <w:szCs w:val="19"/>
          <w:color w:val="auto"/>
        </w:rPr>
        <w:t xml:space="preserve"> Loans are hereby converted to a like principal amount of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on the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Effective Date. All accrued and unpaid interest on</w:t>
      </w:r>
    </w:p>
    <w:p>
      <w:pPr>
        <w:sectPr>
          <w:pgSz w:w="11900" w:h="16838" w:orient="portrait"/>
          <w:cols w:equalWidth="0" w:num="1">
            <w:col w:w="11420"/>
          </w:cols>
          <w:pgMar w:left="240" w:top="136" w:right="239" w:bottom="0" w:gutter="0" w:footer="0" w:header="0"/>
        </w:sectPr>
      </w:pPr>
    </w:p>
    <w:bookmarkStart w:id="126" w:name="page127"/>
    <w:bookmarkEnd w:id="126"/>
    <w:p>
      <w:pPr>
        <w:spacing w:after="0" w:line="273"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color w:val="FF0000"/>
          <w:strike w:val="1"/>
        </w:rPr>
        <w:t>New</w:t>
      </w:r>
      <w:r>
        <w:rPr>
          <w:rFonts w:ascii="Arial" w:cs="Arial" w:eastAsia="Arial" w:hAnsi="Arial"/>
          <w:sz w:val="21"/>
          <w:szCs w:val="21"/>
          <w:color w:val="auto"/>
        </w:rPr>
        <w:t xml:space="preserve"> Term </w:t>
      </w:r>
      <w:r>
        <w:rPr>
          <w:rFonts w:ascii="Arial" w:cs="Arial" w:eastAsia="Arial" w:hAnsi="Arial"/>
          <w:sz w:val="21"/>
          <w:szCs w:val="21"/>
          <w:u w:val="single" w:color="auto"/>
          <w:color w:val="0000FF"/>
        </w:rPr>
        <w:t>B-1</w:t>
      </w:r>
      <w:r>
        <w:rPr>
          <w:rFonts w:ascii="Arial" w:cs="Arial" w:eastAsia="Arial" w:hAnsi="Arial"/>
          <w:sz w:val="21"/>
          <w:szCs w:val="21"/>
          <w:color w:val="auto"/>
        </w:rPr>
        <w:t xml:space="preserve"> Loans to, but not including, the Amendment No. </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r>
        <w:rPr>
          <w:rFonts w:ascii="Arial" w:cs="Arial" w:eastAsia="Arial" w:hAnsi="Arial"/>
          <w:sz w:val="21"/>
          <w:szCs w:val="21"/>
          <w:color w:val="auto"/>
        </w:rPr>
        <w:t xml:space="preserve"> Effective Date shall be payable on the Amendment No. </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r>
        <w:rPr>
          <w:rFonts w:ascii="Arial" w:cs="Arial" w:eastAsia="Arial" w:hAnsi="Arial"/>
          <w:sz w:val="21"/>
          <w:szCs w:val="21"/>
          <w:color w:val="auto"/>
        </w:rPr>
        <w:t xml:space="preserve"> Effective Date, but no amounts under Section 2.14 shall be payable in connection with such conversion.</w:t>
      </w:r>
    </w:p>
    <w:p>
      <w:pPr>
        <w:spacing w:after="0" w:line="153" w:lineRule="exact"/>
        <w:rPr>
          <w:sz w:val="20"/>
          <w:szCs w:val="20"/>
          <w:color w:val="auto"/>
        </w:rPr>
      </w:pPr>
    </w:p>
    <w:p>
      <w:pPr>
        <w:jc w:val="both"/>
        <w:ind w:firstLine="819"/>
        <w:spacing w:after="0" w:line="270" w:lineRule="auto"/>
        <w:tabs>
          <w:tab w:leader="none" w:pos="1299"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Term B-</w:t>
      </w:r>
      <w:r>
        <w:rPr>
          <w:rFonts w:ascii="Arial" w:cs="Arial" w:eastAsia="Arial" w:hAnsi="Arial"/>
          <w:sz w:val="20"/>
          <w:szCs w:val="20"/>
          <w:color w:val="FF0000"/>
          <w:strike w:val="1"/>
        </w:rPr>
        <w:t>1</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Lender agrees to make a Loan (a “</w:t>
      </w:r>
      <w:r>
        <w:rPr>
          <w:rFonts w:ascii="Arial" w:cs="Arial" w:eastAsia="Arial" w:hAnsi="Arial"/>
          <w:sz w:val="20"/>
          <w:szCs w:val="20"/>
          <w:b w:val="1"/>
          <w:bCs w:val="1"/>
          <w:color w:val="auto"/>
        </w:rPr>
        <w:t>Term B-</w:t>
      </w:r>
      <w:r>
        <w:rPr>
          <w:rFonts w:ascii="Arial" w:cs="Arial" w:eastAsia="Arial" w:hAnsi="Arial"/>
          <w:sz w:val="20"/>
          <w:szCs w:val="20"/>
          <w:b w:val="1"/>
          <w:bCs w:val="1"/>
          <w:color w:val="FF0000"/>
          <w:strike w:val="1"/>
        </w:rPr>
        <w:t>1</w:t>
      </w:r>
      <w:r>
        <w:rPr>
          <w:rFonts w:ascii="Arial" w:cs="Arial" w:eastAsia="Arial" w:hAnsi="Arial"/>
          <w:sz w:val="20"/>
          <w:szCs w:val="20"/>
          <w:b w:val="1"/>
          <w:bCs w:val="1"/>
          <w:u w:val="single" w:color="auto"/>
          <w:color w:val="0000FF"/>
        </w:rPr>
        <w:t>2</w:t>
      </w:r>
      <w:r>
        <w:rPr>
          <w:rFonts w:ascii="Arial" w:cs="Arial" w:eastAsia="Arial" w:hAnsi="Arial"/>
          <w:sz w:val="20"/>
          <w:szCs w:val="20"/>
          <w:color w:val="auto"/>
        </w:rPr>
        <w:t xml:space="preserve"> </w:t>
      </w:r>
      <w:r>
        <w:rPr>
          <w:rFonts w:ascii="Arial" w:cs="Arial" w:eastAsia="Arial" w:hAnsi="Arial"/>
          <w:sz w:val="20"/>
          <w:szCs w:val="20"/>
          <w:b w:val="1"/>
          <w:bCs w:val="1"/>
          <w:color w:val="auto"/>
        </w:rPr>
        <w:t>Loan</w:t>
      </w:r>
      <w:r>
        <w:rPr>
          <w:rFonts w:ascii="Arial" w:cs="Arial" w:eastAsia="Arial" w:hAnsi="Arial"/>
          <w:sz w:val="20"/>
          <w:szCs w:val="20"/>
          <w:color w:val="auto"/>
        </w:rPr>
        <w:t xml:space="preserve">”, which term shall include each Loan converted from a Converted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u w:val="single" w:color="auto"/>
          <w:color w:val="0000FF"/>
        </w:rPr>
        <w:t>B-1</w:t>
      </w:r>
      <w:r>
        <w:rPr>
          <w:rFonts w:ascii="Arial" w:cs="Arial" w:eastAsia="Arial" w:hAnsi="Arial"/>
          <w:sz w:val="20"/>
          <w:szCs w:val="20"/>
          <w:color w:val="auto"/>
        </w:rPr>
        <w:t xml:space="preserve"> Loan pursuant to clause (a) above) to the Borrower on the Amendment No. </w:t>
      </w:r>
      <w:r>
        <w:rPr>
          <w:rFonts w:ascii="Arial" w:cs="Arial" w:eastAsia="Arial" w:hAnsi="Arial"/>
          <w:sz w:val="20"/>
          <w:szCs w:val="20"/>
          <w:color w:val="FF0000"/>
          <w:strike w:val="1"/>
        </w:rPr>
        <w:t>1</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Effective Date in an aggregate principal amount equal to the Term B-</w:t>
      </w:r>
      <w:r>
        <w:rPr>
          <w:rFonts w:ascii="Arial" w:cs="Arial" w:eastAsia="Arial" w:hAnsi="Arial"/>
          <w:sz w:val="20"/>
          <w:szCs w:val="20"/>
          <w:color w:val="FF0000"/>
          <w:strike w:val="1"/>
        </w:rPr>
        <w:t>1</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Commitment. The Borrower shall prepay the aggregate principal amount of the Non-Converted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u w:val="single" w:color="auto"/>
          <w:color w:val="0000FF"/>
        </w:rPr>
        <w:t>B-1</w:t>
      </w:r>
      <w:r>
        <w:rPr>
          <w:rFonts w:ascii="Arial" w:cs="Arial" w:eastAsia="Arial" w:hAnsi="Arial"/>
          <w:sz w:val="20"/>
          <w:szCs w:val="20"/>
          <w:color w:val="auto"/>
        </w:rPr>
        <w:t xml:space="preserve"> Loans substantially concurrently with the receipt of the proceeds of the Term B-</w:t>
      </w:r>
      <w:r>
        <w:rPr>
          <w:rFonts w:ascii="Arial" w:cs="Arial" w:eastAsia="Arial" w:hAnsi="Arial"/>
          <w:sz w:val="20"/>
          <w:szCs w:val="20"/>
          <w:color w:val="FF0000"/>
          <w:strike w:val="1"/>
        </w:rPr>
        <w:t>1</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Loans. All accrued and unpaid interest on the Non-Converted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u w:val="single" w:color="auto"/>
          <w:color w:val="0000FF"/>
        </w:rPr>
        <w:t>B-1</w:t>
      </w:r>
      <w:r>
        <w:rPr>
          <w:rFonts w:ascii="Arial" w:cs="Arial" w:eastAsia="Arial" w:hAnsi="Arial"/>
          <w:sz w:val="20"/>
          <w:szCs w:val="20"/>
          <w:color w:val="auto"/>
        </w:rPr>
        <w:t xml:space="preserve"> Loans to, but not including, the Amendment No. </w:t>
      </w:r>
      <w:r>
        <w:rPr>
          <w:rFonts w:ascii="Arial" w:cs="Arial" w:eastAsia="Arial" w:hAnsi="Arial"/>
          <w:sz w:val="20"/>
          <w:szCs w:val="20"/>
          <w:color w:val="FF0000"/>
          <w:strike w:val="1"/>
        </w:rPr>
        <w:t>1</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Effective Date shall be payable on the Amendment No. </w:t>
      </w:r>
      <w:r>
        <w:rPr>
          <w:rFonts w:ascii="Arial" w:cs="Arial" w:eastAsia="Arial" w:hAnsi="Arial"/>
          <w:sz w:val="20"/>
          <w:szCs w:val="20"/>
          <w:color w:val="FF0000"/>
          <w:strike w:val="1"/>
        </w:rPr>
        <w:t>1</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Effective Date, and the Borrower will make any payments required under Section 2.14 with respect to Non-Converted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u w:val="single" w:color="auto"/>
          <w:color w:val="0000FF"/>
        </w:rPr>
        <w:t>B-1</w:t>
      </w:r>
      <w:r>
        <w:rPr>
          <w:rFonts w:ascii="Arial" w:cs="Arial" w:eastAsia="Arial" w:hAnsi="Arial"/>
          <w:sz w:val="20"/>
          <w:szCs w:val="20"/>
          <w:color w:val="auto"/>
        </w:rPr>
        <w:t xml:space="preserve"> Loans in accordance therewith.</w:t>
      </w:r>
    </w:p>
    <w:p>
      <w:pPr>
        <w:spacing w:after="0" w:line="163" w:lineRule="exact"/>
        <w:rPr>
          <w:rFonts w:ascii="Arial" w:cs="Arial" w:eastAsia="Arial" w:hAnsi="Arial"/>
          <w:sz w:val="20"/>
          <w:szCs w:val="20"/>
          <w:color w:val="auto"/>
        </w:rPr>
      </w:pPr>
    </w:p>
    <w:p>
      <w:pPr>
        <w:jc w:val="both"/>
        <w:ind w:firstLine="819"/>
        <w:spacing w:after="0" w:line="267" w:lineRule="auto"/>
        <w:tabs>
          <w:tab w:leader="none" w:pos="1340" w:val="left"/>
        </w:tabs>
        <w:numPr>
          <w:ilvl w:val="0"/>
          <w:numId w:val="57"/>
        </w:numPr>
        <w:rPr>
          <w:rFonts w:ascii="Arial" w:cs="Arial" w:eastAsia="Arial" w:hAnsi="Arial"/>
          <w:sz w:val="21"/>
          <w:szCs w:val="21"/>
          <w:color w:val="auto"/>
        </w:rPr>
      </w:pPr>
      <w:r>
        <w:rPr>
          <w:rFonts w:ascii="Arial" w:cs="Arial" w:eastAsia="Arial" w:hAnsi="Arial"/>
          <w:sz w:val="21"/>
          <w:szCs w:val="21"/>
          <w:color w:val="auto"/>
        </w:rPr>
        <w:t>Each Revolving Lender agrees to make Revolving Loans to the Borrower from time to time during the Revolving Availability Period in an aggregate principal amount which will not result in such Lender’s Revolving Exposure exceeding such Lender’s Revolving Commitment.</w:t>
      </w:r>
    </w:p>
    <w:p>
      <w:pPr>
        <w:spacing w:after="0" w:line="165" w:lineRule="exact"/>
        <w:rPr>
          <w:sz w:val="20"/>
          <w:szCs w:val="20"/>
          <w:color w:val="auto"/>
        </w:rPr>
      </w:pPr>
    </w:p>
    <w:p>
      <w:pPr>
        <w:ind w:right="260" w:firstLine="1260"/>
        <w:spacing w:after="0" w:line="298" w:lineRule="auto"/>
        <w:rPr>
          <w:sz w:val="20"/>
          <w:szCs w:val="20"/>
          <w:color w:val="auto"/>
        </w:rPr>
      </w:pPr>
      <w:r>
        <w:rPr>
          <w:rFonts w:ascii="Arial" w:cs="Arial" w:eastAsia="Arial" w:hAnsi="Arial"/>
          <w:sz w:val="20"/>
          <w:szCs w:val="20"/>
          <w:color w:val="auto"/>
        </w:rPr>
        <w:t>Within the foregoing limits and subject to the terms and conditions set forth herein, the Borrower may borrow, prepay and reborrow Revolving Loans. Amounts repaid or prepaid in respect of Term Loans may not be reborrowed.</w:t>
      </w:r>
    </w:p>
    <w:p>
      <w:pPr>
        <w:spacing w:after="0" w:line="138"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i w:val="1"/>
          <w:iCs w:val="1"/>
          <w:color w:val="auto"/>
        </w:rPr>
        <w:t>Loans and Borrowings</w:t>
      </w:r>
      <w:r>
        <w:rPr>
          <w:rFonts w:ascii="Arial" w:cs="Arial" w:eastAsia="Arial" w:hAnsi="Arial"/>
          <w:sz w:val="18"/>
          <w:szCs w:val="18"/>
          <w:color w:val="auto"/>
        </w:rPr>
        <w:t>.</w:t>
      </w:r>
      <w:r>
        <w:rPr>
          <w:rFonts w:ascii="Arial" w:cs="Arial" w:eastAsia="Arial" w:hAnsi="Arial"/>
          <w:sz w:val="20"/>
          <w:szCs w:val="20"/>
          <w:color w:val="auto"/>
        </w:rPr>
        <w:t xml:space="preserve"> (%3) </w:t>
      </w:r>
      <w:r>
        <w:rPr>
          <w:rFonts w:ascii="Arial" w:cs="Arial" w:eastAsia="Arial" w:hAnsi="Arial"/>
          <w:sz w:val="18"/>
          <w:szCs w:val="18"/>
          <w:color w:val="auto"/>
        </w:rPr>
        <w:t>Each Loan shall be made as part of a Borrowing consisting of Loans of the same Class and</w:t>
      </w:r>
      <w:r>
        <w:rPr>
          <w:rFonts w:ascii="Arial" w:cs="Arial" w:eastAsia="Arial" w:hAnsi="Arial"/>
          <w:sz w:val="20"/>
          <w:szCs w:val="20"/>
          <w:color w:val="auto"/>
        </w:rPr>
        <w:t xml:space="preserve"> </w:t>
      </w:r>
      <w:r>
        <w:rPr>
          <w:rFonts w:ascii="Arial" w:cs="Arial" w:eastAsia="Arial" w:hAnsi="Arial"/>
          <w:sz w:val="18"/>
          <w:szCs w:val="18"/>
          <w:color w:val="auto"/>
        </w:rPr>
        <w:t xml:space="preserve">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hereby.</w:t>
      </w:r>
    </w:p>
    <w:p>
      <w:pPr>
        <w:spacing w:after="0" w:line="168" w:lineRule="exact"/>
        <w:rPr>
          <w:sz w:val="20"/>
          <w:szCs w:val="20"/>
          <w:color w:val="auto"/>
        </w:rPr>
      </w:pPr>
    </w:p>
    <w:p>
      <w:pPr>
        <w:jc w:val="both"/>
        <w:ind w:firstLine="819"/>
        <w:spacing w:after="0" w:line="260" w:lineRule="auto"/>
        <w:tabs>
          <w:tab w:leader="none" w:pos="1222" w:val="left"/>
        </w:tabs>
        <w:numPr>
          <w:ilvl w:val="0"/>
          <w:numId w:val="58"/>
        </w:numPr>
        <w:rPr>
          <w:rFonts w:ascii="Arial" w:cs="Arial" w:eastAsia="Arial" w:hAnsi="Arial"/>
          <w:sz w:val="21"/>
          <w:szCs w:val="21"/>
          <w:color w:val="auto"/>
        </w:rPr>
      </w:pPr>
      <w:r>
        <w:rPr>
          <w:rFonts w:ascii="Arial" w:cs="Arial" w:eastAsia="Arial" w:hAnsi="Arial"/>
          <w:sz w:val="21"/>
          <w:szCs w:val="21"/>
          <w:color w:val="auto"/>
        </w:rPr>
        <w:t>Subject to Section 2.12, each Borrowing shall be comprised entirely of ABR Loans or Eurodollar Loans as the Borrower may request in accordance herewith. Each Lender at its option may make any Loan by causing any domestic or foreign branch or Affiliate of such Lender to make such Loan; provided that any exercise of such option shall not affect the obligation of the Borrower to repay such Loan in accordance with the terms of this Agreement.</w:t>
      </w:r>
    </w:p>
    <w:p>
      <w:pPr>
        <w:spacing w:after="0" w:line="174" w:lineRule="exact"/>
        <w:rPr>
          <w:rFonts w:ascii="Arial" w:cs="Arial" w:eastAsia="Arial" w:hAnsi="Arial"/>
          <w:sz w:val="21"/>
          <w:szCs w:val="21"/>
          <w:color w:val="auto"/>
        </w:rPr>
      </w:pPr>
    </w:p>
    <w:p>
      <w:pPr>
        <w:jc w:val="both"/>
        <w:ind w:firstLine="819"/>
        <w:spacing w:after="0" w:line="283" w:lineRule="auto"/>
        <w:tabs>
          <w:tab w:leader="none" w:pos="1286"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Eurodollar Borrowing, such Borrowing shall be in an aggregate amount that is an integral multiple of $1,000,000 and not less than $5,000,000;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Eurodollar Borrowing that results from a continuation of an outstanding Eurodollar Borrowing may be in an aggregate amount that is equal to such outstanding Borrowing. At the time that each ABR Borrowing is made, such Borrowing shall be in an aggregate amount that is an integral multiple of $1,000,000 and not less than $5,000,000. Borrowings of more than one Type and Class may be outstanding at the same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there shall not at any time be more than a total of six Eurodollar Borrowings outstanding. Notwithstanding anything to the contrary herein, an ABR Revolving Borrowing may be in an aggregate amount which is equal to the entire unused balance of the Total Revolving Commitments or that is required to finance the reimbursement of an LC Disbursement as contemplated by Section 2.22.</w:t>
      </w:r>
    </w:p>
    <w:p>
      <w:pPr>
        <w:spacing w:after="0" w:line="157"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i w:val="1"/>
          <w:iCs w:val="1"/>
          <w:color w:val="auto"/>
        </w:rPr>
        <w:t>Requests for Borrowings</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To request a Borrowing, the Borrower shall notify the Administrative Agent of such request by</w:t>
      </w:r>
      <w:r>
        <w:rPr>
          <w:rFonts w:ascii="Arial" w:cs="Arial" w:eastAsia="Arial" w:hAnsi="Arial"/>
          <w:sz w:val="20"/>
          <w:szCs w:val="20"/>
          <w:color w:val="auto"/>
        </w:rPr>
        <w:t xml:space="preserve"> </w:t>
      </w:r>
      <w:r>
        <w:rPr>
          <w:rFonts w:ascii="Arial" w:cs="Arial" w:eastAsia="Arial" w:hAnsi="Arial"/>
          <w:sz w:val="18"/>
          <w:szCs w:val="18"/>
          <w:color w:val="auto"/>
        </w:rPr>
        <w:t xml:space="preserve">telephone (a) in the case of a Eurodollar Borrowing, not later than 2:00 p.m., New York City time, three Business Days before the date of the proposed Borrowing (or, in the case of any Eurodollar Borrowing to be made on the Amendment No.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Effective Date, such shorter period of time as may be agreed to by the Administrative Agent) or (b) (i) in the case of an ABR Term Borrowing, not later than 2:00 p.m., New York City time, one Business Day before the date of the proposed Borrowing and (ii) in the case of an ABR Revolving Borrowing, not later than 2:00 p.m., New York City time, on the date of the proposed Borrowing. Each such telephonic Borrowing Request shall be irrevocable and shall be confirmed promptly by hand delivery or facsimile to the Administrative Agent of a written Borrowing Request signed by the Borrower. Each such telephonic and written Borrowing Request shall specify the following information:</w:t>
      </w:r>
    </w:p>
    <w:p>
      <w:pPr>
        <w:spacing w:after="0" w:line="169" w:lineRule="exact"/>
        <w:rPr>
          <w:sz w:val="20"/>
          <w:szCs w:val="20"/>
          <w:color w:val="auto"/>
        </w:rPr>
      </w:pPr>
    </w:p>
    <w:p>
      <w:pPr>
        <w:ind w:left="1960" w:hanging="380"/>
        <w:spacing w:after="0"/>
        <w:tabs>
          <w:tab w:leader="none" w:pos="19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Class of such Borrowing;</w:t>
      </w:r>
    </w:p>
    <w:p>
      <w:pPr>
        <w:spacing w:after="0" w:line="230" w:lineRule="exact"/>
        <w:rPr>
          <w:rFonts w:ascii="Arial" w:cs="Arial" w:eastAsia="Arial" w:hAnsi="Arial"/>
          <w:sz w:val="21"/>
          <w:szCs w:val="21"/>
          <w:color w:val="auto"/>
        </w:rPr>
      </w:pPr>
    </w:p>
    <w:p>
      <w:pPr>
        <w:ind w:left="2020" w:hanging="440"/>
        <w:spacing w:after="0"/>
        <w:tabs>
          <w:tab w:leader="none" w:pos="20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aggregate amount of such Borrowing;</w:t>
      </w:r>
    </w:p>
    <w:p>
      <w:pPr>
        <w:spacing w:after="0" w:line="230" w:lineRule="exact"/>
        <w:rPr>
          <w:rFonts w:ascii="Arial" w:cs="Arial" w:eastAsia="Arial" w:hAnsi="Arial"/>
          <w:sz w:val="21"/>
          <w:szCs w:val="21"/>
          <w:color w:val="auto"/>
        </w:rPr>
      </w:pPr>
    </w:p>
    <w:p>
      <w:pPr>
        <w:ind w:left="2060" w:hanging="480"/>
        <w:spacing w:after="0"/>
        <w:tabs>
          <w:tab w:leader="none" w:pos="20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date of such Borrowing, which shall be a Business Day;</w:t>
      </w:r>
    </w:p>
    <w:p>
      <w:pPr>
        <w:spacing w:after="0" w:line="230" w:lineRule="exact"/>
        <w:rPr>
          <w:rFonts w:ascii="Arial" w:cs="Arial" w:eastAsia="Arial" w:hAnsi="Arial"/>
          <w:sz w:val="21"/>
          <w:szCs w:val="21"/>
          <w:color w:val="auto"/>
        </w:rPr>
      </w:pPr>
    </w:p>
    <w:p>
      <w:pPr>
        <w:ind w:left="2060" w:hanging="480"/>
        <w:spacing w:after="0"/>
        <w:tabs>
          <w:tab w:leader="none" w:pos="20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whether such Borrowing is to be an ABR Borrowing or a Eurodollar Borrowing;</w:t>
      </w:r>
    </w:p>
    <w:p>
      <w:pPr>
        <w:spacing w:after="0" w:line="230" w:lineRule="exact"/>
        <w:rPr>
          <w:rFonts w:ascii="Arial" w:cs="Arial" w:eastAsia="Arial" w:hAnsi="Arial"/>
          <w:sz w:val="21"/>
          <w:szCs w:val="21"/>
          <w:color w:val="auto"/>
        </w:rPr>
      </w:pPr>
    </w:p>
    <w:p>
      <w:pPr>
        <w:ind w:left="640" w:firstLine="940"/>
        <w:spacing w:after="0" w:line="286" w:lineRule="auto"/>
        <w:tabs>
          <w:tab w:leader="none" w:pos="2110" w:val="left"/>
        </w:tabs>
        <w:numPr>
          <w:ilvl w:val="0"/>
          <w:numId w:val="59"/>
        </w:numPr>
        <w:rPr>
          <w:rFonts w:ascii="Arial" w:cs="Arial" w:eastAsia="Arial" w:hAnsi="Arial"/>
          <w:sz w:val="21"/>
          <w:szCs w:val="21"/>
          <w:color w:val="auto"/>
        </w:rPr>
      </w:pPr>
      <w:r>
        <w:rPr>
          <w:rFonts w:ascii="Arial" w:cs="Arial" w:eastAsia="Arial" w:hAnsi="Arial"/>
          <w:sz w:val="21"/>
          <w:szCs w:val="21"/>
          <w:color w:val="auto"/>
        </w:rPr>
        <w:t>in the case of a Eurodollar Borrowing, the initial Interest Period to be applicable thereto, which shall be a period contemplated by the definition of the term “Interest Period”;</w:t>
      </w:r>
    </w:p>
    <w:p>
      <w:pPr>
        <w:spacing w:after="0" w:line="146" w:lineRule="exact"/>
        <w:rPr>
          <w:rFonts w:ascii="Arial" w:cs="Arial" w:eastAsia="Arial" w:hAnsi="Arial"/>
          <w:sz w:val="21"/>
          <w:szCs w:val="21"/>
          <w:color w:val="auto"/>
        </w:rPr>
      </w:pPr>
    </w:p>
    <w:p>
      <w:pPr>
        <w:jc w:val="both"/>
        <w:ind w:left="640" w:firstLine="940"/>
        <w:spacing w:after="0" w:line="307" w:lineRule="auto"/>
        <w:tabs>
          <w:tab w:leader="none" w:pos="2129"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location and number of the Borrower’s account to which funds are to be disbursed, which shall comply with the requirements of Section 2.04, or, in the case of any ABR Revolving Borrowing requested to finance the reimbursement of an LC Disbursement as provided in Section 2.22, the identity of the Issuing Bank that made such LC Disbursement; and</w:t>
      </w:r>
    </w:p>
    <w:p>
      <w:pPr>
        <w:spacing w:after="0" w:line="132" w:lineRule="exact"/>
        <w:rPr>
          <w:rFonts w:ascii="Arial" w:cs="Arial" w:eastAsia="Arial" w:hAnsi="Arial"/>
          <w:sz w:val="19"/>
          <w:szCs w:val="19"/>
          <w:color w:val="auto"/>
        </w:rPr>
      </w:pPr>
    </w:p>
    <w:p>
      <w:pPr>
        <w:ind w:left="640" w:firstLine="940"/>
        <w:spacing w:after="0" w:line="286" w:lineRule="auto"/>
        <w:tabs>
          <w:tab w:leader="none" w:pos="2174"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that as of the date of such Borrowing, all applicable conditions set forth in Section 4.02(a), Section 4.02(b) and, if applicable, Section 4.02(c) are satisfied.</w:t>
      </w:r>
    </w:p>
    <w:p>
      <w:pPr>
        <w:sectPr>
          <w:pgSz w:w="11900" w:h="16838" w:orient="portrait"/>
          <w:cols w:equalWidth="0" w:num="1">
            <w:col w:w="11420"/>
          </w:cols>
          <w:pgMar w:left="240" w:top="131" w:right="239" w:bottom="0" w:gutter="0" w:footer="0" w:header="0"/>
        </w:sectPr>
      </w:pPr>
    </w:p>
    <w:p>
      <w:pPr>
        <w:spacing w:after="0" w:line="138"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If no election as to the Type of Borrowing is specified as to any Borrowing,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w:t>
      </w:r>
    </w:p>
    <w:p>
      <w:pPr>
        <w:sectPr>
          <w:pgSz w:w="11900" w:h="16838" w:orient="portrait"/>
          <w:cols w:equalWidth="0" w:num="1">
            <w:col w:w="11420"/>
          </w:cols>
          <w:pgMar w:left="240" w:top="131" w:right="239" w:bottom="0" w:gutter="0" w:footer="0" w:header="0"/>
          <w:type w:val="continuous"/>
        </w:sectPr>
      </w:pPr>
    </w:p>
    <w:bookmarkStart w:id="127" w:name="page128"/>
    <w:bookmarkEnd w:id="127"/>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advise each Lender of the applicable Class of the details thereof and of the amount of such Lender’s Loan to be made as part of the requested Borrowing.</w:t>
      </w:r>
    </w:p>
    <w:p>
      <w:pPr>
        <w:spacing w:after="0" w:line="165"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i w:val="1"/>
          <w:iCs w:val="1"/>
          <w:color w:val="auto"/>
        </w:rPr>
        <w:t>Funding of Borrowings</w:t>
      </w:r>
      <w:r>
        <w:rPr>
          <w:rFonts w:ascii="Arial" w:cs="Arial" w:eastAsia="Arial" w:hAnsi="Arial"/>
          <w:sz w:val="18"/>
          <w:szCs w:val="18"/>
          <w:color w:val="auto"/>
        </w:rPr>
        <w:t>.</w:t>
      </w:r>
      <w:r>
        <w:rPr>
          <w:rFonts w:ascii="Arial" w:cs="Arial" w:eastAsia="Arial" w:hAnsi="Arial"/>
          <w:sz w:val="20"/>
          <w:szCs w:val="20"/>
          <w:color w:val="auto"/>
        </w:rPr>
        <w:t xml:space="preserve"> (%3) </w:t>
      </w:r>
      <w:r>
        <w:rPr>
          <w:rFonts w:ascii="Arial" w:cs="Arial" w:eastAsia="Arial" w:hAnsi="Arial"/>
          <w:sz w:val="18"/>
          <w:szCs w:val="18"/>
          <w:color w:val="auto"/>
        </w:rPr>
        <w:t>Each Lender shall make each Loan to be made by it hereunder on the proposed date</w:t>
      </w:r>
      <w:r>
        <w:rPr>
          <w:rFonts w:ascii="Arial" w:cs="Arial" w:eastAsia="Arial" w:hAnsi="Arial"/>
          <w:sz w:val="20"/>
          <w:szCs w:val="20"/>
          <w:color w:val="auto"/>
        </w:rPr>
        <w:t xml:space="preserve"> </w:t>
      </w:r>
      <w:r>
        <w:rPr>
          <w:rFonts w:ascii="Arial" w:cs="Arial" w:eastAsia="Arial" w:hAnsi="Arial"/>
          <w:sz w:val="18"/>
          <w:szCs w:val="18"/>
          <w:color w:val="auto"/>
        </w:rPr>
        <w:t xml:space="preserve">thereof by wire transfer of immediately available funds in dollars by 12:00 p.m., New York City time or, solely in the case of an ABR Revolving Borrowing with respect to which the Borrowing Request is made on the date of the proposed Borrowing, 4:00 p.m., New York City time, to the Applicable Account of the Administrative Agent most recently designated by it for such purpose by notice to the Lenders. The Administrative Agent will make such Loans available to the Borrower by promptly crediting the amounts so received, in like funds, to an account of the Borrower maintained with the Administrative Agent in New York City and designated by the Borrower in the applicable Borrowing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ABR Revolving Loans made to finance the reimbursement of an LC Disbursement as provided in Section 2.22 shall be remitted by the Administrative Agent to the applicable Issuing Bank or, to the extent that Revolving Lenders have made payments pursuant to Section 2.22 to reimburse such Issuing Bank, then to such Lenders and such Issuing Bank as their interests may appear.</w:t>
      </w:r>
    </w:p>
    <w:p>
      <w:pPr>
        <w:spacing w:after="0" w:line="169" w:lineRule="exact"/>
        <w:rPr>
          <w:sz w:val="20"/>
          <w:szCs w:val="20"/>
          <w:color w:val="auto"/>
        </w:rPr>
      </w:pPr>
    </w:p>
    <w:p>
      <w:pPr>
        <w:jc w:val="both"/>
        <w:ind w:firstLine="819"/>
        <w:spacing w:after="0" w:line="279" w:lineRule="auto"/>
        <w:tabs>
          <w:tab w:leader="none" w:pos="1248" w:val="left"/>
        </w:tabs>
        <w:numPr>
          <w:ilvl w:val="0"/>
          <w:numId w:val="60"/>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Section 2.11. If such Lender pays such amount to the Administrative Agent, then such amount shall constitute such Lender’s Loan included in such Borrowing.</w:t>
      </w:r>
    </w:p>
    <w:p>
      <w:pPr>
        <w:spacing w:after="0" w:line="158" w:lineRule="exact"/>
        <w:rPr>
          <w:rFonts w:ascii="Arial" w:cs="Arial" w:eastAsia="Arial" w:hAnsi="Arial"/>
          <w:sz w:val="19"/>
          <w:szCs w:val="19"/>
          <w:color w:val="auto"/>
        </w:rPr>
      </w:pPr>
    </w:p>
    <w:p>
      <w:pPr>
        <w:jc w:val="both"/>
        <w:ind w:firstLine="819"/>
        <w:spacing w:after="0" w:line="257" w:lineRule="auto"/>
        <w:tabs>
          <w:tab w:leader="none" w:pos="1365"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obligations of the Lenders hereunder to make Loans, to fund participations in Letters of Credit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76" w:lineRule="exact"/>
        <w:rPr>
          <w:rFonts w:ascii="Arial" w:cs="Arial" w:eastAsia="Arial" w:hAnsi="Arial"/>
          <w:sz w:val="21"/>
          <w:szCs w:val="21"/>
          <w:color w:val="auto"/>
        </w:rPr>
      </w:pPr>
    </w:p>
    <w:p>
      <w:pPr>
        <w:jc w:val="both"/>
        <w:ind w:firstLine="819"/>
        <w:spacing w:after="0" w:line="286" w:lineRule="auto"/>
        <w:tabs>
          <w:tab w:leader="none" w:pos="1222" w:val="left"/>
        </w:tabs>
        <w:numPr>
          <w:ilvl w:val="0"/>
          <w:numId w:val="60"/>
        </w:numPr>
        <w:rPr>
          <w:rFonts w:ascii="Arial" w:cs="Arial" w:eastAsia="Arial" w:hAnsi="Arial"/>
          <w:sz w:val="20"/>
          <w:szCs w:val="20"/>
          <w:color w:val="auto"/>
        </w:rPr>
      </w:pPr>
      <w:r>
        <w:rPr>
          <w:rFonts w:ascii="Arial" w:cs="Arial" w:eastAsia="Arial" w:hAnsi="Arial"/>
          <w:sz w:val="20"/>
          <w:szCs w:val="20"/>
          <w:color w:val="auto"/>
        </w:rPr>
        <w:t>Notwithstanding any other provision contained herein, the obligations of the Term Lenders to make Initial Term Loans to the Borrower on the Restatement Effective Date and the obligations of the Administrative Agent to make such Initial Term Loans available to the Borrower shall be subject to the terms and conditions set forth in the Restatement Agreement.</w:t>
      </w:r>
    </w:p>
    <w:p>
      <w:pPr>
        <w:spacing w:after="0" w:line="149" w:lineRule="exact"/>
        <w:rPr>
          <w:sz w:val="20"/>
          <w:szCs w:val="20"/>
          <w:color w:val="auto"/>
        </w:rPr>
      </w:pPr>
    </w:p>
    <w:p>
      <w:pPr>
        <w:jc w:val="both"/>
        <w:ind w:firstLine="630"/>
        <w:spacing w:after="0" w:line="308"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i w:val="1"/>
          <w:iCs w:val="1"/>
          <w:color w:val="auto"/>
        </w:rPr>
        <w:t>Interest Elections</w:t>
      </w:r>
      <w:r>
        <w:rPr>
          <w:rFonts w:ascii="Arial" w:cs="Arial" w:eastAsia="Arial" w:hAnsi="Arial"/>
          <w:sz w:val="17"/>
          <w:szCs w:val="17"/>
          <w:i w:val="1"/>
          <w:iCs w:val="1"/>
          <w:color w:val="auto"/>
        </w:rPr>
        <w:t>.</w:t>
      </w:r>
      <w:r>
        <w:rPr>
          <w:rFonts w:ascii="Arial" w:cs="Arial" w:eastAsia="Arial" w:hAnsi="Arial"/>
          <w:sz w:val="19"/>
          <w:szCs w:val="19"/>
          <w:color w:val="auto"/>
        </w:rPr>
        <w:t xml:space="preserve"> (%3) </w:t>
      </w:r>
      <w:r>
        <w:rPr>
          <w:rFonts w:ascii="Arial" w:cs="Arial" w:eastAsia="Arial" w:hAnsi="Arial"/>
          <w:sz w:val="17"/>
          <w:szCs w:val="17"/>
          <w:color w:val="auto"/>
        </w:rPr>
        <w:t>Each Borrowing initially shall be of the Type specified in the applicable Borrowing Request or</w:t>
      </w:r>
      <w:r>
        <w:rPr>
          <w:rFonts w:ascii="Arial" w:cs="Arial" w:eastAsia="Arial" w:hAnsi="Arial"/>
          <w:sz w:val="19"/>
          <w:szCs w:val="19"/>
          <w:color w:val="auto"/>
        </w:rPr>
        <w:t xml:space="preserve"> </w:t>
      </w:r>
      <w:r>
        <w:rPr>
          <w:rFonts w:ascii="Arial" w:cs="Arial" w:eastAsia="Arial" w:hAnsi="Arial"/>
          <w:sz w:val="17"/>
          <w:szCs w:val="17"/>
          <w:color w:val="auto"/>
        </w:rPr>
        <w:t>designated by Section 2.03 and, in the case of a Eurodollar Borrowing, shall have an initial Interest Period as specified in such Borrowing Request or designated by Section 2.03.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55" w:lineRule="exact"/>
        <w:rPr>
          <w:sz w:val="20"/>
          <w:szCs w:val="20"/>
          <w:color w:val="auto"/>
        </w:rPr>
      </w:pPr>
    </w:p>
    <w:p>
      <w:pPr>
        <w:jc w:val="both"/>
        <w:ind w:firstLine="819"/>
        <w:spacing w:after="0" w:line="257" w:lineRule="auto"/>
        <w:tabs>
          <w:tab w:leader="none" w:pos="1287" w:val="left"/>
        </w:tabs>
        <w:numPr>
          <w:ilvl w:val="0"/>
          <w:numId w:val="61"/>
        </w:numPr>
        <w:rPr>
          <w:rFonts w:ascii="Arial" w:cs="Arial" w:eastAsia="Arial" w:hAnsi="Arial"/>
          <w:sz w:val="21"/>
          <w:szCs w:val="21"/>
          <w:color w:val="auto"/>
        </w:rPr>
      </w:pPr>
      <w:r>
        <w:rPr>
          <w:rFonts w:ascii="Arial" w:cs="Arial" w:eastAsia="Arial" w:hAnsi="Arial"/>
          <w:sz w:val="21"/>
          <w:szCs w:val="21"/>
          <w:color w:val="auto"/>
        </w:rPr>
        <w:t>To make an election pursuant to this Section, the Borrower shall notify the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Administrative Agent of a written Interest Election Request signed by the Borrower.</w:t>
      </w:r>
    </w:p>
    <w:p>
      <w:pPr>
        <w:spacing w:after="0" w:line="176" w:lineRule="exact"/>
        <w:rPr>
          <w:rFonts w:ascii="Arial" w:cs="Arial" w:eastAsia="Arial" w:hAnsi="Arial"/>
          <w:sz w:val="21"/>
          <w:szCs w:val="21"/>
          <w:color w:val="auto"/>
        </w:rPr>
      </w:pPr>
    </w:p>
    <w:p>
      <w:pPr>
        <w:ind w:left="1380" w:hanging="561"/>
        <w:spacing w:after="0"/>
        <w:tabs>
          <w:tab w:leader="none" w:pos="13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Each telephonic and written Interest Election Request shall specify the following information in compliance with</w:t>
      </w:r>
    </w:p>
    <w:p>
      <w:pPr>
        <w:spacing w:after="0" w:line="3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Section 2.03:</w:t>
      </w:r>
    </w:p>
    <w:p>
      <w:pPr>
        <w:spacing w:after="0" w:line="213" w:lineRule="exact"/>
        <w:rPr>
          <w:rFonts w:ascii="Arial" w:cs="Arial" w:eastAsia="Arial" w:hAnsi="Arial"/>
          <w:sz w:val="20"/>
          <w:szCs w:val="20"/>
          <w:color w:val="auto"/>
        </w:rPr>
      </w:pPr>
    </w:p>
    <w:p>
      <w:pPr>
        <w:jc w:val="both"/>
        <w:ind w:left="640" w:firstLine="940"/>
        <w:spacing w:after="0" w:line="286" w:lineRule="auto"/>
        <w:tabs>
          <w:tab w:leader="none" w:pos="2010"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49" w:lineRule="exact"/>
        <w:rPr>
          <w:rFonts w:ascii="Arial" w:cs="Arial" w:eastAsia="Arial" w:hAnsi="Arial"/>
          <w:sz w:val="20"/>
          <w:szCs w:val="20"/>
          <w:color w:val="auto"/>
        </w:rPr>
      </w:pPr>
    </w:p>
    <w:p>
      <w:pPr>
        <w:ind w:left="2080" w:hanging="500"/>
        <w:spacing w:after="0"/>
        <w:tabs>
          <w:tab w:leader="none" w:pos="20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 Business</w:t>
      </w:r>
    </w:p>
    <w:p>
      <w:pPr>
        <w:spacing w:after="0" w:line="48"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Day;</w:t>
      </w:r>
    </w:p>
    <w:p>
      <w:pPr>
        <w:spacing w:after="0" w:line="213" w:lineRule="exact"/>
        <w:rPr>
          <w:rFonts w:ascii="Arial" w:cs="Arial" w:eastAsia="Arial" w:hAnsi="Arial"/>
          <w:sz w:val="19"/>
          <w:szCs w:val="19"/>
          <w:color w:val="auto"/>
        </w:rPr>
      </w:pPr>
    </w:p>
    <w:p>
      <w:pPr>
        <w:ind w:left="2060" w:hanging="480"/>
        <w:spacing w:after="0"/>
        <w:tabs>
          <w:tab w:leader="none" w:pos="2060" w:val="left"/>
        </w:tabs>
        <w:numPr>
          <w:ilvl w:val="1"/>
          <w:numId w:val="61"/>
        </w:numPr>
        <w:rPr>
          <w:rFonts w:ascii="Arial" w:cs="Arial" w:eastAsia="Arial" w:hAnsi="Arial"/>
          <w:sz w:val="21"/>
          <w:szCs w:val="21"/>
          <w:color w:val="auto"/>
        </w:rPr>
      </w:pPr>
      <w:r>
        <w:rPr>
          <w:rFonts w:ascii="Arial" w:cs="Arial" w:eastAsia="Arial" w:hAnsi="Arial"/>
          <w:sz w:val="21"/>
          <w:szCs w:val="21"/>
          <w:color w:val="auto"/>
        </w:rPr>
        <w:t>whether the resulting Borrowing is to be an ABR Borrowing or a Eurodollar Borrowing; and</w:t>
      </w:r>
    </w:p>
    <w:p>
      <w:pPr>
        <w:spacing w:after="0" w:line="230" w:lineRule="exact"/>
        <w:rPr>
          <w:rFonts w:ascii="Arial" w:cs="Arial" w:eastAsia="Arial" w:hAnsi="Arial"/>
          <w:sz w:val="21"/>
          <w:szCs w:val="21"/>
          <w:color w:val="auto"/>
        </w:rPr>
      </w:pPr>
    </w:p>
    <w:p>
      <w:pPr>
        <w:ind w:left="640" w:firstLine="940"/>
        <w:spacing w:after="0" w:line="312" w:lineRule="auto"/>
        <w:tabs>
          <w:tab w:leader="none" w:pos="2129" w:val="left"/>
        </w:tabs>
        <w:numPr>
          <w:ilvl w:val="1"/>
          <w:numId w:val="61"/>
        </w:numPr>
        <w:rPr>
          <w:rFonts w:ascii="Arial" w:cs="Arial" w:eastAsia="Arial" w:hAnsi="Arial"/>
          <w:sz w:val="20"/>
          <w:szCs w:val="20"/>
          <w:color w:val="auto"/>
        </w:rPr>
      </w:pPr>
      <w:r>
        <w:rPr>
          <w:rFonts w:ascii="Arial" w:cs="Arial" w:eastAsia="Arial" w:hAnsi="Arial"/>
          <w:sz w:val="20"/>
          <w:szCs w:val="20"/>
          <w:color w:val="auto"/>
        </w:rPr>
        <w:t>if the resulting Borrowing is to be a Eurodollar Borrowing, the Interest Period to be applicable thereto after giving effect to such election, which shall be a period contemplated by the definition of the term “Interest Period.”</w:t>
      </w:r>
    </w:p>
    <w:p>
      <w:pPr>
        <w:sectPr>
          <w:pgSz w:w="11900" w:h="16899" w:orient="portrait"/>
          <w:cols w:equalWidth="0" w:num="1">
            <w:col w:w="11420"/>
          </w:cols>
          <w:pgMar w:left="240" w:top="121" w:right="239" w:bottom="0" w:gutter="0" w:footer="0" w:header="0"/>
        </w:sectPr>
      </w:pPr>
    </w:p>
    <w:p>
      <w:pPr>
        <w:spacing w:after="0" w:line="115"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If any such Interest Election Request requests a Eurodollar Borrowing but does not specify an Interest Period, then the Borrower shall be deemed to have selected an Interest Period of one month’s duration.</w:t>
      </w:r>
    </w:p>
    <w:p>
      <w:pPr>
        <w:sectPr>
          <w:pgSz w:w="11900" w:h="16899" w:orient="portrait"/>
          <w:cols w:equalWidth="0" w:num="1">
            <w:col w:w="11420"/>
          </w:cols>
          <w:pgMar w:left="240" w:top="121" w:right="239" w:bottom="0" w:gutter="0" w:footer="0" w:header="0"/>
          <w:type w:val="continuous"/>
        </w:sectPr>
      </w:pPr>
    </w:p>
    <w:bookmarkStart w:id="128" w:name="page129"/>
    <w:bookmarkEnd w:id="128"/>
    <w:p>
      <w:pPr>
        <w:spacing w:after="0" w:line="205" w:lineRule="auto"/>
        <w:framePr w:w="1200" w:h="187" w:wrap="auto" w:vAnchor="page" w:hAnchor="page" w:x="840" w:y="7906"/>
        <w:rPr>
          <w:rFonts w:ascii="Arial" w:cs="Arial" w:eastAsia="Arial" w:hAnsi="Arial"/>
          <w:sz w:val="19"/>
          <w:szCs w:val="19"/>
          <w:color w:val="auto"/>
        </w:rPr>
      </w:pPr>
      <w:r>
        <w:rPr>
          <w:rFonts w:ascii="Arial" w:cs="Arial" w:eastAsia="Arial" w:hAnsi="Arial"/>
          <w:sz w:val="19"/>
          <w:szCs w:val="19"/>
          <w:color w:val="auto"/>
        </w:rPr>
        <w:t>Section 2.07.</w:t>
      </w:r>
    </w:p>
    <w:p>
      <w:pPr>
        <w:ind w:firstLine="819"/>
        <w:spacing w:after="0" w:line="341" w:lineRule="auto"/>
        <w:tabs>
          <w:tab w:leader="none" w:pos="1287" w:val="left"/>
        </w:tabs>
        <w:numPr>
          <w:ilvl w:val="0"/>
          <w:numId w:val="62"/>
        </w:numPr>
        <w:rPr>
          <w:rFonts w:ascii="Arial" w:cs="Arial" w:eastAsia="Arial" w:hAnsi="Arial"/>
          <w:sz w:val="19"/>
          <w:szCs w:val="19"/>
          <w:color w:val="auto"/>
        </w:rPr>
      </w:pPr>
      <w:r>
        <w:rPr>
          <w:rFonts w:ascii="Arial" w:cs="Arial" w:eastAsia="Arial" w:hAnsi="Arial"/>
          <w:sz w:val="19"/>
          <w:szCs w:val="19"/>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00" w:lineRule="exact"/>
        <w:rPr>
          <w:rFonts w:ascii="Arial" w:cs="Arial" w:eastAsia="Arial" w:hAnsi="Arial"/>
          <w:sz w:val="19"/>
          <w:szCs w:val="19"/>
          <w:color w:val="auto"/>
        </w:rPr>
      </w:pPr>
    </w:p>
    <w:p>
      <w:pPr>
        <w:jc w:val="both"/>
        <w:ind w:firstLine="819"/>
        <w:spacing w:after="0" w:line="287" w:lineRule="auto"/>
        <w:tabs>
          <w:tab w:leader="none" w:pos="1233" w:val="left"/>
        </w:tabs>
        <w:numPr>
          <w:ilvl w:val="0"/>
          <w:numId w:val="62"/>
        </w:numPr>
        <w:rPr>
          <w:rFonts w:ascii="Arial" w:cs="Arial" w:eastAsia="Arial" w:hAnsi="Arial"/>
          <w:sz w:val="19"/>
          <w:szCs w:val="19"/>
          <w:color w:val="auto"/>
        </w:rPr>
      </w:pPr>
      <w:r>
        <w:rPr>
          <w:rFonts w:ascii="Arial" w:cs="Arial" w:eastAsia="Arial" w:hAnsi="Arial"/>
          <w:sz w:val="19"/>
          <w:szCs w:val="19"/>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52" w:lineRule="exact"/>
        <w:rPr>
          <w:rFonts w:ascii="Arial" w:cs="Arial" w:eastAsia="Arial" w:hAnsi="Arial"/>
          <w:sz w:val="19"/>
          <w:szCs w:val="19"/>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i w:val="1"/>
          <w:iCs w:val="1"/>
          <w:color w:val="auto"/>
        </w:rPr>
        <w:t>Termination and Reduction of Commitments</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Unless previously terminated, (i)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21"/>
          <w:szCs w:val="21"/>
          <w:color w:val="auto"/>
        </w:rPr>
        <w:t xml:space="preserve"> </w:t>
      </w:r>
      <w:r>
        <w:rPr>
          <w:rFonts w:ascii="Arial" w:cs="Arial" w:eastAsia="Arial" w:hAnsi="Arial"/>
          <w:sz w:val="19"/>
          <w:szCs w:val="19"/>
          <w:color w:val="auto"/>
        </w:rPr>
        <w:t>Commitments</w:t>
      </w:r>
      <w:r>
        <w:rPr>
          <w:rFonts w:ascii="Arial" w:cs="Arial" w:eastAsia="Arial" w:hAnsi="Arial"/>
          <w:sz w:val="21"/>
          <w:szCs w:val="21"/>
          <w:color w:val="auto"/>
        </w:rPr>
        <w:t xml:space="preserve"> </w:t>
      </w:r>
      <w:r>
        <w:rPr>
          <w:rFonts w:ascii="Arial" w:cs="Arial" w:eastAsia="Arial" w:hAnsi="Arial"/>
          <w:sz w:val="19"/>
          <w:szCs w:val="19"/>
          <w:color w:val="auto"/>
        </w:rPr>
        <w:t xml:space="preserve">shall terminate at 5:00 p.m., New York City time, on the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Effective Date and (ii) the Revolving Commitments shall automatically terminate on the Revolving Commitment Termination Date.</w:t>
      </w:r>
    </w:p>
    <w:p>
      <w:pPr>
        <w:spacing w:after="0" w:line="179" w:lineRule="exact"/>
        <w:rPr>
          <w:rFonts w:ascii="Arial" w:cs="Arial" w:eastAsia="Arial" w:hAnsi="Arial"/>
          <w:sz w:val="19"/>
          <w:szCs w:val="19"/>
          <w:color w:val="auto"/>
        </w:rPr>
      </w:pPr>
    </w:p>
    <w:p>
      <w:pPr>
        <w:jc w:val="both"/>
        <w:ind w:firstLine="819"/>
        <w:spacing w:after="0" w:line="257" w:lineRule="auto"/>
        <w:tabs>
          <w:tab w:leader="none" w:pos="1248"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The Borrower may at any time terminate, or from time to time reduce, the Commitments of any Class,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in accordance with Section 2.11, the aggregate Revolving Exposures would exceed the Total Revolving Commitments.</w:t>
      </w:r>
    </w:p>
    <w:p>
      <w:pPr>
        <w:spacing w:after="0" w:line="176" w:lineRule="exact"/>
        <w:rPr>
          <w:rFonts w:ascii="Arial" w:cs="Arial" w:eastAsia="Arial" w:hAnsi="Arial"/>
          <w:sz w:val="21"/>
          <w:szCs w:val="21"/>
          <w:color w:val="auto"/>
        </w:rPr>
      </w:pPr>
    </w:p>
    <w:p>
      <w:pPr>
        <w:jc w:val="both"/>
        <w:ind w:firstLine="819"/>
        <w:spacing w:after="0" w:line="266" w:lineRule="auto"/>
        <w:tabs>
          <w:tab w:leader="none" w:pos="1338"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notice of termination of the Revolving Commitments delivered by the Borrower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393" w:lineRule="exact"/>
        <w:rPr>
          <w:rFonts w:ascii="Arial" w:cs="Arial" w:eastAsia="Arial" w:hAnsi="Arial"/>
          <w:sz w:val="19"/>
          <w:szCs w:val="19"/>
          <w:color w:val="auto"/>
        </w:rPr>
      </w:pPr>
    </w:p>
    <w:p>
      <w:pPr>
        <w:jc w:val="both"/>
        <w:ind w:firstLine="2078"/>
        <w:spacing w:after="0" w:line="205" w:lineRule="auto"/>
        <w:rPr>
          <w:sz w:val="20"/>
          <w:szCs w:val="20"/>
          <w:color w:val="auto"/>
        </w:rPr>
      </w:pPr>
      <w:r>
        <w:rPr>
          <w:rFonts w:ascii="Arial" w:cs="Arial" w:eastAsia="Arial" w:hAnsi="Arial"/>
          <w:sz w:val="21"/>
          <w:szCs w:val="21"/>
          <w:i w:val="1"/>
          <w:iCs w:val="1"/>
          <w:color w:val="auto"/>
        </w:rPr>
        <w:t>Repayment of Loans; Evidence of Debt</w:t>
      </w:r>
      <w:r>
        <w:rPr>
          <w:rFonts w:ascii="Arial" w:cs="Arial" w:eastAsia="Arial" w:hAnsi="Arial"/>
          <w:sz w:val="19"/>
          <w:szCs w:val="19"/>
          <w:i w:val="1"/>
          <w:iCs w:val="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(%3)</w:t>
      </w:r>
      <w:r>
        <w:rPr>
          <w:rFonts w:ascii="Arial" w:cs="Arial" w:eastAsia="Arial" w:hAnsi="Arial"/>
          <w:sz w:val="21"/>
          <w:szCs w:val="21"/>
          <w:i w:val="1"/>
          <w:iCs w:val="1"/>
          <w:color w:val="auto"/>
        </w:rPr>
        <w:t xml:space="preserve"> </w:t>
      </w:r>
      <w:r>
        <w:rPr>
          <w:rFonts w:ascii="Arial" w:cs="Arial" w:eastAsia="Arial" w:hAnsi="Arial"/>
          <w:sz w:val="19"/>
          <w:szCs w:val="19"/>
          <w:color w:val="auto"/>
        </w:rPr>
        <w:t>The Borrower hereby unconditionally promises to pay (i) to the</w:t>
      </w:r>
      <w:r>
        <w:rPr>
          <w:rFonts w:ascii="Arial" w:cs="Arial" w:eastAsia="Arial" w:hAnsi="Arial"/>
          <w:sz w:val="21"/>
          <w:szCs w:val="21"/>
          <w:i w:val="1"/>
          <w:iCs w:val="1"/>
          <w:color w:val="auto"/>
        </w:rPr>
        <w:t xml:space="preserve"> </w:t>
      </w:r>
      <w:r>
        <w:rPr>
          <w:rFonts w:ascii="Arial" w:cs="Arial" w:eastAsia="Arial" w:hAnsi="Arial"/>
          <w:sz w:val="19"/>
          <w:szCs w:val="19"/>
          <w:color w:val="auto"/>
        </w:rPr>
        <w:t>Administrative Agent for the account of each Lender the then unpaid principal amount of each Revolving Loan of such Lender on the Revolving Maturity Date and (ii) to the Administrative Agent for the account of each Lender the then unpaid principal amount of each Term Loan of such Lender as provided in Section 2.08.</w:t>
      </w:r>
    </w:p>
    <w:p>
      <w:pPr>
        <w:spacing w:after="0" w:line="210" w:lineRule="exact"/>
        <w:rPr>
          <w:rFonts w:ascii="Arial" w:cs="Arial" w:eastAsia="Arial" w:hAnsi="Arial"/>
          <w:sz w:val="19"/>
          <w:szCs w:val="19"/>
          <w:color w:val="auto"/>
        </w:rPr>
      </w:pPr>
    </w:p>
    <w:p>
      <w:pPr>
        <w:jc w:val="both"/>
        <w:ind w:firstLine="819"/>
        <w:spacing w:after="0" w:line="267" w:lineRule="auto"/>
        <w:tabs>
          <w:tab w:leader="none" w:pos="1248" w:val="left"/>
        </w:tabs>
        <w:numPr>
          <w:ilvl w:val="0"/>
          <w:numId w:val="64"/>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5" w:lineRule="exact"/>
        <w:rPr>
          <w:rFonts w:ascii="Arial" w:cs="Arial" w:eastAsia="Arial" w:hAnsi="Arial"/>
          <w:sz w:val="21"/>
          <w:szCs w:val="21"/>
          <w:color w:val="auto"/>
        </w:rPr>
      </w:pPr>
    </w:p>
    <w:p>
      <w:pPr>
        <w:jc w:val="both"/>
        <w:ind w:firstLine="819"/>
        <w:spacing w:after="0" w:line="260" w:lineRule="auto"/>
        <w:tabs>
          <w:tab w:leader="none" w:pos="1247"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4" w:lineRule="exact"/>
        <w:rPr>
          <w:rFonts w:ascii="Arial" w:cs="Arial" w:eastAsia="Arial" w:hAnsi="Arial"/>
          <w:sz w:val="21"/>
          <w:szCs w:val="21"/>
          <w:color w:val="auto"/>
        </w:rPr>
      </w:pPr>
    </w:p>
    <w:p>
      <w:pPr>
        <w:jc w:val="both"/>
        <w:ind w:firstLine="819"/>
        <w:spacing w:after="0" w:line="255" w:lineRule="auto"/>
        <w:tabs>
          <w:tab w:leader="none" w:pos="1353"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The entries made in the accounts maintained pursuant to paragraph (b) or (c) of this Section shall be prima facie evidence of the existence and amounts of the obligations recorded therein,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the accounts maintained by the Administrative Agent pursuant to paragraph (c) of this Section shall control.</w:t>
      </w:r>
    </w:p>
    <w:p>
      <w:pPr>
        <w:spacing w:after="0" w:line="179" w:lineRule="exact"/>
        <w:rPr>
          <w:rFonts w:ascii="Arial" w:cs="Arial" w:eastAsia="Arial" w:hAnsi="Arial"/>
          <w:sz w:val="21"/>
          <w:szCs w:val="21"/>
          <w:color w:val="auto"/>
        </w:rPr>
      </w:pPr>
    </w:p>
    <w:p>
      <w:pPr>
        <w:jc w:val="both"/>
        <w:ind w:firstLine="819"/>
        <w:spacing w:after="0" w:line="260" w:lineRule="auto"/>
        <w:tabs>
          <w:tab w:leader="none" w:pos="1352" w:val="left"/>
        </w:tabs>
        <w:numPr>
          <w:ilvl w:val="0"/>
          <w:numId w:val="64"/>
        </w:numPr>
        <w:rPr>
          <w:rFonts w:ascii="Arial" w:cs="Arial" w:eastAsia="Arial" w:hAnsi="Arial"/>
          <w:sz w:val="21"/>
          <w:szCs w:val="21"/>
          <w:color w:val="auto"/>
        </w:rPr>
      </w:pPr>
      <w:r>
        <w:rPr>
          <w:rFonts w:ascii="Arial" w:cs="Arial" w:eastAsia="Arial" w:hAnsi="Arial"/>
          <w:sz w:val="21"/>
          <w:szCs w:val="21"/>
          <w:color w:val="auto"/>
        </w:rPr>
        <w:t>Any Lender may request through the Administrative Agent that Loans of any Class made by it be evidenced by a promissory note. In such event, the Borrower shall execute and deliver to such Lender a promissory note payable to the order of such Lender (or, if requested by such Lender, to such Lender and its registered assigns) and in a form provided by the Administrative Agent and approved by the Borrower.</w:t>
      </w:r>
    </w:p>
    <w:p>
      <w:pPr>
        <w:spacing w:after="0" w:line="174" w:lineRule="exact"/>
        <w:rPr>
          <w:rFonts w:ascii="Arial" w:cs="Arial" w:eastAsia="Arial" w:hAnsi="Arial"/>
          <w:sz w:val="21"/>
          <w:szCs w:val="21"/>
          <w:color w:val="auto"/>
        </w:rPr>
      </w:pPr>
    </w:p>
    <w:p>
      <w:pPr>
        <w:jc w:val="both"/>
        <w:ind w:firstLine="819"/>
        <w:spacing w:after="0" w:line="267" w:lineRule="auto"/>
        <w:tabs>
          <w:tab w:leader="none" w:pos="1235"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The Borrower shall repay to the Administrative Agent for the ratable account of each Term Lender with Non-Converted </w:t>
      </w:r>
      <w:r>
        <w:rPr>
          <w:rFonts w:ascii="Arial" w:cs="Arial" w:eastAsia="Arial" w:hAnsi="Arial"/>
          <w:sz w:val="21"/>
          <w:szCs w:val="21"/>
          <w:color w:val="FF0000"/>
          <w:strike w:val="1"/>
        </w:rPr>
        <w:t>New</w:t>
      </w:r>
      <w:r>
        <w:rPr>
          <w:rFonts w:ascii="Arial" w:cs="Arial" w:eastAsia="Arial" w:hAnsi="Arial"/>
          <w:sz w:val="21"/>
          <w:szCs w:val="21"/>
          <w:color w:val="FF0000"/>
        </w:rPr>
        <w:t xml:space="preserve"> </w:t>
      </w:r>
      <w:r>
        <w:rPr>
          <w:rFonts w:ascii="Arial" w:cs="Arial" w:eastAsia="Arial" w:hAnsi="Arial"/>
          <w:sz w:val="21"/>
          <w:szCs w:val="21"/>
          <w:color w:val="000000"/>
        </w:rPr>
        <w:t>Term</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B-1</w:t>
      </w:r>
      <w:r>
        <w:rPr>
          <w:rFonts w:ascii="Arial" w:cs="Arial" w:eastAsia="Arial" w:hAnsi="Arial"/>
          <w:sz w:val="21"/>
          <w:szCs w:val="21"/>
          <w:color w:val="FF0000"/>
        </w:rPr>
        <w:t xml:space="preserve"> </w:t>
      </w:r>
      <w:r>
        <w:rPr>
          <w:rFonts w:ascii="Arial" w:cs="Arial" w:eastAsia="Arial" w:hAnsi="Arial"/>
          <w:sz w:val="21"/>
          <w:szCs w:val="21"/>
          <w:color w:val="000000"/>
        </w:rPr>
        <w:t>Loans the full amount of Non-Converted</w:t>
      </w:r>
      <w:r>
        <w:rPr>
          <w:rFonts w:ascii="Arial" w:cs="Arial" w:eastAsia="Arial" w:hAnsi="Arial"/>
          <w:sz w:val="21"/>
          <w:szCs w:val="21"/>
          <w:color w:val="FF0000"/>
        </w:rPr>
        <w:t xml:space="preserve"> </w:t>
      </w:r>
      <w:r>
        <w:rPr>
          <w:rFonts w:ascii="Arial" w:cs="Arial" w:eastAsia="Arial" w:hAnsi="Arial"/>
          <w:sz w:val="21"/>
          <w:szCs w:val="21"/>
          <w:color w:val="FF0000"/>
          <w:strike w:val="1"/>
        </w:rPr>
        <w:t>New</w:t>
      </w:r>
      <w:r>
        <w:rPr>
          <w:rFonts w:ascii="Arial" w:cs="Arial" w:eastAsia="Arial" w:hAnsi="Arial"/>
          <w:sz w:val="21"/>
          <w:szCs w:val="21"/>
          <w:color w:val="FF0000"/>
        </w:rPr>
        <w:t xml:space="preserve"> </w:t>
      </w:r>
      <w:r>
        <w:rPr>
          <w:rFonts w:ascii="Arial" w:cs="Arial" w:eastAsia="Arial" w:hAnsi="Arial"/>
          <w:sz w:val="21"/>
          <w:szCs w:val="21"/>
          <w:color w:val="000000"/>
        </w:rPr>
        <w:t>Term</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B-1</w:t>
      </w:r>
      <w:r>
        <w:rPr>
          <w:rFonts w:ascii="Arial" w:cs="Arial" w:eastAsia="Arial" w:hAnsi="Arial"/>
          <w:sz w:val="21"/>
          <w:szCs w:val="21"/>
          <w:color w:val="FF0000"/>
        </w:rPr>
        <w:t xml:space="preserve"> </w:t>
      </w:r>
      <w:r>
        <w:rPr>
          <w:rFonts w:ascii="Arial" w:cs="Arial" w:eastAsia="Arial" w:hAnsi="Arial"/>
          <w:sz w:val="21"/>
          <w:szCs w:val="21"/>
          <w:color w:val="000000"/>
        </w:rPr>
        <w:t>Loans substantially concurrently with the receipt of the</w:t>
      </w:r>
      <w:r>
        <w:rPr>
          <w:rFonts w:ascii="Arial" w:cs="Arial" w:eastAsia="Arial" w:hAnsi="Arial"/>
          <w:sz w:val="21"/>
          <w:szCs w:val="21"/>
          <w:color w:val="FF0000"/>
        </w:rPr>
        <w:t xml:space="preserve"> </w:t>
      </w:r>
      <w:r>
        <w:rPr>
          <w:rFonts w:ascii="Arial" w:cs="Arial" w:eastAsia="Arial" w:hAnsi="Arial"/>
          <w:sz w:val="21"/>
          <w:szCs w:val="21"/>
          <w:color w:val="000000"/>
        </w:rPr>
        <w:t>proceeds of the Term B-</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r>
        <w:rPr>
          <w:rFonts w:ascii="Arial" w:cs="Arial" w:eastAsia="Arial" w:hAnsi="Arial"/>
          <w:sz w:val="21"/>
          <w:szCs w:val="21"/>
          <w:color w:val="000000"/>
        </w:rPr>
        <w:t xml:space="preserve"> Loans on the Amendment No. </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r>
        <w:rPr>
          <w:rFonts w:ascii="Arial" w:cs="Arial" w:eastAsia="Arial" w:hAnsi="Arial"/>
          <w:sz w:val="21"/>
          <w:szCs w:val="21"/>
          <w:color w:val="000000"/>
        </w:rPr>
        <w:t xml:space="preserve"> Effective Date.</w:t>
      </w:r>
    </w:p>
    <w:p>
      <w:pPr>
        <w:spacing w:after="0" w:line="165" w:lineRule="exact"/>
        <w:rPr>
          <w:rFonts w:ascii="Arial" w:cs="Arial" w:eastAsia="Arial" w:hAnsi="Arial"/>
          <w:sz w:val="19"/>
          <w:szCs w:val="19"/>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2.08.</w:t>
      </w:r>
      <w:r>
        <w:rPr>
          <w:sz w:val="20"/>
          <w:szCs w:val="20"/>
          <w:color w:val="auto"/>
        </w:rPr>
        <w:tab/>
      </w:r>
      <w:r>
        <w:rPr>
          <w:rFonts w:ascii="Arial" w:cs="Arial" w:eastAsia="Arial" w:hAnsi="Arial"/>
          <w:sz w:val="19"/>
          <w:szCs w:val="19"/>
          <w:i w:val="1"/>
          <w:iCs w:val="1"/>
          <w:color w:val="auto"/>
        </w:rPr>
        <w:t>Amortization of Term Loans</w:t>
      </w:r>
      <w:r>
        <w:rPr>
          <w:rFonts w:ascii="Arial" w:cs="Arial" w:eastAsia="Arial" w:hAnsi="Arial"/>
          <w:sz w:val="17"/>
          <w:szCs w:val="17"/>
          <w:i w:val="1"/>
          <w:iCs w:val="1"/>
          <w:color w:val="auto"/>
        </w:rPr>
        <w:t>.</w:t>
      </w:r>
    </w:p>
    <w:p>
      <w:pPr>
        <w:spacing w:after="0" w:line="222" w:lineRule="exact"/>
        <w:rPr>
          <w:rFonts w:ascii="Arial" w:cs="Arial" w:eastAsia="Arial" w:hAnsi="Arial"/>
          <w:sz w:val="19"/>
          <w:szCs w:val="19"/>
          <w:color w:val="auto"/>
        </w:rPr>
      </w:pPr>
    </w:p>
    <w:p>
      <w:pPr>
        <w:jc w:val="both"/>
        <w:ind w:firstLine="630"/>
        <w:spacing w:after="0" w:line="254" w:lineRule="auto"/>
        <w:rPr>
          <w:sz w:val="20"/>
          <w:szCs w:val="20"/>
          <w:color w:val="auto"/>
        </w:rPr>
      </w:pPr>
      <w:r>
        <w:rPr>
          <w:rFonts w:ascii="Arial" w:cs="Arial" w:eastAsia="Arial" w:hAnsi="Arial"/>
          <w:sz w:val="19"/>
          <w:szCs w:val="19"/>
          <w:color w:val="auto"/>
        </w:rPr>
        <w:t>(%3) Subject to adjustment pursuant to paragraph (c) of this Section, the Borrower shall repay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on each anniversary of the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Effective Date in an aggregate principal amount equal to the aggregate outstanding principal amount of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immediately after closing on the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Effective Date multiplied by 7.50%;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date is not a Business Day, such payment shall be due on the next preceding Business Day.</w:t>
      </w:r>
    </w:p>
    <w:p>
      <w:pPr>
        <w:sectPr>
          <w:pgSz w:w="11900" w:h="16838" w:orient="portrait"/>
          <w:cols w:equalWidth="0" w:num="1">
            <w:col w:w="11420"/>
          </w:cols>
          <w:pgMar w:left="240" w:top="289" w:right="239" w:bottom="0" w:gutter="0" w:footer="0" w:header="0"/>
        </w:sectPr>
      </w:pPr>
    </w:p>
    <w:bookmarkStart w:id="129" w:name="page130"/>
    <w:bookmarkEnd w:id="129"/>
    <w:p>
      <w:pPr>
        <w:ind w:left="1220" w:hanging="401"/>
        <w:spacing w:after="0"/>
        <w:tabs>
          <w:tab w:leader="none" w:pos="12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To the extent not previously paid, all Term B-</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r>
        <w:rPr>
          <w:rFonts w:ascii="Arial" w:cs="Arial" w:eastAsia="Arial" w:hAnsi="Arial"/>
          <w:sz w:val="21"/>
          <w:szCs w:val="21"/>
          <w:color w:val="auto"/>
        </w:rPr>
        <w:t xml:space="preserve"> Loans shall be due and payable on the Term Maturity Date.</w:t>
      </w:r>
    </w:p>
    <w:p>
      <w:pPr>
        <w:spacing w:after="0" w:line="230" w:lineRule="exact"/>
        <w:rPr>
          <w:rFonts w:ascii="Arial" w:cs="Arial" w:eastAsia="Arial" w:hAnsi="Arial"/>
          <w:sz w:val="21"/>
          <w:szCs w:val="21"/>
          <w:color w:val="auto"/>
        </w:rPr>
      </w:pPr>
    </w:p>
    <w:p>
      <w:pPr>
        <w:jc w:val="both"/>
        <w:ind w:firstLine="819"/>
        <w:spacing w:after="0" w:line="266" w:lineRule="auto"/>
        <w:tabs>
          <w:tab w:leader="none" w:pos="1286"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Any prepayment of a Term Borrowing of any Class (%3) pursuant to Section 2.09(a)(i) shall be applied to reduce the subsequent scheduled and outstanding repayments of the Term Borrowing of such Class to be made pursuant to this Section as directed by the Borrower (and absent such direction in direct order of maturity), (%3) pursuant to Section 2.09(a)(ii) shall be applied as set forth in Section 2.09(a)(ii)(F) and (%3) pursuant to Section 2.09(b) or 2.09(c) shall be applied to reduce the subsequent scheduled and outstanding repayments of the Term Borrowings of such Class to be made pursuant to this Section, or, except as otherwise provided in any Refinancing Amendment, pursuant to the corresponding section of such Refinancing Amendment, in direct order of maturity;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any such prepayments of</w:t>
      </w:r>
      <w:r>
        <w:rPr>
          <w:rFonts w:ascii="Arial" w:cs="Arial" w:eastAsia="Arial" w:hAnsi="Arial"/>
          <w:sz w:val="20"/>
          <w:szCs w:val="20"/>
          <w:i w:val="1"/>
          <w:iCs w:val="1"/>
          <w:color w:val="auto"/>
        </w:rPr>
        <w:t xml:space="preserve"> </w:t>
      </w:r>
      <w:r>
        <w:rPr>
          <w:rFonts w:ascii="Arial" w:cs="Arial" w:eastAsia="Arial" w:hAnsi="Arial"/>
          <w:sz w:val="20"/>
          <w:szCs w:val="20"/>
          <w:color w:val="FF0000"/>
          <w:strike w:val="1"/>
        </w:rPr>
        <w:t>New</w:t>
      </w:r>
      <w:r>
        <w:rPr>
          <w:rFonts w:ascii="Arial" w:cs="Arial" w:eastAsia="Arial" w:hAnsi="Arial"/>
          <w:sz w:val="20"/>
          <w:szCs w:val="20"/>
          <w:i w:val="1"/>
          <w:iCs w:val="1"/>
          <w:color w:val="auto"/>
        </w:rPr>
        <w:t xml:space="preserve"> </w:t>
      </w:r>
      <w:r>
        <w:rPr>
          <w:rFonts w:ascii="Arial" w:cs="Arial" w:eastAsia="Arial" w:hAnsi="Arial"/>
          <w:sz w:val="20"/>
          <w:szCs w:val="20"/>
          <w:color w:val="auto"/>
        </w:rPr>
        <w:t>Term</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0000FF"/>
        </w:rPr>
        <w:t>B-1</w:t>
      </w:r>
      <w:r>
        <w:rPr>
          <w:rFonts w:ascii="Arial" w:cs="Arial" w:eastAsia="Arial" w:hAnsi="Arial"/>
          <w:sz w:val="20"/>
          <w:szCs w:val="20"/>
          <w:i w:val="1"/>
          <w:iCs w:val="1"/>
          <w:color w:val="auto"/>
        </w:rPr>
        <w:t xml:space="preserve"> </w:t>
      </w:r>
      <w:r>
        <w:rPr>
          <w:rFonts w:ascii="Arial" w:cs="Arial" w:eastAsia="Arial" w:hAnsi="Arial"/>
          <w:sz w:val="20"/>
          <w:szCs w:val="20"/>
          <w:color w:val="auto"/>
        </w:rPr>
        <w:t>Loans made prior to the Amendment No.</w:t>
      </w:r>
      <w:r>
        <w:rPr>
          <w:rFonts w:ascii="Arial" w:cs="Arial" w:eastAsia="Arial" w:hAnsi="Arial"/>
          <w:sz w:val="20"/>
          <w:szCs w:val="20"/>
          <w:i w:val="1"/>
          <w:iCs w:val="1"/>
          <w:color w:val="auto"/>
        </w:rPr>
        <w:t xml:space="preserve"> </w:t>
      </w:r>
      <w:r>
        <w:rPr>
          <w:rFonts w:ascii="Arial" w:cs="Arial" w:eastAsia="Arial" w:hAnsi="Arial"/>
          <w:sz w:val="20"/>
          <w:szCs w:val="20"/>
          <w:color w:val="FF0000"/>
          <w:strike w:val="1"/>
        </w:rPr>
        <w:t>1</w:t>
      </w:r>
      <w:r>
        <w:rPr>
          <w:rFonts w:ascii="Arial" w:cs="Arial" w:eastAsia="Arial" w:hAnsi="Arial"/>
          <w:sz w:val="20"/>
          <w:szCs w:val="20"/>
          <w:u w:val="single" w:color="auto"/>
          <w:color w:val="0000FF"/>
        </w:rPr>
        <w:t>2</w:t>
      </w:r>
      <w:r>
        <w:rPr>
          <w:rFonts w:ascii="Arial" w:cs="Arial" w:eastAsia="Arial" w:hAnsi="Arial"/>
          <w:sz w:val="20"/>
          <w:szCs w:val="20"/>
          <w:i w:val="1"/>
          <w:iCs w:val="1"/>
          <w:color w:val="auto"/>
        </w:rPr>
        <w:t xml:space="preserve"> </w:t>
      </w:r>
      <w:r>
        <w:rPr>
          <w:rFonts w:ascii="Arial" w:cs="Arial" w:eastAsia="Arial" w:hAnsi="Arial"/>
          <w:sz w:val="20"/>
          <w:szCs w:val="20"/>
          <w:color w:val="auto"/>
        </w:rPr>
        <w:t>Effective Date shall be applied to</w:t>
      </w:r>
      <w:r>
        <w:rPr>
          <w:rFonts w:ascii="Arial" w:cs="Arial" w:eastAsia="Arial" w:hAnsi="Arial"/>
          <w:sz w:val="20"/>
          <w:szCs w:val="20"/>
          <w:i w:val="1"/>
          <w:iCs w:val="1"/>
          <w:color w:val="auto"/>
        </w:rPr>
        <w:t xml:space="preserve"> </w:t>
      </w:r>
      <w:r>
        <w:rPr>
          <w:rFonts w:ascii="Arial" w:cs="Arial" w:eastAsia="Arial" w:hAnsi="Arial"/>
          <w:sz w:val="20"/>
          <w:szCs w:val="20"/>
          <w:color w:val="auto"/>
        </w:rPr>
        <w:t>reduce the scheduled and outstanding repayments of the Term Borrowings of Term B-</w:t>
      </w:r>
      <w:r>
        <w:rPr>
          <w:rFonts w:ascii="Arial" w:cs="Arial" w:eastAsia="Arial" w:hAnsi="Arial"/>
          <w:sz w:val="20"/>
          <w:szCs w:val="20"/>
          <w:color w:val="FF0000"/>
          <w:strike w:val="1"/>
        </w:rPr>
        <w:t>1</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Loans to be made pursuant to this Section (x) as directed by the Borrower (and absent such direction in direct order of maturity), in the case of clause (i) and (y) in direct order of maturity, in the case of clause (iii).</w:t>
      </w:r>
    </w:p>
    <w:p>
      <w:pPr>
        <w:spacing w:after="0" w:line="167" w:lineRule="exact"/>
        <w:rPr>
          <w:rFonts w:ascii="Arial" w:cs="Arial" w:eastAsia="Arial" w:hAnsi="Arial"/>
          <w:sz w:val="20"/>
          <w:szCs w:val="20"/>
          <w:color w:val="auto"/>
        </w:rPr>
      </w:pPr>
    </w:p>
    <w:p>
      <w:pPr>
        <w:jc w:val="both"/>
        <w:ind w:firstLine="819"/>
        <w:spacing w:after="0" w:line="268" w:lineRule="auto"/>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Prior to any repayment of any Term Borrowings of any Class hereunder, the Borrower shall select the Borrowing or Borrowings of the applicable Class to be repaid and shall notify the Administrative Agent by telephone (confirmed by hand delivery or facsimile) of such election not later than 2:00 p.m., New York City time, three Business Day before the scheduled date of such repayment. In the absence of a designation by the Borrower as described in the preceding sentence, the Administrative Agent shall make such designation in its reasonable discretion with a view, but no obligation, to minimize breakage costs owing under Section 2.14. Each repayment of a Borrowing shall be applied ratably to the Loans included in the repaid Borrowing. Repayments of Term Borrowings shall be accompanied by accrued interest on the amount repaid.</w:t>
      </w:r>
    </w:p>
    <w:p>
      <w:pPr>
        <w:spacing w:after="0" w:line="171"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i w:val="1"/>
          <w:iCs w:val="1"/>
          <w:color w:val="auto"/>
        </w:rPr>
        <w:t>Prepayment of Loans</w:t>
      </w:r>
      <w:r>
        <w:rPr>
          <w:rFonts w:ascii="Arial" w:cs="Arial" w:eastAsia="Arial" w:hAnsi="Arial"/>
          <w:sz w:val="18"/>
          <w:szCs w:val="18"/>
          <w:color w:val="auto"/>
        </w:rPr>
        <w:t>.</w:t>
      </w:r>
      <w:r>
        <w:rPr>
          <w:rFonts w:ascii="Arial" w:cs="Arial" w:eastAsia="Arial" w:hAnsi="Arial"/>
          <w:sz w:val="20"/>
          <w:szCs w:val="20"/>
          <w:color w:val="auto"/>
        </w:rPr>
        <w:t xml:space="preserve"> (%3) (%4) </w:t>
      </w:r>
      <w:r>
        <w:rPr>
          <w:rFonts w:ascii="Arial" w:cs="Arial" w:eastAsia="Arial" w:hAnsi="Arial"/>
          <w:sz w:val="18"/>
          <w:szCs w:val="18"/>
          <w:color w:val="auto"/>
        </w:rPr>
        <w:t>The Borrower shall have the right at any time and from time to time to prepay any</w:t>
      </w:r>
      <w:r>
        <w:rPr>
          <w:rFonts w:ascii="Arial" w:cs="Arial" w:eastAsia="Arial" w:hAnsi="Arial"/>
          <w:sz w:val="20"/>
          <w:szCs w:val="20"/>
          <w:color w:val="auto"/>
        </w:rPr>
        <w:t xml:space="preserve"> </w:t>
      </w:r>
      <w:r>
        <w:rPr>
          <w:rFonts w:ascii="Arial" w:cs="Arial" w:eastAsia="Arial" w:hAnsi="Arial"/>
          <w:sz w:val="18"/>
          <w:szCs w:val="18"/>
          <w:color w:val="auto"/>
        </w:rPr>
        <w:t xml:space="preserve">Borrowing in whole or in part, subject to the requirements of this Section;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w:t>
      </w:r>
      <w:r>
        <w:rPr>
          <w:rFonts w:ascii="Arial" w:cs="Arial" w:eastAsia="Arial" w:hAnsi="Arial"/>
          <w:sz w:val="18"/>
          <w:szCs w:val="18"/>
          <w:u w:val="single" w:color="auto"/>
          <w:color w:val="0000FF"/>
        </w:rPr>
        <w:t>after the Amendment No. 2 Effective Date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but</w:t>
      </w:r>
      <w:r>
        <w:rPr>
          <w:rFonts w:ascii="Arial" w:cs="Arial" w:eastAsia="Arial" w:hAnsi="Arial"/>
          <w:sz w:val="18"/>
          <w:szCs w:val="18"/>
          <w:color w:val="0000FF"/>
        </w:rPr>
        <w:t xml:space="preserve"> </w:t>
      </w:r>
      <w:r>
        <w:rPr>
          <w:rFonts w:ascii="Arial" w:cs="Arial" w:eastAsia="Arial" w:hAnsi="Arial"/>
          <w:sz w:val="18"/>
          <w:szCs w:val="18"/>
          <w:color w:val="000000"/>
        </w:rPr>
        <w:t>on or prior to the six-month anniversary of the Amendment No.</w:t>
      </w:r>
      <w:r>
        <w:rPr>
          <w:rFonts w:ascii="Arial" w:cs="Arial" w:eastAsia="Arial" w:hAnsi="Arial"/>
          <w:sz w:val="18"/>
          <w:szCs w:val="18"/>
          <w:color w:val="0000FF"/>
        </w:rPr>
        <w:t xml:space="preserve">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r>
        <w:rPr>
          <w:rFonts w:ascii="Arial" w:cs="Arial" w:eastAsia="Arial" w:hAnsi="Arial"/>
          <w:sz w:val="18"/>
          <w:szCs w:val="18"/>
          <w:color w:val="000000"/>
        </w:rPr>
        <w:t>Effective Date, the Borrower (x) makes any prepayment of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r>
        <w:rPr>
          <w:rFonts w:ascii="Arial" w:cs="Arial" w:eastAsia="Arial" w:hAnsi="Arial"/>
          <w:sz w:val="18"/>
          <w:szCs w:val="18"/>
          <w:color w:val="000000"/>
        </w:rPr>
        <w:t>Loans</w:t>
      </w:r>
      <w:r>
        <w:rPr>
          <w:rFonts w:ascii="Arial" w:cs="Arial" w:eastAsia="Arial" w:hAnsi="Arial"/>
          <w:sz w:val="18"/>
          <w:szCs w:val="18"/>
          <w:color w:val="0000FF"/>
        </w:rPr>
        <w:t xml:space="preserve"> </w:t>
      </w:r>
      <w:r>
        <w:rPr>
          <w:rFonts w:ascii="Arial" w:cs="Arial" w:eastAsia="Arial" w:hAnsi="Arial"/>
          <w:sz w:val="18"/>
          <w:szCs w:val="18"/>
          <w:color w:val="000000"/>
        </w:rPr>
        <w:t>in connection with any Repricing Transaction, or (y) effects any amendment of this Agreement resulting in a Repricing Transaction, the Borrower shall pay to the Administrative Agent, for the ratable account of each of the applicable Term Lenders, (I) in the case of clause (x), a prepayment premium of 1% of the amount of the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000000"/>
        </w:rPr>
        <w:t xml:space="preserve"> Loans being prepaid and (II) in the case of clause (y), a payment equal to 1% of the aggregate principal amount of the applicable Term B-</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000000"/>
        </w:rPr>
        <w:t xml:space="preserve"> Loans outstanding immediately prior to such amendment.</w:t>
      </w:r>
    </w:p>
    <w:p>
      <w:pPr>
        <w:spacing w:after="0" w:line="169" w:lineRule="exact"/>
        <w:rPr>
          <w:sz w:val="20"/>
          <w:szCs w:val="20"/>
          <w:color w:val="auto"/>
        </w:rPr>
      </w:pPr>
    </w:p>
    <w:p>
      <w:pPr>
        <w:ind w:left="640" w:firstLine="940"/>
        <w:spacing w:after="0" w:line="312" w:lineRule="auto"/>
        <w:tabs>
          <w:tab w:leader="none" w:pos="1971" w:val="left"/>
        </w:tabs>
        <w:numPr>
          <w:ilvl w:val="0"/>
          <w:numId w:val="66"/>
        </w:numPr>
        <w:rPr>
          <w:rFonts w:ascii="Arial" w:cs="Arial" w:eastAsia="Arial" w:hAnsi="Arial"/>
          <w:sz w:val="20"/>
          <w:szCs w:val="20"/>
          <w:color w:val="auto"/>
        </w:rPr>
      </w:pPr>
      <w:r>
        <w:rPr>
          <w:rFonts w:ascii="Arial" w:cs="Arial" w:eastAsia="Arial" w:hAnsi="Arial"/>
          <w:sz w:val="20"/>
          <w:szCs w:val="20"/>
          <w:color w:val="auto"/>
        </w:rPr>
        <w:t>Notwithstanding anything in any Loan Document to the contrary, so long as no Default or Event of Default has occurred and is continuing, the Borrower may prepay the outstanding Term Loans on the following basis:</w:t>
      </w:r>
    </w:p>
    <w:p>
      <w:pPr>
        <w:spacing w:after="0" w:line="123" w:lineRule="exact"/>
        <w:rPr>
          <w:rFonts w:ascii="Arial" w:cs="Arial" w:eastAsia="Arial" w:hAnsi="Arial"/>
          <w:sz w:val="20"/>
          <w:szCs w:val="20"/>
          <w:color w:val="auto"/>
        </w:rPr>
      </w:pPr>
    </w:p>
    <w:p>
      <w:pPr>
        <w:jc w:val="both"/>
        <w:ind w:left="1340" w:firstLine="1001"/>
        <w:spacing w:after="0" w:line="279" w:lineRule="auto"/>
        <w:tabs>
          <w:tab w:leader="none" w:pos="2817"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Borrower shall have the right to make a voluntary prepayment of Term Loans at a discount to par (such prepayment, the “</w:t>
      </w:r>
      <w:r>
        <w:rPr>
          <w:rFonts w:ascii="Arial" w:cs="Arial" w:eastAsia="Arial" w:hAnsi="Arial"/>
          <w:sz w:val="19"/>
          <w:szCs w:val="19"/>
          <w:b w:val="1"/>
          <w:bCs w:val="1"/>
          <w:color w:val="auto"/>
        </w:rPr>
        <w:t>Discounted Term Loan Prepayment</w:t>
      </w:r>
      <w:r>
        <w:rPr>
          <w:rFonts w:ascii="Arial" w:cs="Arial" w:eastAsia="Arial" w:hAnsi="Arial"/>
          <w:sz w:val="19"/>
          <w:szCs w:val="19"/>
          <w:color w:val="auto"/>
        </w:rPr>
        <w:t xml:space="preserve">”) pursuant to a Borrower Offer of Specified Discount Prepayment, Borrower Solicitation of Discount Range Prepayment Offers or Borrower Solicitation of Discounted Prepayment Offers, in each case made in accordance with this Section 2.09(a)(ii);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the Borrower shall not make any Borrowing of Revolving Loans or borrowing of loans under any Incremental Revolving Facility to fund any Discounted Term Loan Prepayment and (y) the Borrower shall not initiate any action under this Section 2.09(a)(ii) in order to make a Discounted Term Loan Prepayment unless (I) at least ten (10) Business Days shall have passed since the consummation of the most recent Discounted Term Loan Prepayment as a result of a prepayment made by the Borrower on the applicable Discounted Prepayment Effective Date; or (II) at least three (3) Business Days shall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w:t>
      </w:r>
    </w:p>
    <w:p>
      <w:pPr>
        <w:spacing w:after="0" w:line="162" w:lineRule="exact"/>
        <w:rPr>
          <w:rFonts w:ascii="Arial" w:cs="Arial" w:eastAsia="Arial" w:hAnsi="Arial"/>
          <w:sz w:val="19"/>
          <w:szCs w:val="19"/>
          <w:color w:val="auto"/>
        </w:rPr>
      </w:pPr>
    </w:p>
    <w:p>
      <w:pPr>
        <w:jc w:val="both"/>
        <w:ind w:left="1340" w:firstLine="1001"/>
        <w:spacing w:after="0" w:line="278" w:lineRule="auto"/>
        <w:tabs>
          <w:tab w:leader="none" w:pos="2884"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Subject to the proviso to subsection (A) above, the Borrower may from time to time offer to make a Discounted Term Loan Prepayment by providing the Auction Agent with four (4) Business Days’ notice in the form of a Specified Discount Prepayment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such offer shall be made available, at the sole discretion of the Borrower, to each Term Lender and/or each Lender with respect to any Class of Term Loans on an individual tranche basis, (II) any such offer shall specify the aggregate principal amount offered to be prepaid (the “</w:t>
      </w:r>
      <w:r>
        <w:rPr>
          <w:rFonts w:ascii="Arial" w:cs="Arial" w:eastAsia="Arial" w:hAnsi="Arial"/>
          <w:sz w:val="19"/>
          <w:szCs w:val="19"/>
          <w:b w:val="1"/>
          <w:bCs w:val="1"/>
          <w:color w:val="auto"/>
        </w:rPr>
        <w:t>Specified</w:t>
      </w:r>
      <w:r>
        <w:rPr>
          <w:rFonts w:ascii="Arial" w:cs="Arial" w:eastAsia="Arial" w:hAnsi="Arial"/>
          <w:sz w:val="19"/>
          <w:szCs w:val="19"/>
          <w:color w:val="auto"/>
        </w:rPr>
        <w:t xml:space="preserve"> </w:t>
      </w:r>
      <w:r>
        <w:rPr>
          <w:rFonts w:ascii="Arial" w:cs="Arial" w:eastAsia="Arial" w:hAnsi="Arial"/>
          <w:sz w:val="19"/>
          <w:szCs w:val="19"/>
          <w:b w:val="1"/>
          <w:bCs w:val="1"/>
          <w:color w:val="auto"/>
        </w:rPr>
        <w:t>Discount Prepayment Amount</w:t>
      </w:r>
      <w:r>
        <w:rPr>
          <w:rFonts w:ascii="Arial" w:cs="Arial" w:eastAsia="Arial" w:hAnsi="Arial"/>
          <w:sz w:val="19"/>
          <w:szCs w:val="19"/>
          <w:color w:val="auto"/>
        </w:rPr>
        <w:t>”) with respect to each applicable tranche, the tranche or tranches of Term Loans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such offer and the specific percentage discount to par (the “</w:t>
      </w:r>
      <w:r>
        <w:rPr>
          <w:rFonts w:ascii="Arial" w:cs="Arial" w:eastAsia="Arial" w:hAnsi="Arial"/>
          <w:sz w:val="19"/>
          <w:szCs w:val="19"/>
          <w:b w:val="1"/>
          <w:bCs w:val="1"/>
          <w:color w:val="auto"/>
        </w:rPr>
        <w:t>Specified Discount</w:t>
      </w:r>
      <w:r>
        <w:rPr>
          <w:rFonts w:ascii="Arial" w:cs="Arial" w:eastAsia="Arial" w:hAnsi="Arial"/>
          <w:sz w:val="19"/>
          <w:szCs w:val="19"/>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time, on the third Business Day after the date of delivery of such notice to the relevant Term Lenders (the “</w:t>
      </w:r>
      <w:r>
        <w:rPr>
          <w:rFonts w:ascii="Arial" w:cs="Arial" w:eastAsia="Arial" w:hAnsi="Arial"/>
          <w:sz w:val="19"/>
          <w:szCs w:val="19"/>
          <w:b w:val="1"/>
          <w:bCs w:val="1"/>
          <w:color w:val="auto"/>
        </w:rPr>
        <w:t>Specified Discount Prepayment Response Date</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2020" w:firstLine="1122"/>
        <w:spacing w:after="0" w:line="331" w:lineRule="auto"/>
        <w:tabs>
          <w:tab w:leader="none" w:pos="3726" w:val="left"/>
        </w:tabs>
        <w:numPr>
          <w:ilvl w:val="2"/>
          <w:numId w:val="66"/>
        </w:numPr>
        <w:rPr>
          <w:rFonts w:ascii="Arial" w:cs="Arial" w:eastAsia="Arial" w:hAnsi="Arial"/>
          <w:sz w:val="18"/>
          <w:szCs w:val="18"/>
          <w:color w:val="auto"/>
        </w:rPr>
      </w:pPr>
      <w:r>
        <w:rPr>
          <w:rFonts w:ascii="Arial" w:cs="Arial" w:eastAsia="Arial" w:hAnsi="Arial"/>
          <w:sz w:val="18"/>
          <w:szCs w:val="18"/>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w:t>
      </w:r>
    </w:p>
    <w:p>
      <w:pPr>
        <w:sectPr>
          <w:pgSz w:w="11900" w:h="16838" w:orient="portrait"/>
          <w:cols w:equalWidth="0" w:num="1">
            <w:col w:w="11420"/>
          </w:cols>
          <w:pgMar w:left="240" w:top="210" w:right="239" w:bottom="0" w:gutter="0" w:footer="0" w:header="0"/>
        </w:sectPr>
      </w:pPr>
    </w:p>
    <w:bookmarkStart w:id="130" w:name="page131"/>
    <w:bookmarkEnd w:id="130"/>
    <w:p>
      <w:pPr>
        <w:jc w:val="both"/>
        <w:ind w:left="820"/>
        <w:spacing w:after="0" w:line="254" w:lineRule="auto"/>
        <w:rPr>
          <w:sz w:val="20"/>
          <w:szCs w:val="20"/>
          <w:color w:val="auto"/>
        </w:rPr>
      </w:pPr>
      <w:r>
        <w:rPr>
          <w:rFonts w:ascii="Arial" w:cs="Arial" w:eastAsia="Arial" w:hAnsi="Arial"/>
          <w:sz w:val="21"/>
          <w:szCs w:val="21"/>
          <w:color w:val="auto"/>
        </w:rPr>
        <w:t>Lender, a “</w:t>
      </w:r>
      <w:r>
        <w:rPr>
          <w:rFonts w:ascii="Arial" w:cs="Arial" w:eastAsia="Arial" w:hAnsi="Arial"/>
          <w:sz w:val="21"/>
          <w:szCs w:val="21"/>
          <w:b w:val="1"/>
          <w:bCs w:val="1"/>
          <w:color w:val="auto"/>
        </w:rPr>
        <w:t>Discount Prepayment Accepting Lender</w:t>
      </w:r>
      <w:r>
        <w:rPr>
          <w:rFonts w:ascii="Arial" w:cs="Arial" w:eastAsia="Arial" w:hAnsi="Arial"/>
          <w:sz w:val="21"/>
          <w:szCs w:val="21"/>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179" w:lineRule="exact"/>
        <w:rPr>
          <w:sz w:val="20"/>
          <w:szCs w:val="20"/>
          <w:color w:val="auto"/>
        </w:rPr>
      </w:pPr>
    </w:p>
    <w:p>
      <w:pPr>
        <w:jc w:val="both"/>
        <w:ind w:left="820" w:firstLine="1122"/>
        <w:spacing w:after="0" w:line="276" w:lineRule="auto"/>
        <w:tabs>
          <w:tab w:leader="none" w:pos="2487" w:val="left"/>
        </w:tabs>
        <w:numPr>
          <w:ilvl w:val="2"/>
          <w:numId w:val="67"/>
        </w:numPr>
        <w:rPr>
          <w:rFonts w:ascii="Arial" w:cs="Arial" w:eastAsia="Arial" w:hAnsi="Arial"/>
          <w:sz w:val="19"/>
          <w:szCs w:val="19"/>
          <w:color w:val="auto"/>
        </w:rPr>
      </w:pPr>
      <w:r>
        <w:rPr>
          <w:rFonts w:ascii="Arial" w:cs="Arial" w:eastAsia="Arial" w:hAnsi="Arial"/>
          <w:sz w:val="19"/>
          <w:szCs w:val="19"/>
          <w:color w:val="auto"/>
        </w:rPr>
        <w:t xml:space="preserve">If there is at least one Discount Prepayment Accepting Lender, the Borrower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w:t>
      </w:r>
      <w:r>
        <w:rPr>
          <w:rFonts w:ascii="Arial" w:cs="Arial" w:eastAsia="Arial" w:hAnsi="Arial"/>
          <w:sz w:val="19"/>
          <w:szCs w:val="19"/>
          <w:b w:val="1"/>
          <w:bCs w:val="1"/>
          <w:color w:val="auto"/>
        </w:rPr>
        <w:t>Specified Discount Proration</w:t>
      </w:r>
      <w:r>
        <w:rPr>
          <w:rFonts w:ascii="Arial" w:cs="Arial" w:eastAsia="Arial" w:hAnsi="Arial"/>
          <w:sz w:val="19"/>
          <w:szCs w:val="19"/>
          <w:color w:val="auto"/>
        </w:rPr>
        <w:t>”). The Auction Agent shall promptly, and in any case within three (3) Business Days following the Specified Discount Prepayment Response Date, notify (I) the Borrower of the respective Term Lenders’ responses to such offer, the Discounted Prepayment Effective Date and the aggregate principal amount of the Discounted Term Loan Prepayment and the tranches to be prepaid,</w:t>
      </w:r>
    </w:p>
    <w:p>
      <w:pPr>
        <w:spacing w:after="0" w:line="6" w:lineRule="exact"/>
        <w:rPr>
          <w:rFonts w:ascii="Arial" w:cs="Arial" w:eastAsia="Arial" w:hAnsi="Arial"/>
          <w:sz w:val="19"/>
          <w:szCs w:val="19"/>
          <w:color w:val="auto"/>
        </w:rPr>
      </w:pPr>
    </w:p>
    <w:p>
      <w:pPr>
        <w:jc w:val="both"/>
        <w:ind w:left="820" w:hanging="7"/>
        <w:spacing w:after="0" w:line="278" w:lineRule="auto"/>
        <w:tabs>
          <w:tab w:leader="none" w:pos="1170"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162" w:lineRule="exact"/>
        <w:rPr>
          <w:rFonts w:ascii="Arial" w:cs="Arial" w:eastAsia="Arial" w:hAnsi="Arial"/>
          <w:sz w:val="19"/>
          <w:szCs w:val="19"/>
          <w:color w:val="auto"/>
        </w:rPr>
      </w:pPr>
    </w:p>
    <w:p>
      <w:pPr>
        <w:jc w:val="both"/>
        <w:ind w:left="140" w:firstLine="1001"/>
        <w:spacing w:after="0" w:line="276" w:lineRule="auto"/>
        <w:tabs>
          <w:tab w:leader="none" w:pos="1684"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Subject to the proviso to subsection (A) above, the Borrower may from time to time solicit Discount Range Prepayment Offers by providing the Auction Agent with three (3) Business Days’ notice in the form of a Discount Range Prepayment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such solicitation shall be extended, at the sole discretion of the Borrower,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9"/>
          <w:szCs w:val="19"/>
          <w:b w:val="1"/>
          <w:bCs w:val="1"/>
          <w:color w:val="auto"/>
        </w:rPr>
        <w:t>Discount Range Prepayment Amount</w:t>
      </w:r>
      <w:r>
        <w:rPr>
          <w:rFonts w:ascii="Arial" w:cs="Arial" w:eastAsia="Arial" w:hAnsi="Arial"/>
          <w:sz w:val="19"/>
          <w:szCs w:val="19"/>
          <w:color w:val="auto"/>
        </w:rPr>
        <w:t>”), the tranche or tranches of Term Loans subject to such offer and the maximum and minimum percentage discounts to par (the “</w:t>
      </w:r>
      <w:r>
        <w:rPr>
          <w:rFonts w:ascii="Arial" w:cs="Arial" w:eastAsia="Arial" w:hAnsi="Arial"/>
          <w:sz w:val="19"/>
          <w:szCs w:val="19"/>
          <w:b w:val="1"/>
          <w:bCs w:val="1"/>
          <w:color w:val="auto"/>
        </w:rPr>
        <w:t>Discount Range</w:t>
      </w:r>
      <w:r>
        <w:rPr>
          <w:rFonts w:ascii="Arial" w:cs="Arial" w:eastAsia="Arial" w:hAnsi="Arial"/>
          <w:sz w:val="19"/>
          <w:szCs w:val="19"/>
          <w:color w:val="auto"/>
        </w:rPr>
        <w:t>”) of the principal amount of such Term Loans with respect to each relevant tranche of Term Loans willing to be prepaid by the Borrower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the Borrower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time, on the third Business Day after the date of delivery of such notice to the relevant Term Lenders (the “</w:t>
      </w:r>
      <w:r>
        <w:rPr>
          <w:rFonts w:ascii="Arial" w:cs="Arial" w:eastAsia="Arial" w:hAnsi="Arial"/>
          <w:sz w:val="19"/>
          <w:szCs w:val="19"/>
          <w:b w:val="1"/>
          <w:bCs w:val="1"/>
          <w:color w:val="auto"/>
        </w:rPr>
        <w:t>Discount Range Prepayment Response Date</w:t>
      </w:r>
      <w:r>
        <w:rPr>
          <w:rFonts w:ascii="Arial" w:cs="Arial" w:eastAsia="Arial" w:hAnsi="Arial"/>
          <w:sz w:val="19"/>
          <w:szCs w:val="19"/>
          <w:color w:val="auto"/>
        </w:rPr>
        <w:t>”). Each relevant Term Lender’s Discount Range Prepayment Offer shall be irrevocable and shall specify a discount to par within the Discount Range (the “</w:t>
      </w:r>
      <w:r>
        <w:rPr>
          <w:rFonts w:ascii="Arial" w:cs="Arial" w:eastAsia="Arial" w:hAnsi="Arial"/>
          <w:sz w:val="19"/>
          <w:szCs w:val="19"/>
          <w:b w:val="1"/>
          <w:bCs w:val="1"/>
          <w:color w:val="auto"/>
        </w:rPr>
        <w:t>Submitted</w:t>
      </w:r>
      <w:r>
        <w:rPr>
          <w:rFonts w:ascii="Arial" w:cs="Arial" w:eastAsia="Arial" w:hAnsi="Arial"/>
          <w:sz w:val="19"/>
          <w:szCs w:val="19"/>
          <w:color w:val="auto"/>
        </w:rPr>
        <w:t xml:space="preserve"> </w:t>
      </w:r>
      <w:r>
        <w:rPr>
          <w:rFonts w:ascii="Arial" w:cs="Arial" w:eastAsia="Arial" w:hAnsi="Arial"/>
          <w:sz w:val="19"/>
          <w:szCs w:val="19"/>
          <w:b w:val="1"/>
          <w:bCs w:val="1"/>
          <w:color w:val="auto"/>
        </w:rPr>
        <w:t>Discount</w:t>
      </w:r>
      <w:r>
        <w:rPr>
          <w:rFonts w:ascii="Arial" w:cs="Arial" w:eastAsia="Arial" w:hAnsi="Arial"/>
          <w:sz w:val="19"/>
          <w:szCs w:val="19"/>
          <w:color w:val="auto"/>
        </w:rPr>
        <w:t>”) at which such Term Lender is willing to allow prepayment of any or all of its then outstanding Term Loans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applicable tranche or tranches and the maximum aggregate principal amount and tranches of such Lender’s Term Loans (the “</w:t>
      </w:r>
      <w:r>
        <w:rPr>
          <w:rFonts w:ascii="Arial" w:cs="Arial" w:eastAsia="Arial" w:hAnsi="Arial"/>
          <w:sz w:val="19"/>
          <w:szCs w:val="19"/>
          <w:b w:val="1"/>
          <w:bCs w:val="1"/>
          <w:color w:val="auto"/>
        </w:rPr>
        <w:t>Submitted Amount</w:t>
      </w:r>
      <w:r>
        <w:rPr>
          <w:rFonts w:ascii="Arial" w:cs="Arial" w:eastAsia="Arial" w:hAnsi="Arial"/>
          <w:sz w:val="19"/>
          <w:szCs w:val="19"/>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177" w:lineRule="exact"/>
        <w:rPr>
          <w:rFonts w:ascii="Arial" w:cs="Arial" w:eastAsia="Arial" w:hAnsi="Arial"/>
          <w:sz w:val="19"/>
          <w:szCs w:val="19"/>
          <w:color w:val="auto"/>
        </w:rPr>
      </w:pPr>
    </w:p>
    <w:p>
      <w:pPr>
        <w:jc w:val="both"/>
        <w:ind w:left="820" w:firstLine="1122"/>
        <w:spacing w:after="0" w:line="280" w:lineRule="auto"/>
        <w:tabs>
          <w:tab w:leader="none" w:pos="2368" w:val="left"/>
        </w:tabs>
        <w:numPr>
          <w:ilvl w:val="2"/>
          <w:numId w:val="68"/>
        </w:numPr>
        <w:rPr>
          <w:rFonts w:ascii="Arial" w:cs="Arial" w:eastAsia="Arial" w:hAnsi="Arial"/>
          <w:sz w:val="19"/>
          <w:szCs w:val="19"/>
          <w:color w:val="auto"/>
        </w:rPr>
      </w:pPr>
      <w:r>
        <w:rPr>
          <w:rFonts w:ascii="Arial" w:cs="Arial" w:eastAsia="Arial" w:hAnsi="Arial"/>
          <w:sz w:val="19"/>
          <w:szCs w:val="19"/>
          <w:color w:val="auto"/>
        </w:rPr>
        <w:t>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Term Loans to be prepaid at such Applicable Discount in accordance with this subsection (C). The Borrower agrees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9"/>
          <w:szCs w:val="19"/>
          <w:b w:val="1"/>
          <w:bCs w:val="1"/>
          <w:color w:val="auto"/>
        </w:rPr>
        <w:t>Applicable Discount</w:t>
      </w:r>
      <w:r>
        <w:rPr>
          <w:rFonts w:ascii="Arial" w:cs="Arial" w:eastAsia="Arial" w:hAnsi="Arial"/>
          <w:sz w:val="19"/>
          <w:szCs w:val="19"/>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w:t>
      </w:r>
    </w:p>
    <w:p>
      <w:pPr>
        <w:sectPr>
          <w:pgSz w:w="11900" w:h="16838" w:orient="portrait"/>
          <w:cols w:equalWidth="0" w:num="1">
            <w:col w:w="10220"/>
          </w:cols>
          <w:pgMar w:left="1440" w:top="125" w:right="239" w:bottom="0" w:gutter="0" w:footer="0" w:header="0"/>
        </w:sectPr>
      </w:pPr>
    </w:p>
    <w:bookmarkStart w:id="131" w:name="page132"/>
    <w:bookmarkEnd w:id="131"/>
    <w:p>
      <w:pPr>
        <w:jc w:val="both"/>
        <w:ind w:left="820"/>
        <w:spacing w:after="0" w:line="256" w:lineRule="auto"/>
        <w:rPr>
          <w:sz w:val="20"/>
          <w:szCs w:val="20"/>
          <w:color w:val="auto"/>
        </w:rPr>
      </w:pPr>
      <w:r>
        <w:rPr>
          <w:rFonts w:ascii="Arial" w:cs="Arial" w:eastAsia="Arial" w:hAnsi="Arial"/>
          <w:sz w:val="21"/>
          <w:szCs w:val="21"/>
          <w:color w:val="auto"/>
        </w:rPr>
        <w:t>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cs="Arial" w:eastAsia="Arial" w:hAnsi="Arial"/>
          <w:sz w:val="21"/>
          <w:szCs w:val="21"/>
          <w:b w:val="1"/>
          <w:bCs w:val="1"/>
          <w:color w:val="auto"/>
        </w:rPr>
        <w:t>Participating Lender</w:t>
      </w:r>
      <w:r>
        <w:rPr>
          <w:rFonts w:ascii="Arial" w:cs="Arial" w:eastAsia="Arial" w:hAnsi="Arial"/>
          <w:sz w:val="21"/>
          <w:szCs w:val="21"/>
          <w:color w:val="auto"/>
        </w:rPr>
        <w:t>”).</w:t>
      </w:r>
    </w:p>
    <w:p>
      <w:pPr>
        <w:spacing w:after="0" w:line="177" w:lineRule="exact"/>
        <w:rPr>
          <w:sz w:val="20"/>
          <w:szCs w:val="20"/>
          <w:color w:val="auto"/>
        </w:rPr>
      </w:pPr>
    </w:p>
    <w:p>
      <w:pPr>
        <w:jc w:val="both"/>
        <w:ind w:left="820" w:firstLine="1122"/>
        <w:spacing w:after="0" w:line="276" w:lineRule="auto"/>
        <w:tabs>
          <w:tab w:leader="none" w:pos="2565" w:val="left"/>
        </w:tabs>
        <w:numPr>
          <w:ilvl w:val="2"/>
          <w:numId w:val="69"/>
        </w:numPr>
        <w:rPr>
          <w:rFonts w:ascii="Arial" w:cs="Arial" w:eastAsia="Arial" w:hAnsi="Arial"/>
          <w:sz w:val="19"/>
          <w:szCs w:val="19"/>
          <w:color w:val="auto"/>
        </w:rPr>
      </w:pPr>
      <w:r>
        <w:rPr>
          <w:rFonts w:ascii="Arial" w:cs="Arial" w:eastAsia="Arial" w:hAnsi="Arial"/>
          <w:sz w:val="19"/>
          <w:szCs w:val="19"/>
          <w:color w:val="auto"/>
        </w:rPr>
        <w:t xml:space="preserve">If there is at least one Participating Lender, the Borrower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Submitted Amount by all Participating Lenders offered at a discount to par greater than the Applicable Discount exceeds the Discounted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9"/>
          <w:szCs w:val="19"/>
          <w:b w:val="1"/>
          <w:bCs w:val="1"/>
          <w:color w:val="auto"/>
        </w:rPr>
        <w:t>Identified Participating Lenders</w:t>
      </w:r>
      <w:r>
        <w:rPr>
          <w:rFonts w:ascii="Arial" w:cs="Arial" w:eastAsia="Arial" w:hAnsi="Arial"/>
          <w:sz w:val="19"/>
          <w:szCs w:val="19"/>
          <w:color w:val="auto"/>
        </w:rPr>
        <w:t>”) shall be made pro-rata among the Identified Participating Lenders in accordance with the Submitted Amount of each such Identified Participating Lender and the Auction Agent (in consultation with the Borrower and subject to rounding requirements of the Auction Agent made in its sole reasonable discretion) will calculate such proration (the “</w:t>
      </w:r>
      <w:r>
        <w:rPr>
          <w:rFonts w:ascii="Arial" w:cs="Arial" w:eastAsia="Arial" w:hAnsi="Arial"/>
          <w:sz w:val="19"/>
          <w:szCs w:val="19"/>
          <w:b w:val="1"/>
          <w:bCs w:val="1"/>
          <w:color w:val="auto"/>
        </w:rPr>
        <w:t>Discount Range Proration</w:t>
      </w:r>
      <w:r>
        <w:rPr>
          <w:rFonts w:ascii="Arial" w:cs="Arial" w:eastAsia="Arial" w:hAnsi="Arial"/>
          <w:sz w:val="19"/>
          <w:szCs w:val="19"/>
          <w:color w:val="auto"/>
        </w:rPr>
        <w:t>”). The Auction Agent shall promptly, and in any case within five (5) Business Days following the Discount Range Prepayment Response Date, notify (I) the Borrower of the respective Term Lenders’ responses to such solicitation, the Discounted Prepayment Effective Date, the Applicable Discount, and the aggregate principal amount of the Discounted Term Loan Prepayment and the tranches to be prepaid,</w:t>
      </w:r>
    </w:p>
    <w:p>
      <w:pPr>
        <w:spacing w:after="0" w:line="4" w:lineRule="exact"/>
        <w:rPr>
          <w:rFonts w:ascii="Arial" w:cs="Arial" w:eastAsia="Arial" w:hAnsi="Arial"/>
          <w:sz w:val="19"/>
          <w:szCs w:val="19"/>
          <w:color w:val="auto"/>
        </w:rPr>
      </w:pPr>
    </w:p>
    <w:p>
      <w:pPr>
        <w:jc w:val="both"/>
        <w:ind w:left="820" w:hanging="7"/>
        <w:spacing w:after="0" w:line="273" w:lineRule="auto"/>
        <w:tabs>
          <w:tab w:leader="none" w:pos="1210" w:val="left"/>
        </w:tabs>
        <w:numPr>
          <w:ilvl w:val="0"/>
          <w:numId w:val="70"/>
        </w:numPr>
        <w:rPr>
          <w:rFonts w:ascii="Arial" w:cs="Arial" w:eastAsia="Arial" w:hAnsi="Arial"/>
          <w:sz w:val="19"/>
          <w:szCs w:val="19"/>
          <w:color w:val="auto"/>
        </w:rPr>
      </w:pPr>
      <w:r>
        <w:rPr>
          <w:rFonts w:ascii="Arial" w:cs="Arial" w:eastAsia="Arial" w:hAnsi="Arial"/>
          <w:sz w:val="19"/>
          <w:szCs w:val="19"/>
          <w:color w:val="auto"/>
        </w:rPr>
        <w:t>each Term Lender of the Discounted Prepayment Effective Date, the Applicable Discount, and the aggregate principal amount and tranches of Term Loans to be prepaid at the Applicable Discount on such date,</w:t>
      </w:r>
    </w:p>
    <w:p>
      <w:pPr>
        <w:spacing w:after="0" w:line="1" w:lineRule="exact"/>
        <w:rPr>
          <w:rFonts w:ascii="Arial" w:cs="Arial" w:eastAsia="Arial" w:hAnsi="Arial"/>
          <w:sz w:val="19"/>
          <w:szCs w:val="19"/>
          <w:color w:val="auto"/>
        </w:rPr>
      </w:pPr>
    </w:p>
    <w:p>
      <w:pPr>
        <w:jc w:val="both"/>
        <w:ind w:left="820" w:hanging="7"/>
        <w:spacing w:after="0" w:line="249" w:lineRule="auto"/>
        <w:tabs>
          <w:tab w:leader="none" w:pos="1233" w:val="left"/>
        </w:tabs>
        <w:numPr>
          <w:ilvl w:val="0"/>
          <w:numId w:val="71"/>
        </w:numPr>
        <w:rPr>
          <w:rFonts w:ascii="Arial" w:cs="Arial" w:eastAsia="Arial" w:hAnsi="Arial"/>
          <w:sz w:val="21"/>
          <w:szCs w:val="21"/>
          <w:color w:val="auto"/>
        </w:rPr>
      </w:pPr>
      <w:r>
        <w:rPr>
          <w:rFonts w:ascii="Arial" w:cs="Arial" w:eastAsia="Arial" w:hAnsi="Arial"/>
          <w:sz w:val="21"/>
          <w:szCs w:val="21"/>
          <w:color w:val="auto"/>
        </w:rPr>
        <w:t>each Participating Lender of the aggregate principal amount and tranches of such Lender to be prepaid at the Applicable Discount on such date, and (IV) if applicable, each Identified Participating Lender of the Discount Range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such Borrower on the Discounted Prepayment Effective Date in accordance with subsection (F) below (subject to subsection (J) below).</w:t>
      </w:r>
    </w:p>
    <w:p>
      <w:pPr>
        <w:spacing w:after="0" w:line="184" w:lineRule="exact"/>
        <w:rPr>
          <w:rFonts w:ascii="Arial" w:cs="Arial" w:eastAsia="Arial" w:hAnsi="Arial"/>
          <w:sz w:val="21"/>
          <w:szCs w:val="21"/>
          <w:color w:val="auto"/>
        </w:rPr>
      </w:pPr>
    </w:p>
    <w:p>
      <w:pPr>
        <w:jc w:val="both"/>
        <w:ind w:left="140" w:firstLine="1001"/>
        <w:spacing w:after="0" w:line="277" w:lineRule="auto"/>
        <w:tabs>
          <w:tab w:leader="none" w:pos="1696"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Subject to the proviso to subsection (A) above, the Borrower may from time to time solicit Solicited Discounted Prepayment Offers by providing the Auction Agent with three (3) Business Days’ notice in the form of a Solicited Discounted Prepayment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such solicitation shall be extended, at the sole discretion of the Borrower, to each Term Lender and/or each Lender with respect to any Class of Term Loans on an individual tranche basis, (II) any such notice shall specify the maximum aggregate dollar amount of the Term Loans (the “</w:t>
      </w:r>
      <w:r>
        <w:rPr>
          <w:rFonts w:ascii="Arial" w:cs="Arial" w:eastAsia="Arial" w:hAnsi="Arial"/>
          <w:sz w:val="19"/>
          <w:szCs w:val="19"/>
          <w:b w:val="1"/>
          <w:bCs w:val="1"/>
          <w:color w:val="auto"/>
        </w:rPr>
        <w:t>Solicited Discounted Prepayment Amount</w:t>
      </w:r>
      <w:r>
        <w:rPr>
          <w:rFonts w:ascii="Arial" w:cs="Arial" w:eastAsia="Arial" w:hAnsi="Arial"/>
          <w:sz w:val="19"/>
          <w:szCs w:val="19"/>
          <w:color w:val="auto"/>
        </w:rPr>
        <w:t>”) and the tranche or tranches of Term Loans the Borrower is willing to prepay at a discount (it being understood that different Solicited Discount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the Borrower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time on the third Business Day after the date of delivery of such notice to the relevant Term Lenders (the “</w:t>
      </w:r>
      <w:r>
        <w:rPr>
          <w:rFonts w:ascii="Arial" w:cs="Arial" w:eastAsia="Arial" w:hAnsi="Arial"/>
          <w:sz w:val="19"/>
          <w:szCs w:val="19"/>
          <w:b w:val="1"/>
          <w:bCs w:val="1"/>
          <w:color w:val="auto"/>
        </w:rPr>
        <w:t>Solicited Discounted Prepayment Response Date</w:t>
      </w:r>
      <w:r>
        <w:rPr>
          <w:rFonts w:ascii="Arial" w:cs="Arial" w:eastAsia="Arial" w:hAnsi="Arial"/>
          <w:sz w:val="19"/>
          <w:szCs w:val="19"/>
          <w:color w:val="auto"/>
        </w:rPr>
        <w:t>”). Each Term Lender’s Solicited Discounted Prepayment Offer shall (x) be irrevocable, (y) remain outstanding until the Acceptance Date, and (z) specify both a discount to par (the “</w:t>
      </w:r>
      <w:r>
        <w:rPr>
          <w:rFonts w:ascii="Arial" w:cs="Arial" w:eastAsia="Arial" w:hAnsi="Arial"/>
          <w:sz w:val="19"/>
          <w:szCs w:val="19"/>
          <w:b w:val="1"/>
          <w:bCs w:val="1"/>
          <w:color w:val="auto"/>
        </w:rPr>
        <w:t>Offered Discount</w:t>
      </w:r>
      <w:r>
        <w:rPr>
          <w:rFonts w:ascii="Arial" w:cs="Arial" w:eastAsia="Arial" w:hAnsi="Arial"/>
          <w:sz w:val="19"/>
          <w:szCs w:val="19"/>
          <w:color w:val="auto"/>
        </w:rPr>
        <w:t>”) at which such Term Lender is willing to allow prepayment of its then outstanding Term Loan and the maximum aggregate principal amount and tranches of such Term Loans (the “</w:t>
      </w:r>
      <w:r>
        <w:rPr>
          <w:rFonts w:ascii="Arial" w:cs="Arial" w:eastAsia="Arial" w:hAnsi="Arial"/>
          <w:sz w:val="19"/>
          <w:szCs w:val="19"/>
          <w:b w:val="1"/>
          <w:bCs w:val="1"/>
          <w:color w:val="auto"/>
        </w:rPr>
        <w:t>Offered Amount</w:t>
      </w:r>
      <w:r>
        <w:rPr>
          <w:rFonts w:ascii="Arial" w:cs="Arial" w:eastAsia="Arial" w:hAnsi="Arial"/>
          <w:sz w:val="19"/>
          <w:szCs w:val="19"/>
          <w:color w:val="auto"/>
        </w:rPr>
        <w:t>”) such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64" w:lineRule="exact"/>
        <w:rPr>
          <w:rFonts w:ascii="Arial" w:cs="Arial" w:eastAsia="Arial" w:hAnsi="Arial"/>
          <w:sz w:val="19"/>
          <w:szCs w:val="19"/>
          <w:color w:val="auto"/>
        </w:rPr>
      </w:pPr>
    </w:p>
    <w:p>
      <w:pPr>
        <w:jc w:val="both"/>
        <w:ind w:left="820" w:firstLine="1122"/>
        <w:spacing w:after="0" w:line="280" w:lineRule="auto"/>
        <w:tabs>
          <w:tab w:leader="none" w:pos="2552" w:val="left"/>
        </w:tabs>
        <w:numPr>
          <w:ilvl w:val="2"/>
          <w:numId w:val="71"/>
        </w:numPr>
        <w:rPr>
          <w:rFonts w:ascii="Arial" w:cs="Arial" w:eastAsia="Arial" w:hAnsi="Arial"/>
          <w:sz w:val="19"/>
          <w:szCs w:val="19"/>
          <w:color w:val="auto"/>
        </w:rPr>
      </w:pPr>
      <w:r>
        <w:rPr>
          <w:rFonts w:ascii="Arial" w:cs="Arial" w:eastAsia="Arial" w:hAnsi="Arial"/>
          <w:sz w:val="19"/>
          <w:szCs w:val="19"/>
          <w:color w:val="auto"/>
        </w:rPr>
        <w:t>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Term Lenders in the Solicited Discounted Prepayment Offers that is acceptable to the Borrower (the “</w:t>
      </w:r>
      <w:r>
        <w:rPr>
          <w:rFonts w:ascii="Arial" w:cs="Arial" w:eastAsia="Arial" w:hAnsi="Arial"/>
          <w:sz w:val="19"/>
          <w:szCs w:val="19"/>
          <w:b w:val="1"/>
          <w:bCs w:val="1"/>
          <w:color w:val="auto"/>
        </w:rPr>
        <w:t>Acceptable Discount</w:t>
      </w:r>
      <w:r>
        <w:rPr>
          <w:rFonts w:ascii="Arial" w:cs="Arial" w:eastAsia="Arial" w:hAnsi="Arial"/>
          <w:sz w:val="19"/>
          <w:szCs w:val="19"/>
          <w:color w:val="auto"/>
        </w:rPr>
        <w:t>”), if any. If the Borrower elects to accept any Offered Discount as the Acceptable Discount, then as soon as practicable after the determination of the Acceptable Discount, but in no event later than the third Business Day after the date of receipt by the Borrower from the Auction Agent of a copy of all Solicited Discounted Prepayment Offers pursuant to the first sentence of this subsection (2) (the “</w:t>
      </w:r>
      <w:r>
        <w:rPr>
          <w:rFonts w:ascii="Arial" w:cs="Arial" w:eastAsia="Arial" w:hAnsi="Arial"/>
          <w:sz w:val="19"/>
          <w:szCs w:val="19"/>
          <w:b w:val="1"/>
          <w:bCs w:val="1"/>
          <w:color w:val="auto"/>
        </w:rPr>
        <w:t>Acceptance Date</w:t>
      </w:r>
      <w:r>
        <w:rPr>
          <w:rFonts w:ascii="Arial" w:cs="Arial" w:eastAsia="Arial" w:hAnsi="Arial"/>
          <w:sz w:val="19"/>
          <w:szCs w:val="19"/>
          <w:color w:val="auto"/>
        </w:rPr>
        <w:t>”), the Borrower shall submit an Acceptance and Prepayment Notice to the Auction Agent setting forth the Acceptable Discount. If the Auction Agent shall fail to receive an Acceptance and Prepayment Notice from the Borrower by the Acceptance Date, the Borrower shall be deemed to have rejected all Solicited Discounted Prepayment Offers.</w:t>
      </w:r>
    </w:p>
    <w:p>
      <w:pPr>
        <w:spacing w:after="0" w:line="156" w:lineRule="exact"/>
        <w:rPr>
          <w:rFonts w:ascii="Arial" w:cs="Arial" w:eastAsia="Arial" w:hAnsi="Arial"/>
          <w:sz w:val="19"/>
          <w:szCs w:val="19"/>
          <w:color w:val="auto"/>
        </w:rPr>
      </w:pPr>
    </w:p>
    <w:p>
      <w:pPr>
        <w:jc w:val="both"/>
        <w:ind w:left="820" w:firstLine="1122"/>
        <w:spacing w:after="0" w:line="312" w:lineRule="auto"/>
        <w:tabs>
          <w:tab w:leader="none" w:pos="2552" w:val="left"/>
        </w:tabs>
        <w:numPr>
          <w:ilvl w:val="2"/>
          <w:numId w:val="71"/>
        </w:numPr>
        <w:rPr>
          <w:rFonts w:ascii="Arial" w:cs="Arial" w:eastAsia="Arial" w:hAnsi="Arial"/>
          <w:sz w:val="20"/>
          <w:szCs w:val="20"/>
          <w:color w:val="auto"/>
        </w:rPr>
      </w:pPr>
      <w:r>
        <w:rPr>
          <w:rFonts w:ascii="Arial" w:cs="Arial" w:eastAsia="Arial" w:hAnsi="Arial"/>
          <w:sz w:val="20"/>
          <w:szCs w:val="20"/>
          <w:color w:val="auto"/>
        </w:rPr>
        <w:t>Based upon the Acceptable Discount and the Solicited Discounted Prepayment Offers received by the Auction Agent by the Solicited Discounted Prepayment Response Date, within three (3)</w:t>
      </w:r>
    </w:p>
    <w:p>
      <w:pPr>
        <w:sectPr>
          <w:pgSz w:w="11900" w:h="16838" w:orient="portrait"/>
          <w:cols w:equalWidth="0" w:num="1">
            <w:col w:w="10220"/>
          </w:cols>
          <w:pgMar w:left="1440" w:top="131" w:right="239" w:bottom="0" w:gutter="0" w:footer="0" w:header="0"/>
        </w:sectPr>
      </w:pPr>
    </w:p>
    <w:bookmarkStart w:id="132" w:name="page133"/>
    <w:bookmarkEnd w:id="132"/>
    <w:p>
      <w:pPr>
        <w:jc w:val="both"/>
        <w:ind w:left="820"/>
        <w:spacing w:after="0" w:line="274" w:lineRule="auto"/>
        <w:rPr>
          <w:sz w:val="20"/>
          <w:szCs w:val="20"/>
          <w:color w:val="auto"/>
        </w:rPr>
      </w:pPr>
      <w:r>
        <w:rPr>
          <w:rFonts w:ascii="Arial" w:cs="Arial" w:eastAsia="Arial" w:hAnsi="Arial"/>
          <w:sz w:val="19"/>
          <w:szCs w:val="19"/>
          <w:color w:val="auto"/>
        </w:rPr>
        <w:t>Business Days after receipt of an Acceptance and Prepayment Notice (the “</w:t>
      </w:r>
      <w:r>
        <w:rPr>
          <w:rFonts w:ascii="Arial" w:cs="Arial" w:eastAsia="Arial" w:hAnsi="Arial"/>
          <w:sz w:val="19"/>
          <w:szCs w:val="19"/>
          <w:b w:val="1"/>
          <w:bCs w:val="1"/>
          <w:color w:val="auto"/>
        </w:rPr>
        <w:t>Discounted Prepayment</w:t>
      </w:r>
      <w:r>
        <w:rPr>
          <w:rFonts w:ascii="Arial" w:cs="Arial" w:eastAsia="Arial" w:hAnsi="Arial"/>
          <w:sz w:val="19"/>
          <w:szCs w:val="19"/>
          <w:color w:val="auto"/>
        </w:rPr>
        <w:t xml:space="preserve"> </w:t>
      </w:r>
      <w:r>
        <w:rPr>
          <w:rFonts w:ascii="Arial" w:cs="Arial" w:eastAsia="Arial" w:hAnsi="Arial"/>
          <w:sz w:val="19"/>
          <w:szCs w:val="19"/>
          <w:b w:val="1"/>
          <w:bCs w:val="1"/>
          <w:color w:val="auto"/>
        </w:rPr>
        <w:t>Determination Date</w:t>
      </w:r>
      <w:r>
        <w:rPr>
          <w:rFonts w:ascii="Arial" w:cs="Arial" w:eastAsia="Arial" w:hAnsi="Arial"/>
          <w:sz w:val="19"/>
          <w:szCs w:val="19"/>
          <w:color w:val="auto"/>
        </w:rPr>
        <w:t>”), the Auction Agent will determine (in consultation with the Borrower and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rounding requirements of the Auction Agent made in its sole reasonable discretion) the aggregate principal amount and the tranches of Term Loans (the “</w:t>
      </w:r>
      <w:r>
        <w:rPr>
          <w:rFonts w:ascii="Arial" w:cs="Arial" w:eastAsia="Arial" w:hAnsi="Arial"/>
          <w:sz w:val="19"/>
          <w:szCs w:val="19"/>
          <w:b w:val="1"/>
          <w:bCs w:val="1"/>
          <w:color w:val="auto"/>
        </w:rPr>
        <w:t>Acceptable Prepayment Amount</w:t>
      </w:r>
      <w:r>
        <w:rPr>
          <w:rFonts w:ascii="Arial" w:cs="Arial" w:eastAsia="Arial" w:hAnsi="Arial"/>
          <w:sz w:val="19"/>
          <w:szCs w:val="19"/>
          <w:color w:val="auto"/>
        </w:rPr>
        <w:t>”) to be prepaid by the Borrower at the Acceptable Discount in accordance with this Section 2.09(a)(ii)(D). If the Borrower elects to accept any Acceptable Discount, then the Borrower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9"/>
          <w:szCs w:val="19"/>
          <w:b w:val="1"/>
          <w:bCs w:val="1"/>
          <w:color w:val="auto"/>
        </w:rPr>
        <w:t>Qualifying Lender</w:t>
      </w:r>
      <w:r>
        <w:rPr>
          <w:rFonts w:ascii="Arial" w:cs="Arial" w:eastAsia="Arial" w:hAnsi="Arial"/>
          <w:sz w:val="19"/>
          <w:szCs w:val="19"/>
          <w:color w:val="auto"/>
        </w:rPr>
        <w:t xml:space="preserve">”). The Borrower will prepay outstanding Term Loans pursuant to this subsection (D) to each Qualifying Lender in the aggregate principal amount and of the tranches specified in such Lender’s Solicited Discounted Prepayment Offer at the Acceptable Discount;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9"/>
          <w:szCs w:val="19"/>
          <w:b w:val="1"/>
          <w:bCs w:val="1"/>
          <w:color w:val="auto"/>
        </w:rPr>
        <w:t>Identified Qualifying Lenders</w:t>
      </w:r>
      <w:r>
        <w:rPr>
          <w:rFonts w:ascii="Arial" w:cs="Arial" w:eastAsia="Arial" w:hAnsi="Arial"/>
          <w:sz w:val="19"/>
          <w:szCs w:val="19"/>
          <w:color w:val="auto"/>
        </w:rPr>
        <w:t>”) shall be made pro-rata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w:t>
      </w:r>
      <w:r>
        <w:rPr>
          <w:rFonts w:ascii="Arial" w:cs="Arial" w:eastAsia="Arial" w:hAnsi="Arial"/>
          <w:sz w:val="19"/>
          <w:szCs w:val="19"/>
          <w:b w:val="1"/>
          <w:bCs w:val="1"/>
          <w:color w:val="auto"/>
        </w:rPr>
        <w:t>Solicited Discount Proration</w:t>
      </w:r>
      <w:r>
        <w:rPr>
          <w:rFonts w:ascii="Arial" w:cs="Arial" w:eastAsia="Arial" w:hAnsi="Arial"/>
          <w:sz w:val="19"/>
          <w:szCs w:val="19"/>
          <w:color w:val="auto"/>
        </w:rPr>
        <w:t>”). On or prior to the Discounted Prepayment Determination Date, the Auction Agent shall promptly notify (I) the Borrower of the Discounted Prepayment Effective Date and Acceptable Prepayment Amount comprising the Discounted Term Loan Prepayment and the tranches to be prepaid, (II) each Term Lender of the Discounted Prepayment Effective Date, the Acceptable Discount, and the Acceptable Prepayment Amount of all Term Loans and the tranches to be prepaid at the Applicable Discount on such date,</w:t>
      </w:r>
    </w:p>
    <w:p>
      <w:pPr>
        <w:spacing w:after="0" w:line="22" w:lineRule="exact"/>
        <w:rPr>
          <w:sz w:val="20"/>
          <w:szCs w:val="20"/>
          <w:color w:val="auto"/>
        </w:rPr>
      </w:pPr>
    </w:p>
    <w:p>
      <w:pPr>
        <w:jc w:val="both"/>
        <w:ind w:left="820" w:hanging="7"/>
        <w:spacing w:after="0" w:line="249" w:lineRule="auto"/>
        <w:tabs>
          <w:tab w:leader="none" w:pos="1224" w:val="left"/>
        </w:tabs>
        <w:numPr>
          <w:ilvl w:val="0"/>
          <w:numId w:val="72"/>
        </w:numPr>
        <w:rPr>
          <w:rFonts w:ascii="Arial" w:cs="Arial" w:eastAsia="Arial" w:hAnsi="Arial"/>
          <w:sz w:val="21"/>
          <w:szCs w:val="21"/>
          <w:color w:val="auto"/>
        </w:rPr>
      </w:pPr>
      <w:r>
        <w:rPr>
          <w:rFonts w:ascii="Arial" w:cs="Arial" w:eastAsia="Arial" w:hAnsi="Arial"/>
          <w:sz w:val="21"/>
          <w:szCs w:val="21"/>
          <w:color w:val="auto"/>
        </w:rPr>
        <w:t>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such Borrower and Lenders shall be conclusive and binding for all purposes absent manifest error. The payment amount specified in such notice to such Borrower shall be due and payable by such Borrower on the Discounted Prepayment Effective Date in accordance with subsection (F) below (subject to subsection (J) below).</w:t>
      </w:r>
    </w:p>
    <w:p>
      <w:pPr>
        <w:spacing w:after="0" w:line="184" w:lineRule="exact"/>
        <w:rPr>
          <w:rFonts w:ascii="Arial" w:cs="Arial" w:eastAsia="Arial" w:hAnsi="Arial"/>
          <w:sz w:val="21"/>
          <w:szCs w:val="21"/>
          <w:color w:val="auto"/>
        </w:rPr>
      </w:pPr>
    </w:p>
    <w:p>
      <w:pPr>
        <w:jc w:val="both"/>
        <w:ind w:left="140" w:firstLine="1001"/>
        <w:spacing w:after="0" w:line="267" w:lineRule="auto"/>
        <w:tabs>
          <w:tab w:leader="none" w:pos="1856" w:val="left"/>
        </w:tabs>
        <w:numPr>
          <w:ilvl w:val="1"/>
          <w:numId w:val="72"/>
        </w:numPr>
        <w:rPr>
          <w:rFonts w:ascii="Arial" w:cs="Arial" w:eastAsia="Arial" w:hAnsi="Arial"/>
          <w:sz w:val="21"/>
          <w:szCs w:val="21"/>
          <w:color w:val="auto"/>
        </w:rPr>
      </w:pPr>
      <w:r>
        <w:rPr>
          <w:rFonts w:ascii="Arial" w:cs="Arial" w:eastAsia="Arial" w:hAnsi="Arial"/>
          <w:sz w:val="21"/>
          <w:szCs w:val="21"/>
          <w:color w:val="auto"/>
        </w:rPr>
        <w:t>In connection with any Discounted Term Loan Prepayment, the Borrower and the Lenders acknowledge and agree that the Auction Agent may require as a condition to any Discounted Term Loan Prepayment, the payment of customary fees and expenses from the Borrower in connection therewith.</w:t>
      </w:r>
    </w:p>
    <w:p>
      <w:pPr>
        <w:spacing w:after="0" w:line="165" w:lineRule="exact"/>
        <w:rPr>
          <w:rFonts w:ascii="Arial" w:cs="Arial" w:eastAsia="Arial" w:hAnsi="Arial"/>
          <w:sz w:val="21"/>
          <w:szCs w:val="21"/>
          <w:color w:val="auto"/>
        </w:rPr>
      </w:pPr>
    </w:p>
    <w:p>
      <w:pPr>
        <w:jc w:val="both"/>
        <w:ind w:left="140" w:firstLine="1001"/>
        <w:spacing w:after="0" w:line="264" w:lineRule="auto"/>
        <w:tabs>
          <w:tab w:leader="none" w:pos="1595" w:val="left"/>
        </w:tabs>
        <w:numPr>
          <w:ilvl w:val="1"/>
          <w:numId w:val="72"/>
        </w:numPr>
        <w:rPr>
          <w:rFonts w:ascii="Arial" w:cs="Arial" w:eastAsia="Arial" w:hAnsi="Arial"/>
          <w:sz w:val="20"/>
          <w:szCs w:val="20"/>
          <w:color w:val="auto"/>
        </w:rPr>
      </w:pPr>
      <w:r>
        <w:rPr>
          <w:rFonts w:ascii="Arial" w:cs="Arial" w:eastAsia="Arial" w:hAnsi="Arial"/>
          <w:sz w:val="20"/>
          <w:szCs w:val="20"/>
          <w:color w:val="auto"/>
        </w:rPr>
        <w:t>If any Term Loan is to be prepaid in accordance with paragraphs (B) through (D) above, the Borrower shall prepay such Term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11:00 a.m. (New York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outstanding Term Loans pursuant to this Section 2.09(a)(ii)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76" w:lineRule="exact"/>
        <w:rPr>
          <w:rFonts w:ascii="Arial" w:cs="Arial" w:eastAsia="Arial" w:hAnsi="Arial"/>
          <w:sz w:val="20"/>
          <w:szCs w:val="20"/>
          <w:color w:val="auto"/>
        </w:rPr>
      </w:pPr>
    </w:p>
    <w:p>
      <w:pPr>
        <w:jc w:val="both"/>
        <w:ind w:left="140" w:firstLine="1001"/>
        <w:spacing w:after="0" w:line="286" w:lineRule="auto"/>
        <w:tabs>
          <w:tab w:leader="none" w:pos="1709" w:val="left"/>
        </w:tabs>
        <w:numPr>
          <w:ilvl w:val="1"/>
          <w:numId w:val="72"/>
        </w:numPr>
        <w:rPr>
          <w:rFonts w:ascii="Arial" w:cs="Arial" w:eastAsia="Arial" w:hAnsi="Arial"/>
          <w:sz w:val="20"/>
          <w:szCs w:val="20"/>
          <w:color w:val="auto"/>
        </w:rPr>
      </w:pPr>
      <w:r>
        <w:rPr>
          <w:rFonts w:ascii="Arial" w:cs="Arial" w:eastAsia="Arial" w:hAnsi="Arial"/>
          <w:sz w:val="20"/>
          <w:szCs w:val="20"/>
          <w:color w:val="auto"/>
        </w:rPr>
        <w:t>To the extent not expressly provided for herein, each Discounted Term Loan Prepayment shall be consummated pursuant to procedures consistent with the provisions in this Section 2.09(a)(ii), established by the Auction Agent acting in its reasonable discretion and as reasonably agreed by the Borrower.</w:t>
      </w:r>
    </w:p>
    <w:p>
      <w:pPr>
        <w:spacing w:after="0" w:line="149" w:lineRule="exact"/>
        <w:rPr>
          <w:rFonts w:ascii="Arial" w:cs="Arial" w:eastAsia="Arial" w:hAnsi="Arial"/>
          <w:sz w:val="20"/>
          <w:szCs w:val="20"/>
          <w:color w:val="auto"/>
        </w:rPr>
      </w:pPr>
    </w:p>
    <w:p>
      <w:pPr>
        <w:jc w:val="both"/>
        <w:ind w:left="140" w:firstLine="1001"/>
        <w:spacing w:after="0" w:line="290" w:lineRule="auto"/>
        <w:tabs>
          <w:tab w:leader="none" w:pos="1630"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Notwithstanding anything in any Loan Document to the contrary, for purposes of this Section 2.09(a) (ii),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notice or communication actually received outside of normal business hours shall be deemed to have been given as of the opening of business on the next Business Day.</w:t>
      </w:r>
    </w:p>
    <w:p>
      <w:pPr>
        <w:spacing w:after="0" w:line="149" w:lineRule="exact"/>
        <w:rPr>
          <w:rFonts w:ascii="Arial" w:cs="Arial" w:eastAsia="Arial" w:hAnsi="Arial"/>
          <w:sz w:val="19"/>
          <w:szCs w:val="19"/>
          <w:color w:val="auto"/>
        </w:rPr>
      </w:pPr>
    </w:p>
    <w:p>
      <w:pPr>
        <w:jc w:val="both"/>
        <w:ind w:left="140" w:firstLine="1001"/>
        <w:spacing w:after="0" w:line="296" w:lineRule="auto"/>
        <w:tabs>
          <w:tab w:leader="none" w:pos="1575" w:val="left"/>
        </w:tabs>
        <w:numPr>
          <w:ilvl w:val="1"/>
          <w:numId w:val="72"/>
        </w:numPr>
        <w:rPr>
          <w:rFonts w:ascii="Arial" w:cs="Arial" w:eastAsia="Arial" w:hAnsi="Arial"/>
          <w:sz w:val="19"/>
          <w:szCs w:val="19"/>
          <w:color w:val="auto"/>
        </w:rPr>
      </w:pPr>
      <w:r>
        <w:rPr>
          <w:rFonts w:ascii="Arial" w:cs="Arial" w:eastAsia="Arial" w:hAnsi="Arial"/>
          <w:sz w:val="19"/>
          <w:szCs w:val="19"/>
          <w:color w:val="auto"/>
        </w:rPr>
        <w:t>Each of the Borrower and the Lenders acknowledges and agrees that the Auction Agent may perform any and all of its duties under this Section 2.09(a)(ii)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w:t>
      </w:r>
    </w:p>
    <w:p>
      <w:pPr>
        <w:sectPr>
          <w:pgSz w:w="11900" w:h="16838" w:orient="portrait"/>
          <w:cols w:equalWidth="0" w:num="1">
            <w:col w:w="10220"/>
          </w:cols>
          <w:pgMar w:left="1440" w:top="125" w:right="239" w:bottom="0" w:gutter="0" w:footer="0" w:header="0"/>
        </w:sectPr>
      </w:pPr>
    </w:p>
    <w:bookmarkStart w:id="133" w:name="page134"/>
    <w:bookmarkEnd w:id="133"/>
    <w:p>
      <w:pPr>
        <w:spacing w:after="0" w:line="124" w:lineRule="exact"/>
        <w:rPr>
          <w:sz w:val="20"/>
          <w:szCs w:val="20"/>
          <w:color w:val="auto"/>
        </w:rPr>
      </w:pPr>
    </w:p>
    <w:p>
      <w:pPr>
        <w:ind w:left="1335"/>
        <w:spacing w:after="0" w:line="273" w:lineRule="auto"/>
        <w:rPr>
          <w:sz w:val="20"/>
          <w:szCs w:val="20"/>
          <w:color w:val="auto"/>
        </w:rPr>
      </w:pPr>
      <w:r>
        <w:rPr>
          <w:rFonts w:ascii="Arial" w:cs="Arial" w:eastAsia="Arial" w:hAnsi="Arial"/>
          <w:sz w:val="21"/>
          <w:szCs w:val="21"/>
          <w:color w:val="auto"/>
        </w:rPr>
        <w:t>of the Auction Agent and its respective activities in connection with any Discounted Term Loan Prepayment provided for in this Section 2.09(a)(ii) as well as activities of the Auction Agent.</w:t>
      </w:r>
    </w:p>
    <w:p>
      <w:pPr>
        <w:spacing w:after="0" w:line="159" w:lineRule="exact"/>
        <w:rPr>
          <w:sz w:val="20"/>
          <w:szCs w:val="20"/>
          <w:color w:val="auto"/>
        </w:rPr>
      </w:pPr>
    </w:p>
    <w:p>
      <w:pPr>
        <w:jc w:val="both"/>
        <w:ind w:left="1335" w:firstLine="1001"/>
        <w:spacing w:after="0" w:line="287" w:lineRule="auto"/>
        <w:tabs>
          <w:tab w:leader="none" w:pos="2755" w:val="left"/>
        </w:tabs>
        <w:numPr>
          <w:ilvl w:val="2"/>
          <w:numId w:val="73"/>
        </w:numPr>
        <w:rPr>
          <w:rFonts w:ascii="Arial" w:cs="Arial" w:eastAsia="Arial" w:hAnsi="Arial"/>
          <w:sz w:val="19"/>
          <w:szCs w:val="19"/>
          <w:color w:val="auto"/>
        </w:rPr>
      </w:pPr>
      <w:r>
        <w:rPr>
          <w:rFonts w:ascii="Arial" w:cs="Arial" w:eastAsia="Arial" w:hAnsi="Arial"/>
          <w:sz w:val="19"/>
          <w:szCs w:val="19"/>
          <w:color w:val="auto"/>
        </w:rPr>
        <w:t>The Borrower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such Borrower to make any prepayment to a Term Lender, as applicable, pursuant to this Section 2.09(a)(ii) shall not constitute a Default or Event of Default under Section 7.01 or otherwise).</w:t>
      </w:r>
    </w:p>
    <w:p>
      <w:pPr>
        <w:spacing w:after="0" w:line="151" w:lineRule="exact"/>
        <w:rPr>
          <w:rFonts w:ascii="Arial" w:cs="Arial" w:eastAsia="Arial" w:hAnsi="Arial"/>
          <w:sz w:val="19"/>
          <w:szCs w:val="19"/>
          <w:color w:val="auto"/>
        </w:rPr>
      </w:pPr>
    </w:p>
    <w:p>
      <w:pPr>
        <w:jc w:val="both"/>
        <w:ind w:left="-5" w:firstLine="819"/>
        <w:spacing w:after="0" w:line="263" w:lineRule="auto"/>
        <w:tabs>
          <w:tab w:leader="none" w:pos="1307" w:val="left"/>
        </w:tabs>
        <w:numPr>
          <w:ilvl w:val="1"/>
          <w:numId w:val="74"/>
        </w:numPr>
        <w:rPr>
          <w:rFonts w:ascii="Arial" w:cs="Arial" w:eastAsia="Arial" w:hAnsi="Arial"/>
          <w:sz w:val="20"/>
          <w:szCs w:val="20"/>
          <w:color w:val="auto"/>
        </w:rPr>
      </w:pPr>
      <w:r>
        <w:rPr>
          <w:rFonts w:ascii="Arial" w:cs="Arial" w:eastAsia="Arial" w:hAnsi="Arial"/>
          <w:sz w:val="20"/>
          <w:szCs w:val="20"/>
          <w:color w:val="auto"/>
        </w:rPr>
        <w:t xml:space="preserve">In the event and on each occasion that any Net Proceeds are received by or on behalf of Holdings, any Intermediate Parent, the Borrower or any of its Restricted Subsidiaries in respect of any Prepayment Event after the Amendment No. </w:t>
      </w:r>
      <w:r>
        <w:rPr>
          <w:rFonts w:ascii="Arial" w:cs="Arial" w:eastAsia="Arial" w:hAnsi="Arial"/>
          <w:sz w:val="20"/>
          <w:szCs w:val="20"/>
          <w:color w:val="FF0000"/>
          <w:strike w:val="1"/>
        </w:rPr>
        <w:t>1</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Effective Date, the Borrower shall, within three Business Days after such Net Proceeds are received (or, in the case of a Prepayment Event described in clause (b) of the definition of the term “Prepayment Event,” on the date of such Prepayment Event), prepay Term Borrowings in an aggregate amount equal to 100% of the amount of such Net Proceeds;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case of any event described in clause (a) of the definition of the term “Prepayment Event”, if the Borrower and its Restricted Subsidiaries invest (or commit with a Person that is not Holdings, an Intermediate Parent, the Borrower or a Subsidiary to invest) the Net Proceeds from such event (or a portion thereof) within 12 months after receipt of such Net Proceeds in the business of the Borrower and its Restricted Subsidiaries (including in any acquisitions permitted under Section 6.04 and in working capital or trading activities),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 months after receipt thereof), at which time a prepayment shall be required in an amount equal to such Net Proceeds that have not been so invested (or committed to be invested);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if the Escrow Assumption Date shall have occurred, the immediately preceding proviso shall not apply unless the Total Leverage Ratio at the time such Net Proceeds are received is less than or equal to 2.25 to 1.00 on a pro forma basis for such event. For the avoidance of doubt, no prepayment shall be required to be made from the Net Proceeds of any Prepayment Event consummated on or prior to the Amendment No. </w:t>
      </w:r>
      <w:r>
        <w:rPr>
          <w:rFonts w:ascii="Arial" w:cs="Arial" w:eastAsia="Arial" w:hAnsi="Arial"/>
          <w:sz w:val="20"/>
          <w:szCs w:val="20"/>
          <w:color w:val="FF0000"/>
          <w:strike w:val="1"/>
        </w:rPr>
        <w:t>1</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Effective Date pursuant to this Section 2.09.</w:t>
      </w:r>
    </w:p>
    <w:p>
      <w:pPr>
        <w:spacing w:after="0" w:line="175" w:lineRule="exact"/>
        <w:rPr>
          <w:rFonts w:ascii="Arial" w:cs="Arial" w:eastAsia="Arial" w:hAnsi="Arial"/>
          <w:sz w:val="20"/>
          <w:szCs w:val="20"/>
          <w:color w:val="auto"/>
        </w:rPr>
      </w:pPr>
    </w:p>
    <w:p>
      <w:pPr>
        <w:ind w:left="1235" w:hanging="421"/>
        <w:spacing w:after="0"/>
        <w:tabs>
          <w:tab w:leader="none" w:pos="1235" w:val="left"/>
        </w:tabs>
        <w:numPr>
          <w:ilvl w:val="1"/>
          <w:numId w:val="74"/>
        </w:numPr>
        <w:rPr>
          <w:rFonts w:ascii="Arial" w:cs="Arial" w:eastAsia="Arial" w:hAnsi="Arial"/>
          <w:sz w:val="19"/>
          <w:szCs w:val="19"/>
          <w:color w:val="auto"/>
        </w:rPr>
      </w:pPr>
      <w:r>
        <w:rPr>
          <w:rFonts w:ascii="Arial" w:cs="Arial" w:eastAsia="Arial" w:hAnsi="Arial"/>
          <w:sz w:val="19"/>
          <w:szCs w:val="19"/>
          <w:color w:val="auto"/>
        </w:rPr>
        <w:t>Commencing with the first fiscal quarter of Holdings commencing after the earliest of (x) the Escrow Assumption Date,</w:t>
      </w:r>
    </w:p>
    <w:p>
      <w:pPr>
        <w:spacing w:after="0" w:line="48" w:lineRule="exact"/>
        <w:rPr>
          <w:rFonts w:ascii="Arial" w:cs="Arial" w:eastAsia="Arial" w:hAnsi="Arial"/>
          <w:sz w:val="19"/>
          <w:szCs w:val="19"/>
          <w:color w:val="auto"/>
        </w:rPr>
      </w:pPr>
    </w:p>
    <w:p>
      <w:pPr>
        <w:jc w:val="both"/>
        <w:ind w:left="-5" w:firstLine="5"/>
        <w:spacing w:after="0" w:line="278" w:lineRule="auto"/>
        <w:tabs>
          <w:tab w:leader="none" w:pos="308"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January 31, 2018 and (z) the date of the termination of the Merger Agreement in accordance with its terms occurs, the Borrower shall prepay Term Borrowings in an aggregate amount equal to the ECF Percentage of Excess Cash Flow for such fiscal quarter;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amount shall be reduced by the aggregate amount of prepayments of Term Loans made pursuant to Section 2.09(a)</w:t>
      </w:r>
    </w:p>
    <w:p>
      <w:pPr>
        <w:spacing w:after="0" w:line="1" w:lineRule="exact"/>
        <w:rPr>
          <w:rFonts w:ascii="Arial" w:cs="Arial" w:eastAsia="Arial" w:hAnsi="Arial"/>
          <w:sz w:val="19"/>
          <w:szCs w:val="19"/>
          <w:color w:val="auto"/>
        </w:rPr>
      </w:pPr>
    </w:p>
    <w:p>
      <w:pPr>
        <w:jc w:val="both"/>
        <w:ind w:left="-5" w:firstLine="5"/>
        <w:spacing w:after="0" w:line="262" w:lineRule="auto"/>
        <w:tabs>
          <w:tab w:leader="none" w:pos="248" w:val="left"/>
        </w:tabs>
        <w:numPr>
          <w:ilvl w:val="0"/>
          <w:numId w:val="76"/>
        </w:numPr>
        <w:rPr>
          <w:rFonts w:ascii="Arial" w:cs="Arial" w:eastAsia="Arial" w:hAnsi="Arial"/>
          <w:sz w:val="20"/>
          <w:szCs w:val="20"/>
          <w:color w:val="auto"/>
        </w:rPr>
      </w:pPr>
      <w:r>
        <w:rPr>
          <w:rFonts w:ascii="Arial" w:cs="Arial" w:eastAsia="Arial" w:hAnsi="Arial"/>
          <w:sz w:val="20"/>
          <w:szCs w:val="20"/>
          <w:color w:val="auto"/>
        </w:rPr>
        <w:t>during such period (excluding all such prepayments funded with the proceeds of other Indebtedness, the issuance of Equity Interests or receipt of capital contributions or the proceeds of any sale or other disposition of assets outside the ordinary course of business). Each prepayment pursuant to this paragraph shall be made on or before the date that is five days after the date on which financial statements are required to be delivered pursuant to Section 5.01(b) with respect to the fiscal quarter for which Excess Cash Flow is being calculated (or, in the case of any prepayment with respect to the fourth fiscal quarter of any fiscal year, the date that is five days after the date on which financial statements are required to be delivered pursuant to Section 5.01(a) with respect to the fiscal year of which such quarter is the fourth fiscal quarter). For the avoidance of doubt, the first such prepayment shall be with respect to the fiscal quarter of the Borrower during which the earliest of (x) the Escrow Assumption Date, (y) January 31, 2018 and (z) the date of the termination of the Merger Agreement in accordance with its terms occurs, and such prepayment shall be made on or before the date that is five days after the date on which financial statements are required to be delivered pursuant to Section 5.01(b) with respect to such period.</w:t>
      </w:r>
    </w:p>
    <w:p>
      <w:pPr>
        <w:spacing w:after="0" w:line="173" w:lineRule="exact"/>
        <w:rPr>
          <w:rFonts w:ascii="Arial" w:cs="Arial" w:eastAsia="Arial" w:hAnsi="Arial"/>
          <w:sz w:val="20"/>
          <w:szCs w:val="20"/>
          <w:color w:val="auto"/>
        </w:rPr>
      </w:pPr>
    </w:p>
    <w:p>
      <w:pPr>
        <w:jc w:val="both"/>
        <w:ind w:left="-5" w:firstLine="819"/>
        <w:spacing w:after="0" w:line="278" w:lineRule="auto"/>
        <w:tabs>
          <w:tab w:leader="none" w:pos="1255"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Prior to any optional prepayment of Borrowings pursuant to Section 2.09(a)(i), the Borrower shall select the Borrowing or Borrowings to be prepaid and shall specify such selection in the notice of such prepayment pursuant to paragraph (e) of this Section.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Term Lender (and, to the extent provided in the Refinancing Amendment for any Class of Other Term Loans, any Lender that holds Other Term Loans of such Class) may elect, by notice to the Administrative Agent by telephone (confirmed by facsimile) at least one Business Day prior to the prepayment date, to decline all or any portion of any prepayment of its Term Loans or Other Term Loans of any such Class pursuant to this Section (other than an optional prepayment pursuant to paragraph (a)(i) of this Section, which may not be declined), in which case the aggregate amount of the prepayment that would have been applied to prepay Term Loans or Other Term Loans of any such Class but was so declined shall be retained by the Borrower. Optional prepayments of Term Borrowings shall be allocated among the Classes of Term Borrowings as directed by the Borrower. In the absence of a designation by the Borrower as described in the preceding provisions of this paragraph of the Type of Borrowing of any Class, the Administrative Agent shall make such designation in its reasonable discretion with a view, but no obligation, to minimize breakage costs owing under Section 2.14.</w:t>
      </w:r>
    </w:p>
    <w:p>
      <w:pPr>
        <w:spacing w:after="0" w:line="167" w:lineRule="exact"/>
        <w:rPr>
          <w:rFonts w:ascii="Arial" w:cs="Arial" w:eastAsia="Arial" w:hAnsi="Arial"/>
          <w:sz w:val="19"/>
          <w:szCs w:val="19"/>
          <w:color w:val="auto"/>
        </w:rPr>
      </w:pPr>
    </w:p>
    <w:p>
      <w:pPr>
        <w:ind w:left="1215" w:hanging="401"/>
        <w:spacing w:after="0"/>
        <w:tabs>
          <w:tab w:leader="none" w:pos="1215"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Borrower shall notify the Administrative Agent by telephone (confirmed by facsimile) of any prepayment hereunder</w:t>
      </w:r>
    </w:p>
    <w:p>
      <w:pPr>
        <w:spacing w:after="0" w:line="48" w:lineRule="exact"/>
        <w:rPr>
          <w:rFonts w:ascii="Arial" w:cs="Arial" w:eastAsia="Arial" w:hAnsi="Arial"/>
          <w:sz w:val="19"/>
          <w:szCs w:val="19"/>
          <w:color w:val="auto"/>
        </w:rPr>
      </w:pPr>
    </w:p>
    <w:p>
      <w:pPr>
        <w:jc w:val="both"/>
        <w:ind w:left="-5" w:firstLine="5"/>
        <w:spacing w:after="0" w:line="285" w:lineRule="auto"/>
        <w:tabs>
          <w:tab w:leader="none" w:pos="248"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in the case of prepayment of a Eurodollar Borrowing, not later than 11:00 a.m., New York City time, three Business Days before the date of prepayment and (ii) in the case of prepayment of an ABR Borrowing, not later than 11:00 a.m., New York City time, one Business Day before the date of prepayment. Each such notice shall be irrevocable and shall specify the prepayment date and principal amount of each Borrowing or portion thereof to be prepaid and, in the case of a mandatory prepayment, a reasonably detailed calculation of the amount of such prepayment;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notice of optional prepayment may state that such notice is conditional</w:t>
      </w:r>
    </w:p>
    <w:p>
      <w:pPr>
        <w:sectPr>
          <w:pgSz w:w="11900" w:h="16963" w:orient="portrait"/>
          <w:cols w:equalWidth="0" w:num="1">
            <w:col w:w="11415"/>
          </w:cols>
          <w:pgMar w:left="245" w:top="131" w:right="239" w:bottom="0" w:gutter="0" w:footer="0" w:header="0"/>
        </w:sectPr>
      </w:pPr>
    </w:p>
    <w:bookmarkStart w:id="134" w:name="page135"/>
    <w:bookmarkEnd w:id="134"/>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2.11.</w:t>
      </w:r>
    </w:p>
    <w:p>
      <w:pPr>
        <w:spacing w:after="0" w:line="184" w:lineRule="exact"/>
        <w:rPr>
          <w:sz w:val="20"/>
          <w:szCs w:val="20"/>
          <w:color w:val="auto"/>
        </w:rPr>
      </w:pPr>
    </w:p>
    <w:p>
      <w:pPr>
        <w:jc w:val="both"/>
        <w:ind w:firstLine="819"/>
        <w:spacing w:after="0" w:line="276" w:lineRule="auto"/>
        <w:tabs>
          <w:tab w:leader="none" w:pos="1251" w:val="left"/>
        </w:tabs>
        <w:numPr>
          <w:ilvl w:val="1"/>
          <w:numId w:val="78"/>
        </w:numPr>
        <w:rPr>
          <w:rFonts w:ascii="Arial" w:cs="Arial" w:eastAsia="Arial" w:hAnsi="Arial"/>
          <w:sz w:val="19"/>
          <w:szCs w:val="19"/>
          <w:color w:val="auto"/>
        </w:rPr>
      </w:pPr>
      <w:r>
        <w:rPr>
          <w:rFonts w:ascii="Arial" w:cs="Arial" w:eastAsia="Arial" w:hAnsi="Arial"/>
          <w:sz w:val="19"/>
          <w:szCs w:val="19"/>
          <w:color w:val="auto"/>
        </w:rPr>
        <w:t>Notwithstanding any other provisions of Section 2.09(b) or (c), (A) to the extent that any of or all the Net Proceeds of any Prepayment Event by a Foreign Subsidiary giving rise to a prepayment pursuant to Section 2.09(b) (a “</w:t>
      </w:r>
      <w:r>
        <w:rPr>
          <w:rFonts w:ascii="Arial" w:cs="Arial" w:eastAsia="Arial" w:hAnsi="Arial"/>
          <w:sz w:val="19"/>
          <w:szCs w:val="19"/>
          <w:b w:val="1"/>
          <w:bCs w:val="1"/>
          <w:color w:val="auto"/>
        </w:rPr>
        <w:t>Foreign Prepayment</w:t>
      </w:r>
      <w:r>
        <w:rPr>
          <w:rFonts w:ascii="Arial" w:cs="Arial" w:eastAsia="Arial" w:hAnsi="Arial"/>
          <w:sz w:val="19"/>
          <w:szCs w:val="19"/>
          <w:color w:val="auto"/>
        </w:rPr>
        <w:t xml:space="preserve"> </w:t>
      </w:r>
      <w:r>
        <w:rPr>
          <w:rFonts w:ascii="Arial" w:cs="Arial" w:eastAsia="Arial" w:hAnsi="Arial"/>
          <w:sz w:val="19"/>
          <w:szCs w:val="19"/>
          <w:b w:val="1"/>
          <w:bCs w:val="1"/>
          <w:color w:val="auto"/>
        </w:rPr>
        <w:t>Event</w:t>
      </w:r>
      <w:r>
        <w:rPr>
          <w:rFonts w:ascii="Arial" w:cs="Arial" w:eastAsia="Arial" w:hAnsi="Arial"/>
          <w:sz w:val="19"/>
          <w:szCs w:val="19"/>
          <w:color w:val="auto"/>
        </w:rPr>
        <w:t>”) or Excess Cash Flow attributable to a Foreign Subsidiary are prohibited or delayed by applicable local law from being</w:t>
      </w:r>
      <w:r>
        <w:rPr>
          <w:rFonts w:ascii="Arial" w:cs="Arial" w:eastAsia="Arial" w:hAnsi="Arial"/>
          <w:sz w:val="19"/>
          <w:szCs w:val="19"/>
          <w:b w:val="1"/>
          <w:bCs w:val="1"/>
          <w:color w:val="auto"/>
        </w:rPr>
        <w:t xml:space="preserve"> </w:t>
      </w:r>
      <w:r>
        <w:rPr>
          <w:rFonts w:ascii="Arial" w:cs="Arial" w:eastAsia="Arial" w:hAnsi="Arial"/>
          <w:sz w:val="19"/>
          <w:szCs w:val="19"/>
          <w:color w:val="auto"/>
        </w:rPr>
        <w:t>repatriated to the Borrower, the portion of such Net Proceeds or Excess Cash Flow so affected will not be required to be applied to repay Term Loans at the times provided in Section 2.09(b) or (c), as the case may be, and such amounts may be retained by the applicable Foreign Subsidiary so long, but only so long, as the applicable local law will not permit repatriation to the Borrower (Borrower hereby agreeing to cause the applicable Foreign Subsidiary to promptly take all actions reasonably required by the applicable local law to permit such repatriation), and once such repatriation of any of such affected Net Proceeds or Excess Cash Flow is permitted under the applicable local law, such repatriation will be promptly effected and such repatriated Net Proceeds or Excess Cash Flow will be promptly (and in any event not later than three Business Days after such repatriation) applied (net of additional taxes payable or reserved against as a result thereof) to the repayment of the Term Loans pursuant to Section 2.09(b) or (c), as applicable, and</w:t>
      </w:r>
    </w:p>
    <w:p>
      <w:pPr>
        <w:spacing w:after="0" w:line="9" w:lineRule="exact"/>
        <w:rPr>
          <w:rFonts w:ascii="Arial" w:cs="Arial" w:eastAsia="Arial" w:hAnsi="Arial"/>
          <w:sz w:val="19"/>
          <w:szCs w:val="19"/>
          <w:color w:val="auto"/>
        </w:rPr>
      </w:pPr>
    </w:p>
    <w:p>
      <w:pPr>
        <w:jc w:val="both"/>
        <w:ind w:firstLine="5"/>
        <w:spacing w:after="0" w:line="276" w:lineRule="auto"/>
        <w:tabs>
          <w:tab w:leader="none" w:pos="358"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to the extent that the Borrower has determined in good faith that repatriation of any of or all the Net Proceeds of any Foreign Prepayment Event or Foreign Subsidiary Excess Cash Flow would have a material adverse tax consequence (taking into account any foreign tax credit or benefit actually realized in connection with such repatriation) with respect to such Net Proceeds or Excess Cash Flow, the Net Proceeds or Excess Cash Flow so affected may be retained by the applicable Foreign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(B), on or before the date that is eighteen months after the date that such Net Proceeds are received (or, in the case of Excess Cash Flow, a date on or before the date that is eighteen months after the date such Excess Cash Flow would have so required to be applied to prepayments pursuant to Section 2.09(c) unless previously repatriated in which case such repatriated Excess Cash Flow shall have been promptly applied to the repayment of the Term Loans pursuant to Section 2.09(c)), (x) the Borrower applies an amount equal to such Net Proceeds or Excess Cash Flow to such reinvestments or prepayments as if such Net Proceeds or Excess Cash Flow had been received by the Borrower rather than such Foreign Subsidiary, less the amount of additional taxes that would have been payable or reserved against if such Net Proceeds or Excess Cash Flow had been repatriated (or, if less, the Net Proceeds or Excess Cash Flow that would be calculated if received by such Foreign Subsidiary) or (y) such Net Proceeds or Excess Cash Flow shall be applied to the repayment of Indebtedness of a Foreign Subsidiary.</w:t>
      </w:r>
    </w:p>
    <w:p>
      <w:pPr>
        <w:spacing w:after="0" w:line="167" w:lineRule="exact"/>
        <w:rPr>
          <w:rFonts w:ascii="Arial" w:cs="Arial" w:eastAsia="Arial" w:hAnsi="Arial"/>
          <w:sz w:val="19"/>
          <w:szCs w:val="19"/>
          <w:color w:val="auto"/>
        </w:rPr>
      </w:pPr>
    </w:p>
    <w:p>
      <w:pPr>
        <w:jc w:val="both"/>
        <w:ind w:firstLine="819"/>
        <w:spacing w:after="0" w:line="307" w:lineRule="auto"/>
        <w:tabs>
          <w:tab w:leader="none" w:pos="1286" w:val="left"/>
        </w:tabs>
        <w:numPr>
          <w:ilvl w:val="1"/>
          <w:numId w:val="79"/>
        </w:numPr>
        <w:rPr>
          <w:rFonts w:ascii="Arial" w:cs="Arial" w:eastAsia="Arial" w:hAnsi="Arial"/>
          <w:sz w:val="19"/>
          <w:szCs w:val="19"/>
          <w:color w:val="auto"/>
        </w:rPr>
      </w:pPr>
      <w:r>
        <w:rPr>
          <w:rFonts w:ascii="Arial" w:cs="Arial" w:eastAsia="Arial" w:hAnsi="Arial"/>
          <w:sz w:val="19"/>
          <w:szCs w:val="19"/>
          <w:color w:val="auto"/>
        </w:rPr>
        <w:t>In the event and on each occasion that the aggregate Revolving Exposures exceed the Total Revolving Commitments, the Borrower shall prepay Revolving Borrowings (or, if no such Borrowings are outstanding, deposit cash collateral in an account with the Administrative Agent pursuant to Section 2.22) in an aggregate amount necessary to eliminate such excess.</w:t>
      </w:r>
    </w:p>
    <w:p>
      <w:pPr>
        <w:spacing w:after="0" w:line="132" w:lineRule="exact"/>
        <w:rPr>
          <w:rFonts w:ascii="Arial" w:cs="Arial" w:eastAsia="Arial" w:hAnsi="Arial"/>
          <w:sz w:val="19"/>
          <w:szCs w:val="19"/>
          <w:color w:val="auto"/>
        </w:rPr>
      </w:pPr>
    </w:p>
    <w:p>
      <w:pPr>
        <w:jc w:val="both"/>
        <w:ind w:firstLine="819"/>
        <w:spacing w:after="0" w:line="273" w:lineRule="auto"/>
        <w:tabs>
          <w:tab w:leader="none" w:pos="1286" w:val="left"/>
        </w:tabs>
        <w:numPr>
          <w:ilvl w:val="1"/>
          <w:numId w:val="79"/>
        </w:numPr>
        <w:rPr>
          <w:rFonts w:ascii="Arial" w:cs="Arial" w:eastAsia="Arial" w:hAnsi="Arial"/>
          <w:sz w:val="20"/>
          <w:szCs w:val="20"/>
          <w:color w:val="auto"/>
        </w:rPr>
      </w:pPr>
      <w:r>
        <w:rPr>
          <w:rFonts w:ascii="Arial" w:cs="Arial" w:eastAsia="Arial" w:hAnsi="Arial"/>
          <w:sz w:val="20"/>
          <w:szCs w:val="20"/>
          <w:color w:val="auto"/>
        </w:rPr>
        <w:t>Additionally, notwithstanding anything else in this Agreement to the contrary, in the event that any Term Loan of any Lender would otherwise be repaid or prepaid from the proceeds of other Term Loans being funded on the date of such repayment or prepayment, if agreed to by the Borrower and such Lender and notified to the Administrative Agent prior to the date of the applicable repayment or prepayment, all or any portion of such Lender’s Term Loan that would have otherwise been repaid or prepaid in connection therewith may be converted on a “cashless roll” basis into a new Term Loan.</w:t>
      </w:r>
    </w:p>
    <w:p>
      <w:pPr>
        <w:spacing w:after="0" w:line="162" w:lineRule="exact"/>
        <w:rPr>
          <w:sz w:val="20"/>
          <w:szCs w:val="20"/>
          <w:color w:val="auto"/>
        </w:rPr>
      </w:pPr>
    </w:p>
    <w:p>
      <w:pPr>
        <w:ind w:firstLine="630"/>
        <w:spacing w:after="0" w:line="269"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i w:val="1"/>
          <w:iCs w:val="1"/>
          <w:color w:val="auto"/>
        </w:rPr>
        <w:t>Fees</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The Borrower agrees to pay to each Administrative Agent, for its own account, fees payable in the amounts</w:t>
      </w:r>
      <w:r>
        <w:rPr>
          <w:rFonts w:ascii="Arial" w:cs="Arial" w:eastAsia="Arial" w:hAnsi="Arial"/>
          <w:sz w:val="21"/>
          <w:szCs w:val="21"/>
          <w:color w:val="auto"/>
        </w:rPr>
        <w:t xml:space="preserve"> </w:t>
      </w:r>
      <w:r>
        <w:rPr>
          <w:rFonts w:ascii="Arial" w:cs="Arial" w:eastAsia="Arial" w:hAnsi="Arial"/>
          <w:sz w:val="19"/>
          <w:szCs w:val="19"/>
          <w:color w:val="auto"/>
        </w:rPr>
        <w:t>and at the times separately agreed upon between the Borrower and such Administrative Agent.</w:t>
      </w:r>
    </w:p>
    <w:p>
      <w:pPr>
        <w:spacing w:after="0" w:line="181" w:lineRule="exact"/>
        <w:rPr>
          <w:sz w:val="20"/>
          <w:szCs w:val="20"/>
          <w:color w:val="auto"/>
        </w:rPr>
      </w:pPr>
    </w:p>
    <w:p>
      <w:pPr>
        <w:ind w:left="1220" w:hanging="401"/>
        <w:spacing w:after="0"/>
        <w:tabs>
          <w:tab w:leader="none" w:pos="12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[Reserved.]</w:t>
      </w:r>
    </w:p>
    <w:p>
      <w:pPr>
        <w:spacing w:after="0" w:line="230" w:lineRule="exact"/>
        <w:rPr>
          <w:rFonts w:ascii="Arial" w:cs="Arial" w:eastAsia="Arial" w:hAnsi="Arial"/>
          <w:sz w:val="21"/>
          <w:szCs w:val="21"/>
          <w:color w:val="auto"/>
        </w:rPr>
      </w:pPr>
    </w:p>
    <w:p>
      <w:pPr>
        <w:jc w:val="both"/>
        <w:ind w:firstLine="819"/>
        <w:spacing w:after="0" w:line="266" w:lineRule="auto"/>
        <w:tabs>
          <w:tab w:leader="none" w:pos="1273"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for the account of each Revolving Lender a commitment fee, which shall accrue at the rate of 0.50% per annum on the average daily unused amount of the Revolving Commitment of such Lender during the period from and including the Revolving Availability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Revolving Availability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w:t>
      </w:r>
    </w:p>
    <w:p>
      <w:pPr>
        <w:spacing w:after="0" w:line="173" w:lineRule="exact"/>
        <w:rPr>
          <w:rFonts w:ascii="Arial" w:cs="Arial" w:eastAsia="Arial" w:hAnsi="Arial"/>
          <w:sz w:val="20"/>
          <w:szCs w:val="20"/>
          <w:color w:val="auto"/>
        </w:rPr>
      </w:pPr>
    </w:p>
    <w:p>
      <w:pPr>
        <w:jc w:val="both"/>
        <w:ind w:firstLine="819"/>
        <w:spacing w:after="0" w:line="283" w:lineRule="auto"/>
        <w:tabs>
          <w:tab w:leader="none" w:pos="1274"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Borrower agrees to pay (i) to the Administrative Agent for the account of each Revolving Lender (other than any Defaulting Lender) a participation fee with respect to its participations in Letters of Credit, which shall accrue at the Applicable Rate used to determine the interest rate applicable to Eurodollar Revolving Loans on the daily amount of such Lender's LC Exposure (excluding any portion thereof attributable to unreimbursed LC Disbursements) during the period from and including the Revolving Availability Date to and including the later of the date on which such Lender's Revolving Commitment terminates and the date on which such Lender ceases to have any LC Exposure and (ii) to each Issuing Bank a fronting fee, which shall accrue at the rate of 0.25% per annum on the daily amount of the LC Exposure attributable to Letters of Credit issued by such Issuing Bank (excluding any portion thereof attributable to unreimbursed LC Disbursements) during the period from and including the Revolving Availability Date to and</w:t>
      </w:r>
    </w:p>
    <w:p>
      <w:pPr>
        <w:sectPr>
          <w:pgSz w:w="11900" w:h="16908" w:orient="portrait"/>
          <w:cols w:equalWidth="0" w:num="1">
            <w:col w:w="11420"/>
          </w:cols>
          <w:pgMar w:left="240" w:top="131" w:right="239" w:bottom="0" w:gutter="0" w:footer="0" w:header="0"/>
        </w:sectPr>
      </w:pPr>
    </w:p>
    <w:bookmarkStart w:id="135" w:name="page136"/>
    <w:bookmarkEnd w:id="135"/>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Revolving Availability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69" w:lineRule="exact"/>
        <w:rPr>
          <w:sz w:val="20"/>
          <w:szCs w:val="20"/>
          <w:color w:val="auto"/>
        </w:rPr>
      </w:pPr>
    </w:p>
    <w:p>
      <w:pPr>
        <w:ind w:firstLine="819"/>
        <w:spacing w:after="0" w:line="286" w:lineRule="auto"/>
        <w:tabs>
          <w:tab w:leader="none" w:pos="1273" w:val="left"/>
        </w:tabs>
        <w:numPr>
          <w:ilvl w:val="0"/>
          <w:numId w:val="81"/>
        </w:numPr>
        <w:rPr>
          <w:rFonts w:ascii="Arial" w:cs="Arial" w:eastAsia="Arial" w:hAnsi="Arial"/>
          <w:sz w:val="21"/>
          <w:szCs w:val="21"/>
          <w:color w:val="auto"/>
        </w:rPr>
      </w:pPr>
      <w:r>
        <w:rPr>
          <w:rFonts w:ascii="Arial" w:cs="Arial" w:eastAsia="Arial" w:hAnsi="Arial"/>
          <w:sz w:val="21"/>
          <w:szCs w:val="21"/>
          <w:color w:val="auto"/>
        </w:rPr>
        <w:t>Notwithstanding the foregoing, and subject to Section 2.21, the Borrower shall not be obligated to pay any amounts to any Defaulting Lender pursuant to this Section 2.10.</w:t>
      </w:r>
    </w:p>
    <w:p>
      <w:pPr>
        <w:spacing w:after="0" w:line="146" w:lineRule="exact"/>
        <w:rPr>
          <w:sz w:val="20"/>
          <w:szCs w:val="20"/>
          <w:color w:val="auto"/>
        </w:rPr>
      </w:pPr>
    </w:p>
    <w:p>
      <w:pPr>
        <w:ind w:firstLine="630"/>
        <w:spacing w:after="0" w:line="269"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i w:val="1"/>
          <w:iCs w:val="1"/>
          <w:color w:val="auto"/>
        </w:rPr>
        <w:t>Interest</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The Loans comprising each ABR Borrowing shall bear interest at the Alternate Base Rate plus the</w:t>
      </w:r>
      <w:r>
        <w:rPr>
          <w:rFonts w:ascii="Arial" w:cs="Arial" w:eastAsia="Arial" w:hAnsi="Arial"/>
          <w:sz w:val="21"/>
          <w:szCs w:val="21"/>
          <w:color w:val="auto"/>
        </w:rPr>
        <w:t xml:space="preserve"> </w:t>
      </w:r>
      <w:r>
        <w:rPr>
          <w:rFonts w:ascii="Arial" w:cs="Arial" w:eastAsia="Arial" w:hAnsi="Arial"/>
          <w:sz w:val="19"/>
          <w:szCs w:val="19"/>
          <w:color w:val="auto"/>
        </w:rPr>
        <w:t>Applicable Rate.</w:t>
      </w:r>
    </w:p>
    <w:p>
      <w:pPr>
        <w:spacing w:after="0" w:line="181" w:lineRule="exact"/>
        <w:rPr>
          <w:sz w:val="20"/>
          <w:szCs w:val="20"/>
          <w:color w:val="auto"/>
        </w:rPr>
      </w:pPr>
    </w:p>
    <w:p>
      <w:pPr>
        <w:ind w:firstLine="819"/>
        <w:spacing w:after="0" w:line="286" w:lineRule="auto"/>
        <w:tabs>
          <w:tab w:leader="none" w:pos="1222"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Loans comprising each Eurodollar Borrowing shall bear interest at the Adjusted LIBO Rate for the Interest Period in effect for such Borrowing plus the Applicable Rate.</w:t>
      </w:r>
    </w:p>
    <w:p>
      <w:pPr>
        <w:spacing w:after="0" w:line="146" w:lineRule="exact"/>
        <w:rPr>
          <w:rFonts w:ascii="Arial" w:cs="Arial" w:eastAsia="Arial" w:hAnsi="Arial"/>
          <w:sz w:val="21"/>
          <w:szCs w:val="21"/>
          <w:color w:val="auto"/>
        </w:rPr>
      </w:pPr>
    </w:p>
    <w:p>
      <w:pPr>
        <w:jc w:val="both"/>
        <w:ind w:firstLine="819"/>
        <w:spacing w:after="0" w:line="283" w:lineRule="auto"/>
        <w:tabs>
          <w:tab w:leader="none" w:pos="1299"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or (ii) in the case of any other amount, 2.00% per annum plus the rate applicable to ABR Term Loans as provided in paragraph (a) of this Section;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amount shall be payable pursuant to this Section 2.11(c) to a Defaulting Lender so long as such Lender shall be a Defaulting Lender;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no amounts shall accrue pursuant to this Section 2.11(c) on any overdue amount, reimbursement obligation in</w:t>
      </w:r>
      <w:r>
        <w:rPr>
          <w:rFonts w:ascii="Arial" w:cs="Arial" w:eastAsia="Arial" w:hAnsi="Arial"/>
          <w:sz w:val="19"/>
          <w:szCs w:val="19"/>
          <w:i w:val="1"/>
          <w:iCs w:val="1"/>
          <w:color w:val="auto"/>
        </w:rPr>
        <w:t xml:space="preserve"> </w:t>
      </w:r>
      <w:r>
        <w:rPr>
          <w:rFonts w:ascii="Arial" w:cs="Arial" w:eastAsia="Arial" w:hAnsi="Arial"/>
          <w:sz w:val="19"/>
          <w:szCs w:val="19"/>
          <w:color w:val="auto"/>
        </w:rPr>
        <w:t>respect of any LC Disbursement or other amount payable to a Defaulting Lender so long as such Lender shall be a Defaulting Lender.</w:t>
      </w:r>
    </w:p>
    <w:p>
      <w:pPr>
        <w:spacing w:after="0" w:line="156" w:lineRule="exact"/>
        <w:rPr>
          <w:rFonts w:ascii="Arial" w:cs="Arial" w:eastAsia="Arial" w:hAnsi="Arial"/>
          <w:sz w:val="19"/>
          <w:szCs w:val="19"/>
          <w:color w:val="auto"/>
        </w:rPr>
      </w:pPr>
    </w:p>
    <w:p>
      <w:pPr>
        <w:jc w:val="both"/>
        <w:ind w:firstLine="819"/>
        <w:spacing w:after="0" w:line="287" w:lineRule="auto"/>
        <w:tabs>
          <w:tab w:leader="none" w:pos="1248"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interest accrued pursuant to paragraph (c)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51" w:lineRule="exact"/>
        <w:rPr>
          <w:rFonts w:ascii="Arial" w:cs="Arial" w:eastAsia="Arial" w:hAnsi="Arial"/>
          <w:sz w:val="19"/>
          <w:szCs w:val="19"/>
          <w:color w:val="auto"/>
        </w:rPr>
      </w:pPr>
    </w:p>
    <w:p>
      <w:pPr>
        <w:jc w:val="both"/>
        <w:ind w:firstLine="819"/>
        <w:spacing w:after="0" w:line="257" w:lineRule="auto"/>
        <w:tabs>
          <w:tab w:leader="none" w:pos="1233" w:val="left"/>
        </w:tabs>
        <w:numPr>
          <w:ilvl w:val="0"/>
          <w:numId w:val="82"/>
        </w:numPr>
        <w:rPr>
          <w:rFonts w:ascii="Arial" w:cs="Arial" w:eastAsia="Arial" w:hAnsi="Arial"/>
          <w:sz w:val="21"/>
          <w:szCs w:val="21"/>
          <w:color w:val="auto"/>
        </w:rPr>
      </w:pPr>
      <w:r>
        <w:rPr>
          <w:rFonts w:ascii="Arial" w:cs="Arial" w:eastAsia="Arial" w:hAnsi="Arial"/>
          <w:sz w:val="21"/>
          <w:szCs w:val="21"/>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77"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2.12.</w:t>
      </w:r>
      <w:r>
        <w:rPr>
          <w:sz w:val="20"/>
          <w:szCs w:val="20"/>
          <w:color w:val="auto"/>
        </w:rPr>
        <w:tab/>
      </w:r>
      <w:r>
        <w:rPr>
          <w:rFonts w:ascii="Arial" w:cs="Arial" w:eastAsia="Arial" w:hAnsi="Arial"/>
          <w:sz w:val="19"/>
          <w:szCs w:val="19"/>
          <w:i w:val="1"/>
          <w:iCs w:val="1"/>
          <w:color w:val="auto"/>
        </w:rPr>
        <w:t>Alternate Rate of Interest</w:t>
      </w:r>
      <w:r>
        <w:rPr>
          <w:rFonts w:ascii="Arial" w:cs="Arial" w:eastAsia="Arial" w:hAnsi="Arial"/>
          <w:sz w:val="17"/>
          <w:szCs w:val="17"/>
          <w:i w:val="1"/>
          <w:iCs w:val="1"/>
          <w:color w:val="auto"/>
        </w:rPr>
        <w:t>.</w:t>
      </w:r>
      <w:r>
        <w:rPr>
          <w:rFonts w:ascii="Arial" w:cs="Arial" w:eastAsia="Arial" w:hAnsi="Arial"/>
          <w:sz w:val="19"/>
          <w:szCs w:val="19"/>
          <w:i w:val="1"/>
          <w:iCs w:val="1"/>
          <w:color w:val="auto"/>
        </w:rPr>
        <w:t xml:space="preserve"> </w:t>
      </w:r>
      <w:r>
        <w:rPr>
          <w:rFonts w:ascii="Arial" w:cs="Arial" w:eastAsia="Arial" w:hAnsi="Arial"/>
          <w:sz w:val="17"/>
          <w:szCs w:val="17"/>
          <w:color w:val="auto"/>
        </w:rPr>
        <w:t>(a) If prior to the commencement of any Interest Period for a Eurodollar Borrowing:</w:t>
      </w:r>
    </w:p>
    <w:p>
      <w:pPr>
        <w:spacing w:after="0" w:line="231" w:lineRule="exact"/>
        <w:rPr>
          <w:sz w:val="20"/>
          <w:szCs w:val="20"/>
          <w:color w:val="auto"/>
        </w:rPr>
      </w:pPr>
    </w:p>
    <w:p>
      <w:pPr>
        <w:jc w:val="both"/>
        <w:ind w:left="640" w:firstLine="940"/>
        <w:spacing w:after="0" w:line="260" w:lineRule="auto"/>
        <w:tabs>
          <w:tab w:leader="none" w:pos="2102"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Administrative Agent determines (which determination shall be conclusive absent manifest error) that adequate and reasonable means do not exist for ascertaining the Adjusted LIBO Rate or the LIBO Rate, as applicable (including, without limitation, because the LIBO Screen Rate is not available or published on a current basis) for such Interest Period; or</w:t>
      </w:r>
    </w:p>
    <w:p>
      <w:pPr>
        <w:spacing w:after="0" w:line="174" w:lineRule="exact"/>
        <w:rPr>
          <w:rFonts w:ascii="Arial" w:cs="Arial" w:eastAsia="Arial" w:hAnsi="Arial"/>
          <w:sz w:val="21"/>
          <w:szCs w:val="21"/>
          <w:color w:val="auto"/>
        </w:rPr>
      </w:pPr>
    </w:p>
    <w:p>
      <w:pPr>
        <w:jc w:val="both"/>
        <w:ind w:left="640" w:firstLine="940"/>
        <w:spacing w:after="0" w:line="267" w:lineRule="auto"/>
        <w:tabs>
          <w:tab w:leader="none" w:pos="2016"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Administrative Agent is advised by the Required Lenders that the Adjusted LIBO Rate or the LIBO Rate, as applicable, for such Interest Period will not adequately and fairly reflect the cost to such Lenders of making or maintaining their Loans included in such Borrowing for such Interest Period;</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then the Administrative Agent shall give notice thereof to the Borrower and the Lenders by telephone or facsimile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(ii) if any Borrowing Request requests a Eurodollar Borrowing, then such Borrowing shall be made as an ABR Borrowing;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each case, the Borrower may revoke any Borrowing Request that is pending when such notice is received.</w:t>
      </w:r>
    </w:p>
    <w:p>
      <w:pPr>
        <w:spacing w:after="0" w:line="157" w:lineRule="exact"/>
        <w:rPr>
          <w:sz w:val="20"/>
          <w:szCs w:val="20"/>
          <w:color w:val="auto"/>
        </w:rPr>
      </w:pPr>
    </w:p>
    <w:p>
      <w:pPr>
        <w:ind w:left="1260" w:hanging="441"/>
        <w:spacing w:after="0"/>
        <w:tabs>
          <w:tab w:leader="none" w:pos="1260" w:val="left"/>
        </w:tabs>
        <w:numPr>
          <w:ilvl w:val="1"/>
          <w:numId w:val="84"/>
        </w:numPr>
        <w:rPr>
          <w:rFonts w:ascii="Arial" w:cs="Arial" w:eastAsia="Arial" w:hAnsi="Arial"/>
          <w:sz w:val="19"/>
          <w:szCs w:val="19"/>
          <w:color w:val="auto"/>
        </w:rPr>
      </w:pPr>
      <w:r>
        <w:rPr>
          <w:rFonts w:ascii="Arial" w:cs="Arial" w:eastAsia="Arial" w:hAnsi="Arial"/>
          <w:sz w:val="19"/>
          <w:szCs w:val="19"/>
          <w:color w:val="auto"/>
        </w:rPr>
        <w:t>If at any time the Administrative Agent determines (which determination shall be conclusive absent manifest error) that</w:t>
      </w:r>
    </w:p>
    <w:p>
      <w:pPr>
        <w:spacing w:after="0" w:line="48" w:lineRule="exact"/>
        <w:rPr>
          <w:rFonts w:ascii="Arial" w:cs="Arial" w:eastAsia="Arial" w:hAnsi="Arial"/>
          <w:sz w:val="19"/>
          <w:szCs w:val="19"/>
          <w:color w:val="auto"/>
        </w:rPr>
      </w:pPr>
    </w:p>
    <w:p>
      <w:pPr>
        <w:jc w:val="both"/>
        <w:ind w:firstLine="5"/>
        <w:spacing w:after="0" w:line="279" w:lineRule="auto"/>
        <w:tabs>
          <w:tab w:leader="none" w:pos="254"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circumstances set forth in clause (a)(i) have arisen and such circumstances are unlikely to be temporary or (ii) the circumstances set forth in clause (a)(i) have not arisen but the supervisor for the administrator of the LIBO Screen Rate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Section 9.02, such amendment shall become effective without any further action or consent of any other party to this</w:t>
      </w:r>
    </w:p>
    <w:p>
      <w:pPr>
        <w:sectPr>
          <w:pgSz w:w="11900" w:h="16901" w:orient="portrait"/>
          <w:cols w:equalWidth="0" w:num="1">
            <w:col w:w="11420"/>
          </w:cols>
          <w:pgMar w:left="240" w:top="131" w:right="239" w:bottom="0" w:gutter="0" w:footer="0" w:header="0"/>
        </w:sectPr>
      </w:pPr>
    </w:p>
    <w:bookmarkStart w:id="136" w:name="page137"/>
    <w:bookmarkEnd w:id="136"/>
    <w:p>
      <w:pPr>
        <w:jc w:val="both"/>
        <w:spacing w:after="0" w:line="251" w:lineRule="auto"/>
        <w:rPr>
          <w:sz w:val="20"/>
          <w:szCs w:val="20"/>
          <w:color w:val="auto"/>
        </w:rPr>
      </w:pPr>
      <w:r>
        <w:rPr>
          <w:rFonts w:ascii="Arial" w:cs="Arial" w:eastAsia="Arial" w:hAnsi="Arial"/>
          <w:sz w:val="21"/>
          <w:szCs w:val="21"/>
          <w:color w:val="auto"/>
        </w:rPr>
        <w:t xml:space="preserve">Agreement so long as the Administrative Agent shall not have received, within five Business Days after the date on which notice of such alternate rate of interest is provided to the Lenders, a written notice from the Majority in Interest of Lenders of each Class stating that such Majority in Interest of Lenders object to such amendment. Until an alternate rate of interest shall be determined in accordance with this clause (b) (but, in the case of the circumstances described in clause (ii) of the first sentence of this Section 2.12(b), only to the extent the LIBO Screen Rate for such Interest Period is not available or published at such time on a current basis), (x) any Interest Election Request that requests the conversion of any Borrowing to, or continuation of any Borrowing as, a Eurodollar Borrowing shall be ineffective and (y) if any Borrowing Request requests a Eurodollar Borrowing, then such Borrowing shall be made as an ABR Borrowing;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alternate rate of interest shall be less than zero, such rate shall be deemed to be zero for the purposes of this Agreement.</w:t>
      </w:r>
    </w:p>
    <w:p>
      <w:pPr>
        <w:spacing w:after="0" w:line="18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2.13.</w:t>
      </w:r>
      <w:r>
        <w:rPr>
          <w:sz w:val="20"/>
          <w:szCs w:val="20"/>
          <w:color w:val="auto"/>
        </w:rPr>
        <w:tab/>
      </w:r>
      <w:r>
        <w:rPr>
          <w:rFonts w:ascii="Arial" w:cs="Arial" w:eastAsia="Arial" w:hAnsi="Arial"/>
          <w:sz w:val="19"/>
          <w:szCs w:val="19"/>
          <w:i w:val="1"/>
          <w:iCs w:val="1"/>
          <w:color w:val="auto"/>
        </w:rPr>
        <w:t>Increased Costs</w:t>
      </w:r>
      <w:r>
        <w:rPr>
          <w:rFonts w:ascii="Arial" w:cs="Arial" w:eastAsia="Arial" w:hAnsi="Arial"/>
          <w:sz w:val="17"/>
          <w:szCs w:val="17"/>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(%3)</w:t>
      </w:r>
      <w:r>
        <w:rPr>
          <w:rFonts w:ascii="Arial" w:cs="Arial" w:eastAsia="Arial" w:hAnsi="Arial"/>
          <w:sz w:val="19"/>
          <w:szCs w:val="19"/>
          <w:i w:val="1"/>
          <w:iCs w:val="1"/>
          <w:color w:val="auto"/>
        </w:rPr>
        <w:t xml:space="preserve"> </w:t>
      </w:r>
      <w:r>
        <w:rPr>
          <w:rFonts w:ascii="Arial" w:cs="Arial" w:eastAsia="Arial" w:hAnsi="Arial"/>
          <w:sz w:val="17"/>
          <w:szCs w:val="17"/>
          <w:color w:val="auto"/>
        </w:rPr>
        <w:t>If any Change in Law shall:</w:t>
      </w:r>
    </w:p>
    <w:p>
      <w:pPr>
        <w:spacing w:after="0" w:line="231" w:lineRule="exact"/>
        <w:rPr>
          <w:sz w:val="20"/>
          <w:szCs w:val="20"/>
          <w:color w:val="auto"/>
        </w:rPr>
      </w:pPr>
    </w:p>
    <w:p>
      <w:pPr>
        <w:jc w:val="both"/>
        <w:ind w:left="640" w:firstLine="940"/>
        <w:spacing w:after="0" w:line="267" w:lineRule="auto"/>
        <w:tabs>
          <w:tab w:leader="none" w:pos="2010" w:val="left"/>
        </w:tabs>
        <w:numPr>
          <w:ilvl w:val="0"/>
          <w:numId w:val="86"/>
        </w:numPr>
        <w:rPr>
          <w:rFonts w:ascii="Arial" w:cs="Arial" w:eastAsia="Arial" w:hAnsi="Arial"/>
          <w:sz w:val="21"/>
          <w:szCs w:val="21"/>
          <w:color w:val="auto"/>
        </w:rPr>
      </w:pPr>
      <w:r>
        <w:rPr>
          <w:rFonts w:ascii="Arial" w:cs="Arial" w:eastAsia="Arial" w:hAnsi="Arial"/>
          <w:sz w:val="21"/>
          <w:szCs w:val="21"/>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or</w:t>
      </w:r>
    </w:p>
    <w:p>
      <w:pPr>
        <w:spacing w:after="0" w:line="165" w:lineRule="exact"/>
        <w:rPr>
          <w:rFonts w:ascii="Arial" w:cs="Arial" w:eastAsia="Arial" w:hAnsi="Arial"/>
          <w:sz w:val="21"/>
          <w:szCs w:val="21"/>
          <w:color w:val="auto"/>
        </w:rPr>
      </w:pPr>
    </w:p>
    <w:p>
      <w:pPr>
        <w:ind w:left="640" w:firstLine="940"/>
        <w:spacing w:after="0" w:line="341" w:lineRule="auto"/>
        <w:tabs>
          <w:tab w:leader="none" w:pos="2148" w:val="left"/>
        </w:tabs>
        <w:numPr>
          <w:ilvl w:val="0"/>
          <w:numId w:val="86"/>
        </w:numPr>
        <w:rPr>
          <w:rFonts w:ascii="Arial" w:cs="Arial" w:eastAsia="Arial" w:hAnsi="Arial"/>
          <w:sz w:val="19"/>
          <w:szCs w:val="19"/>
          <w:color w:val="auto"/>
        </w:rPr>
      </w:pPr>
      <w:r>
        <w:rPr>
          <w:rFonts w:ascii="Arial" w:cs="Arial" w:eastAsia="Arial" w:hAnsi="Arial"/>
          <w:sz w:val="19"/>
          <w:szCs w:val="19"/>
          <w:color w:val="auto"/>
        </w:rPr>
        <w:t>impose on any Lender or any Issuing Bank or the London interbank market any other condition, cost or expense affecting this Agreement or Eurodollar Loans made by such Lender or any Letter of Credit or participation therein;</w:t>
      </w:r>
    </w:p>
    <w:p>
      <w:pPr>
        <w:spacing w:after="0" w:line="9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Eurodollar Loan (or of maintaining its obligation to make any such Loan or to increase the cost of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Notwithstanding the foregoing, this paragraph will not apply to any such increased costs or reductions resulting from Taxes, as to which Section 2.15 shall govern.</w:t>
      </w:r>
    </w:p>
    <w:p>
      <w:pPr>
        <w:spacing w:after="0" w:line="161" w:lineRule="exact"/>
        <w:rPr>
          <w:sz w:val="20"/>
          <w:szCs w:val="20"/>
          <w:color w:val="auto"/>
        </w:rPr>
      </w:pPr>
    </w:p>
    <w:p>
      <w:pPr>
        <w:jc w:val="both"/>
        <w:ind w:firstLine="819"/>
        <w:spacing w:after="0" w:line="266" w:lineRule="auto"/>
        <w:tabs>
          <w:tab w:leader="none" w:pos="1338" w:val="left"/>
        </w:tabs>
        <w:numPr>
          <w:ilvl w:val="0"/>
          <w:numId w:val="87"/>
        </w:numPr>
        <w:rPr>
          <w:rFonts w:ascii="Arial" w:cs="Arial" w:eastAsia="Arial" w:hAnsi="Arial"/>
          <w:sz w:val="20"/>
          <w:szCs w:val="20"/>
          <w:color w:val="auto"/>
        </w:rPr>
      </w:pPr>
      <w:r>
        <w:rPr>
          <w:rFonts w:ascii="Arial" w:cs="Arial" w:eastAsia="Arial" w:hAnsi="Arial"/>
          <w:sz w:val="20"/>
          <w:szCs w:val="20"/>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73" w:lineRule="exact"/>
        <w:rPr>
          <w:rFonts w:ascii="Arial" w:cs="Arial" w:eastAsia="Arial" w:hAnsi="Arial"/>
          <w:sz w:val="20"/>
          <w:szCs w:val="20"/>
          <w:color w:val="auto"/>
        </w:rPr>
      </w:pPr>
    </w:p>
    <w:p>
      <w:pPr>
        <w:jc w:val="both"/>
        <w:ind w:firstLine="819"/>
        <w:spacing w:after="0" w:line="277" w:lineRule="auto"/>
        <w:tabs>
          <w:tab w:leader="none" w:pos="1222" w:val="left"/>
        </w:tabs>
        <w:numPr>
          <w:ilvl w:val="0"/>
          <w:numId w:val="87"/>
        </w:numPr>
        <w:rPr>
          <w:rFonts w:ascii="Arial" w:cs="Arial" w:eastAsia="Arial" w:hAnsi="Arial"/>
          <w:sz w:val="20"/>
          <w:szCs w:val="20"/>
          <w:color w:val="auto"/>
        </w:rPr>
      </w:pPr>
      <w:r>
        <w:rPr>
          <w:rFonts w:ascii="Arial" w:cs="Arial" w:eastAsia="Arial" w:hAnsi="Arial"/>
          <w:sz w:val="20"/>
          <w:szCs w:val="20"/>
          <w:color w:val="auto"/>
        </w:rPr>
        <w:t>A certificate of a Lender or an Issuing Bank setting forth the amount or amounts necessary to compensate such Lender or Issuing Bank or its holding company in reasonable detail, as the case may be, as specified in paragraph (a) or (b) of this Section delivered to the Borrower shall be conclusive absent manifest error. The Borrower shall pay such Lender or Issuing Bank, as the case may be, the amount shown as due on any such certificate within 15 days after receipt thereof.</w:t>
      </w:r>
    </w:p>
    <w:p>
      <w:pPr>
        <w:spacing w:after="0" w:line="158" w:lineRule="exact"/>
        <w:rPr>
          <w:rFonts w:ascii="Arial" w:cs="Arial" w:eastAsia="Arial" w:hAnsi="Arial"/>
          <w:sz w:val="20"/>
          <w:szCs w:val="20"/>
          <w:color w:val="auto"/>
        </w:rPr>
      </w:pPr>
    </w:p>
    <w:p>
      <w:pPr>
        <w:jc w:val="both"/>
        <w:ind w:firstLine="819"/>
        <w:spacing w:after="0" w:line="268" w:lineRule="auto"/>
        <w:tabs>
          <w:tab w:leader="none" w:pos="1286"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the Borrower shall not be required to compensate a Lender or Issuing Bank pursuant to this Section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further </w:t>
      </w:r>
      <w:r>
        <w:rPr>
          <w:rFonts w:ascii="Arial" w:cs="Arial" w:eastAsia="Arial" w:hAnsi="Arial"/>
          <w:sz w:val="20"/>
          <w:szCs w:val="20"/>
          <w:color w:val="auto"/>
        </w:rPr>
        <w:t>that, if the Change in Law giving rise to such increased costs or reductions is retroactive, then the 180-day period referred to</w:t>
      </w:r>
      <w:r>
        <w:rPr>
          <w:rFonts w:ascii="Arial" w:cs="Arial" w:eastAsia="Arial" w:hAnsi="Arial"/>
          <w:sz w:val="20"/>
          <w:szCs w:val="20"/>
          <w:i w:val="1"/>
          <w:iCs w:val="1"/>
          <w:color w:val="auto"/>
        </w:rPr>
        <w:t xml:space="preserve"> </w:t>
      </w:r>
      <w:r>
        <w:rPr>
          <w:rFonts w:ascii="Arial" w:cs="Arial" w:eastAsia="Arial" w:hAnsi="Arial"/>
          <w:sz w:val="20"/>
          <w:szCs w:val="20"/>
          <w:color w:val="auto"/>
        </w:rPr>
        <w:t>above shall be extended to include the period of retroactive effect thereof.</w:t>
      </w:r>
    </w:p>
    <w:p>
      <w:pPr>
        <w:spacing w:after="0" w:line="171" w:lineRule="exact"/>
        <w:rPr>
          <w:sz w:val="20"/>
          <w:szCs w:val="20"/>
          <w:color w:val="auto"/>
        </w:rPr>
      </w:pPr>
    </w:p>
    <w:p>
      <w:pPr>
        <w:jc w:val="both"/>
        <w:ind w:firstLine="630"/>
        <w:spacing w:after="0" w:line="304"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i w:val="1"/>
          <w:iCs w:val="1"/>
          <w:color w:val="auto"/>
        </w:rPr>
        <w:t>Break Funding Payments</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In the event of (a) the payment of any principal of any Eurodollar Loan other than on the last</w:t>
      </w:r>
      <w:r>
        <w:rPr>
          <w:rFonts w:ascii="Arial" w:cs="Arial" w:eastAsia="Arial" w:hAnsi="Arial"/>
          <w:sz w:val="19"/>
          <w:szCs w:val="19"/>
          <w:color w:val="auto"/>
        </w:rPr>
        <w:t xml:space="preserve"> </w:t>
      </w:r>
      <w:r>
        <w:rPr>
          <w:rFonts w:ascii="Arial" w:cs="Arial" w:eastAsia="Arial" w:hAnsi="Arial"/>
          <w:sz w:val="17"/>
          <w:szCs w:val="17"/>
          <w:color w:val="auto"/>
        </w:rPr>
        <w:t>day of an Interest Period applicable thereto (including as a result of an Event of Default), (b) the conversion of any Eurodollar Loan other than on the last day of the Interest Period applicable thereto, (c) the failure to borrow, convert, continue or prepay any Loan on the date specified in any notice delivered pursuant hereto (regardless of whether such notice may be revoked under Section 2.09(e) and is revoked in accordance therewith) or (d) the assignment of any Eurodollar Loan other than on the last day of the Interest Period applicable thereto as a result of a request by the Borrower pursuant to Section 2.17 or Section 9.02(c), then, in any such event, the Borrower shall, after receipt of a written request by any Lender affected by any such event (which request shall set forth in reasonable detail the basis for requesting such amount), compensate each Lender for the loss, cost and expense attributable to such event. In the case of a Eurodollar Loan, such loss, cost or expense to any Lender shall be deemed to be the amount determined by such Lender (it being understood that the deemed amount shall not exceed the actual amount) to be the excess, if any, of</w:t>
      </w:r>
    </w:p>
    <w:p>
      <w:pPr>
        <w:spacing w:after="0" w:line="4" w:lineRule="exact"/>
        <w:rPr>
          <w:sz w:val="20"/>
          <w:szCs w:val="20"/>
          <w:color w:val="auto"/>
        </w:rPr>
      </w:pPr>
    </w:p>
    <w:p>
      <w:pPr>
        <w:jc w:val="both"/>
        <w:ind w:firstLine="5"/>
        <w:spacing w:after="0" w:line="314" w:lineRule="auto"/>
        <w:tabs>
          <w:tab w:leader="none" w:pos="24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a Eurodollar Loan, for the period that would have been the Interest Period for such Loan), over (ii) the amount of interest that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any amount or amounts that such Lender is entitled to receive pursuant to this Section delivered to the Borrower shall be conclusive absent manifest error. The Borrower shall pay such Lender the amount shown as due on any such certificate within 15 days after receipt of such demand. Notwithstanding the foregoing, this Section 2.14 will not apply to losses, costs or expenses resulting from Taxes,</w:t>
      </w:r>
    </w:p>
    <w:p>
      <w:pPr>
        <w:sectPr>
          <w:pgSz w:w="11900" w:h="16838" w:orient="portrait"/>
          <w:cols w:equalWidth="0" w:num="1">
            <w:col w:w="11420"/>
          </w:cols>
          <w:pgMar w:left="240" w:top="131" w:right="239" w:bottom="0" w:gutter="0" w:footer="0" w:header="0"/>
        </w:sectPr>
      </w:pPr>
    </w:p>
    <w:bookmarkStart w:id="137" w:name="page138"/>
    <w:bookmarkEnd w:id="137"/>
    <w:p>
      <w:pPr>
        <w:jc w:val="both"/>
        <w:spacing w:after="0" w:line="303" w:lineRule="auto"/>
        <w:rPr>
          <w:sz w:val="20"/>
          <w:szCs w:val="20"/>
          <w:color w:val="auto"/>
        </w:rPr>
      </w:pPr>
      <w:r>
        <w:rPr>
          <w:rFonts w:ascii="Arial" w:cs="Arial" w:eastAsia="Arial" w:hAnsi="Arial"/>
          <w:sz w:val="19"/>
          <w:szCs w:val="19"/>
          <w:color w:val="auto"/>
        </w:rPr>
        <w:t xml:space="preserve">as to which Section 2.15 shall govern. Each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Consenting Lender waives the provisions of this Section 2.14 with respect to the prepayment and/or conversion of its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u w:val="single" w:color="auto"/>
          <w:color w:val="0000FF"/>
        </w:rPr>
        <w:t>B-1</w:t>
      </w:r>
      <w:r>
        <w:rPr>
          <w:rFonts w:ascii="Arial" w:cs="Arial" w:eastAsia="Arial" w:hAnsi="Arial"/>
          <w:sz w:val="19"/>
          <w:szCs w:val="19"/>
          <w:color w:val="auto"/>
        </w:rPr>
        <w:t xml:space="preserve"> Loans immediately following the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Effective Date.</w:t>
      </w:r>
    </w:p>
    <w:p>
      <w:pPr>
        <w:spacing w:after="0" w:line="152" w:lineRule="exact"/>
        <w:rPr>
          <w:sz w:val="20"/>
          <w:szCs w:val="20"/>
          <w:color w:val="auto"/>
        </w:rPr>
      </w:pPr>
    </w:p>
    <w:p>
      <w:pPr>
        <w:jc w:val="both"/>
        <w:ind w:firstLine="630"/>
        <w:spacing w:after="0" w:line="304"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i w:val="1"/>
          <w:iCs w:val="1"/>
          <w:color w:val="auto"/>
        </w:rPr>
        <w:t>Taxes</w:t>
      </w:r>
      <w:r>
        <w:rPr>
          <w:rFonts w:ascii="Arial" w:cs="Arial" w:eastAsia="Arial" w:hAnsi="Arial"/>
          <w:sz w:val="17"/>
          <w:szCs w:val="17"/>
          <w:color w:val="auto"/>
        </w:rPr>
        <w:t>.</w:t>
      </w:r>
      <w:r>
        <w:rPr>
          <w:rFonts w:ascii="Arial" w:cs="Arial" w:eastAsia="Arial" w:hAnsi="Arial"/>
          <w:sz w:val="19"/>
          <w:szCs w:val="19"/>
          <w:color w:val="auto"/>
        </w:rPr>
        <w:t xml:space="preserve"> (%3) </w:t>
      </w:r>
      <w:r>
        <w:rPr>
          <w:rFonts w:ascii="Arial" w:cs="Arial" w:eastAsia="Arial" w:hAnsi="Arial"/>
          <w:sz w:val="17"/>
          <w:szCs w:val="17"/>
          <w:color w:val="auto"/>
        </w:rPr>
        <w:t>Any and all payments by or on account of any obligation of any Loan Party under any Loan Document shall</w:t>
      </w:r>
      <w:r>
        <w:rPr>
          <w:rFonts w:ascii="Arial" w:cs="Arial" w:eastAsia="Arial" w:hAnsi="Arial"/>
          <w:sz w:val="19"/>
          <w:szCs w:val="19"/>
          <w:color w:val="auto"/>
        </w:rPr>
        <w:t xml:space="preserve"> </w:t>
      </w:r>
      <w:r>
        <w:rPr>
          <w:rFonts w:ascii="Arial" w:cs="Arial" w:eastAsia="Arial" w:hAnsi="Arial"/>
          <w:sz w:val="17"/>
          <w:szCs w:val="17"/>
          <w:color w:val="auto"/>
        </w:rPr>
        <w:t xml:space="preserve">be made free and clear of and without deduction for any Indemnified Taxes or Other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applicable withholding agent shall be required by applicable Requirements of Law (as determined in the good faith discretion of the applicable withholding agent) to deduct any Indemnified Taxes or Other Taxes from such payments, then (i) the amount payable by the applicable Loan Party shall be increased as necessary so that after all required deductions have been made (including deductions applicable to additional amounts payable under this Section) the applicable Lender (or, in the case of any amount received by the Administrative Agent for its own account, the Administrative Agent) receives an amount equal to the sum it would have received had no such deductions been made, (ii) the applicable withholding agent shall make such deductions and</w:t>
      </w:r>
    </w:p>
    <w:p>
      <w:pPr>
        <w:spacing w:after="0" w:line="1" w:lineRule="exact"/>
        <w:rPr>
          <w:sz w:val="20"/>
          <w:szCs w:val="20"/>
          <w:color w:val="auto"/>
        </w:rPr>
      </w:pPr>
    </w:p>
    <w:p>
      <w:pPr>
        <w:ind w:firstLine="5"/>
        <w:spacing w:after="0" w:line="303" w:lineRule="auto"/>
        <w:tabs>
          <w:tab w:leader="none" w:pos="375"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applicable withholding agent shall timely pay the full amount deducted to the relevant Governmental Authority in accordance with applicable Requirements of Law.</w:t>
      </w:r>
    </w:p>
    <w:p>
      <w:pPr>
        <w:spacing w:after="0" w:line="152" w:lineRule="exact"/>
        <w:rPr>
          <w:rFonts w:ascii="Arial" w:cs="Arial" w:eastAsia="Arial" w:hAnsi="Arial"/>
          <w:sz w:val="19"/>
          <w:szCs w:val="19"/>
          <w:color w:val="auto"/>
        </w:rPr>
      </w:pPr>
    </w:p>
    <w:p>
      <w:pPr>
        <w:ind w:firstLine="819"/>
        <w:spacing w:after="0" w:line="286" w:lineRule="auto"/>
        <w:tabs>
          <w:tab w:leader="none" w:pos="1274" w:val="left"/>
        </w:tabs>
        <w:numPr>
          <w:ilvl w:val="1"/>
          <w:numId w:val="89"/>
        </w:numPr>
        <w:rPr>
          <w:rFonts w:ascii="Arial" w:cs="Arial" w:eastAsia="Arial" w:hAnsi="Arial"/>
          <w:sz w:val="21"/>
          <w:szCs w:val="21"/>
          <w:color w:val="auto"/>
        </w:rPr>
      </w:pPr>
      <w:r>
        <w:rPr>
          <w:rFonts w:ascii="Arial" w:cs="Arial" w:eastAsia="Arial" w:hAnsi="Arial"/>
          <w:sz w:val="21"/>
          <w:szCs w:val="21"/>
          <w:color w:val="auto"/>
        </w:rPr>
        <w:t>Without limiting the provisions of paragraph (a) above, the Borrower shall timely pay any Other Taxes to the relevant Governmental Authority in accordance with Requirements of Law.</w:t>
      </w:r>
    </w:p>
    <w:p>
      <w:pPr>
        <w:spacing w:after="0" w:line="146" w:lineRule="exact"/>
        <w:rPr>
          <w:rFonts w:ascii="Arial" w:cs="Arial" w:eastAsia="Arial" w:hAnsi="Arial"/>
          <w:sz w:val="21"/>
          <w:szCs w:val="21"/>
          <w:color w:val="auto"/>
        </w:rPr>
      </w:pPr>
    </w:p>
    <w:p>
      <w:pPr>
        <w:jc w:val="both"/>
        <w:ind w:firstLine="819"/>
        <w:spacing w:after="0" w:line="267" w:lineRule="auto"/>
        <w:tabs>
          <w:tab w:leader="none" w:pos="1247"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Borrower shall indemnify the Administrative Agent and each Lender, within 30 days after written demand therefor, for the full amount of any Indemnified Taxes payable by the Administrative Agent or such Lender, as the case may be, on or with respect to any payment by or on account of any obligation of any Loan Party under any Loan Document and any Other Taxes (including Indemnified Taxes or Other Taxes imposed or asserted on or attributable to amounts payable under this Section)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spacing w:after="0" w:line="171" w:lineRule="exact"/>
        <w:rPr>
          <w:rFonts w:ascii="Arial" w:cs="Arial" w:eastAsia="Arial" w:hAnsi="Arial"/>
          <w:sz w:val="20"/>
          <w:szCs w:val="20"/>
          <w:color w:val="auto"/>
        </w:rPr>
      </w:pPr>
    </w:p>
    <w:p>
      <w:pPr>
        <w:jc w:val="both"/>
        <w:ind w:firstLine="819"/>
        <w:spacing w:after="0" w:line="260" w:lineRule="auto"/>
        <w:tabs>
          <w:tab w:leader="none" w:pos="1313" w:val="left"/>
        </w:tabs>
        <w:numPr>
          <w:ilvl w:val="1"/>
          <w:numId w:val="89"/>
        </w:numPr>
        <w:rPr>
          <w:rFonts w:ascii="Arial" w:cs="Arial" w:eastAsia="Arial" w:hAnsi="Arial"/>
          <w:sz w:val="21"/>
          <w:szCs w:val="21"/>
          <w:color w:val="auto"/>
        </w:rPr>
      </w:pPr>
      <w:r>
        <w:rPr>
          <w:rFonts w:ascii="Arial" w:cs="Arial" w:eastAsia="Arial" w:hAnsi="Arial"/>
          <w:sz w:val="21"/>
          <w:szCs w:val="21"/>
          <w:color w:val="auto"/>
        </w:rPr>
        <w:t>As soon as practicable after any payment of Indemnified Taxes or Other Taxes by a Loan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4" w:lineRule="exact"/>
        <w:rPr>
          <w:rFonts w:ascii="Arial" w:cs="Arial" w:eastAsia="Arial" w:hAnsi="Arial"/>
          <w:sz w:val="21"/>
          <w:szCs w:val="21"/>
          <w:color w:val="auto"/>
        </w:rPr>
      </w:pPr>
    </w:p>
    <w:p>
      <w:pPr>
        <w:jc w:val="both"/>
        <w:ind w:firstLine="819"/>
        <w:spacing w:after="0" w:line="264" w:lineRule="auto"/>
        <w:tabs>
          <w:tab w:leader="none" w:pos="1391" w:val="left"/>
        </w:tabs>
        <w:numPr>
          <w:ilvl w:val="1"/>
          <w:numId w:val="89"/>
        </w:numPr>
        <w:rPr>
          <w:rFonts w:ascii="Arial" w:cs="Arial" w:eastAsia="Arial" w:hAnsi="Arial"/>
          <w:sz w:val="20"/>
          <w:szCs w:val="20"/>
          <w:color w:val="auto"/>
        </w:rPr>
      </w:pPr>
      <w:r>
        <w:rPr>
          <w:rFonts w:ascii="Arial" w:cs="Arial" w:eastAsia="Arial" w:hAnsi="Arial"/>
          <w:sz w:val="20"/>
          <w:szCs w:val="20"/>
          <w:color w:val="auto"/>
        </w:rPr>
        <w:t>Each Lender shall, at such times as are reasonably requested by Borrower or the Administrative Agent, provide Borrower and the Administrative Agent with any properly completed and executed documentation prescribed by applicable Requirements of Law, or reasonably requested by Borrower or the Administrative Agent, certifying as to any entitlement of such Lender to an exemption from, or reduction in, any withholding Tax with respect to any payments to be made to such Lender under the Loan Documents (including, in the case of a Lender seeking exemption from the withholding imposed under FATCA, any documentation necessary to prevent such withholding). Each such Lender shall, whenever a lapse in time or change in circumstances renders such documentation expired, obsolete or inaccurate in any material respect, deliver promptly to Borrower and the Administrative Agent updated or other appropriate documentation (including any new documentation reasonably requested by the applicable withholding agent) or promptly notify Borrower and the Administrative Agent of its inability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Borrower, Administrative Agent or other applicable withholding agent shall withhold amounts required to be withheld by applicable Requirements of Law from such payments at the applicable statutory rate.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Without limiting the generality of the foregoing:</w:t>
      </w:r>
    </w:p>
    <w:p>
      <w:pPr>
        <w:spacing w:after="0" w:line="223" w:lineRule="exact"/>
        <w:rPr>
          <w:sz w:val="20"/>
          <w:szCs w:val="20"/>
          <w:color w:val="auto"/>
        </w:rPr>
      </w:pPr>
    </w:p>
    <w:p>
      <w:pPr>
        <w:jc w:val="both"/>
        <w:ind w:left="640" w:firstLine="940"/>
        <w:spacing w:after="0" w:line="260" w:lineRule="auto"/>
        <w:tabs>
          <w:tab w:leader="none" w:pos="2050" w:val="left"/>
        </w:tabs>
        <w:numPr>
          <w:ilvl w:val="0"/>
          <w:numId w:val="90"/>
        </w:numPr>
        <w:rPr>
          <w:rFonts w:ascii="Arial" w:cs="Arial" w:eastAsia="Arial" w:hAnsi="Arial"/>
          <w:sz w:val="21"/>
          <w:szCs w:val="21"/>
          <w:color w:val="auto"/>
        </w:rPr>
      </w:pPr>
      <w:r>
        <w:rPr>
          <w:rFonts w:ascii="Arial" w:cs="Arial" w:eastAsia="Arial" w:hAnsi="Arial"/>
          <w:sz w:val="21"/>
          <w:szCs w:val="21"/>
          <w:color w:val="auto"/>
        </w:rPr>
        <w:t>Each Lender that is a United States person (as defined in Section 7701(a)(30) of the Code) shall deliver to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74" w:lineRule="exact"/>
        <w:rPr>
          <w:rFonts w:ascii="Arial" w:cs="Arial" w:eastAsia="Arial" w:hAnsi="Arial"/>
          <w:sz w:val="21"/>
          <w:szCs w:val="21"/>
          <w:color w:val="auto"/>
        </w:rPr>
      </w:pPr>
    </w:p>
    <w:p>
      <w:pPr>
        <w:jc w:val="both"/>
        <w:ind w:left="640" w:firstLine="940"/>
        <w:spacing w:after="0" w:line="260" w:lineRule="auto"/>
        <w:tabs>
          <w:tab w:leader="none" w:pos="2043" w:val="left"/>
        </w:tabs>
        <w:numPr>
          <w:ilvl w:val="0"/>
          <w:numId w:val="90"/>
        </w:numPr>
        <w:rPr>
          <w:rFonts w:ascii="Arial" w:cs="Arial" w:eastAsia="Arial" w:hAnsi="Arial"/>
          <w:sz w:val="21"/>
          <w:szCs w:val="21"/>
          <w:color w:val="auto"/>
        </w:rPr>
      </w:pPr>
      <w:r>
        <w:rPr>
          <w:rFonts w:ascii="Arial" w:cs="Arial" w:eastAsia="Arial" w:hAnsi="Arial"/>
          <w:sz w:val="21"/>
          <w:szCs w:val="21"/>
          <w:color w:val="auto"/>
        </w:rPr>
        <w:t>Each Lender that is not a United States person (as defined in Section 7701(a)(30) of the Code) shall deliver to Borrower and the Administrative Agent on or before the date on which it becomes a party to this Agreement (and from time to time thereafter when required by any Requirements of Law or upon the reasonable request of Borrower or the Administrative Agent) whichever of the following is applicable:</w:t>
      </w:r>
    </w:p>
    <w:p>
      <w:pPr>
        <w:spacing w:after="0" w:line="174" w:lineRule="exact"/>
        <w:rPr>
          <w:rFonts w:ascii="Arial" w:cs="Arial" w:eastAsia="Arial" w:hAnsi="Arial"/>
          <w:sz w:val="21"/>
          <w:szCs w:val="21"/>
          <w:color w:val="auto"/>
        </w:rPr>
      </w:pPr>
    </w:p>
    <w:p>
      <w:pPr>
        <w:jc w:val="both"/>
        <w:ind w:left="1340" w:firstLine="1001"/>
        <w:spacing w:after="0" w:line="267" w:lineRule="auto"/>
        <w:tabs>
          <w:tab w:leader="none" w:pos="2974" w:val="left"/>
        </w:tabs>
        <w:numPr>
          <w:ilvl w:val="1"/>
          <w:numId w:val="90"/>
        </w:numPr>
        <w:rPr>
          <w:rFonts w:ascii="Arial" w:cs="Arial" w:eastAsia="Arial" w:hAnsi="Arial"/>
          <w:sz w:val="21"/>
          <w:szCs w:val="21"/>
          <w:color w:val="auto"/>
        </w:rPr>
      </w:pPr>
      <w:r>
        <w:rPr>
          <w:rFonts w:ascii="Arial" w:cs="Arial" w:eastAsia="Arial" w:hAnsi="Arial"/>
          <w:sz w:val="21"/>
          <w:szCs w:val="21"/>
          <w:color w:val="auto"/>
        </w:rPr>
        <w:t>two duly completed copies of Internal Revenue Service Form W-8BEN or W-8BEN-E (or any successor forms) claiming eligibility for benefits of an income tax treaty to which the United States of America is a party,</w:t>
      </w:r>
    </w:p>
    <w:p>
      <w:pPr>
        <w:spacing w:after="0" w:line="165" w:lineRule="exact"/>
        <w:rPr>
          <w:rFonts w:ascii="Arial" w:cs="Arial" w:eastAsia="Arial" w:hAnsi="Arial"/>
          <w:sz w:val="21"/>
          <w:szCs w:val="21"/>
          <w:color w:val="auto"/>
        </w:rPr>
      </w:pPr>
    </w:p>
    <w:p>
      <w:pPr>
        <w:ind w:left="2800" w:hanging="459"/>
        <w:spacing w:after="0"/>
        <w:tabs>
          <w:tab w:leader="none" w:pos="280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two duly completed copies of Internal Revenue Service Form W-8ECI (or any successor forms),</w:t>
      </w:r>
    </w:p>
    <w:p>
      <w:pPr>
        <w:spacing w:after="0" w:line="242" w:lineRule="exact"/>
        <w:rPr>
          <w:rFonts w:ascii="Arial" w:cs="Arial" w:eastAsia="Arial" w:hAnsi="Arial"/>
          <w:sz w:val="20"/>
          <w:szCs w:val="20"/>
          <w:color w:val="auto"/>
        </w:rPr>
      </w:pPr>
    </w:p>
    <w:p>
      <w:pPr>
        <w:jc w:val="both"/>
        <w:ind w:left="1340" w:firstLine="1001"/>
        <w:spacing w:after="0" w:line="290" w:lineRule="auto"/>
        <w:tabs>
          <w:tab w:leader="none" w:pos="2897" w:val="left"/>
        </w:tabs>
        <w:numPr>
          <w:ilvl w:val="1"/>
          <w:numId w:val="90"/>
        </w:numPr>
        <w:rPr>
          <w:rFonts w:ascii="Arial" w:cs="Arial" w:eastAsia="Arial" w:hAnsi="Arial"/>
          <w:sz w:val="19"/>
          <w:szCs w:val="19"/>
          <w:color w:val="auto"/>
        </w:rPr>
      </w:pPr>
      <w:r>
        <w:rPr>
          <w:rFonts w:ascii="Arial" w:cs="Arial" w:eastAsia="Arial" w:hAnsi="Arial"/>
          <w:sz w:val="19"/>
          <w:szCs w:val="19"/>
          <w:color w:val="auto"/>
        </w:rPr>
        <w:t>in the case of a Lender claiming the benefits of the exemption for portfolio interest under Section 881(c) of the Code, (x) a certificate, in substantially the form of Exhibit P (any such certificate a “</w:t>
      </w:r>
      <w:r>
        <w:rPr>
          <w:rFonts w:ascii="Arial" w:cs="Arial" w:eastAsia="Arial" w:hAnsi="Arial"/>
          <w:sz w:val="19"/>
          <w:szCs w:val="19"/>
          <w:b w:val="1"/>
          <w:bCs w:val="1"/>
          <w:color w:val="auto"/>
        </w:rPr>
        <w:t>United States Tax</w:t>
      </w:r>
      <w:r>
        <w:rPr>
          <w:rFonts w:ascii="Arial" w:cs="Arial" w:eastAsia="Arial" w:hAnsi="Arial"/>
          <w:sz w:val="19"/>
          <w:szCs w:val="19"/>
          <w:color w:val="auto"/>
        </w:rPr>
        <w:t xml:space="preserve"> </w:t>
      </w:r>
      <w:r>
        <w:rPr>
          <w:rFonts w:ascii="Arial" w:cs="Arial" w:eastAsia="Arial" w:hAnsi="Arial"/>
          <w:sz w:val="19"/>
          <w:szCs w:val="19"/>
          <w:b w:val="1"/>
          <w:bCs w:val="1"/>
          <w:color w:val="auto"/>
        </w:rPr>
        <w:t>Compliance Certificate</w:t>
      </w:r>
      <w:r>
        <w:rPr>
          <w:rFonts w:ascii="Arial" w:cs="Arial" w:eastAsia="Arial" w:hAnsi="Arial"/>
          <w:sz w:val="19"/>
          <w:szCs w:val="19"/>
          <w:color w:val="auto"/>
        </w:rPr>
        <w:t>”), or any other form approved by the Administrative Agent, to the effect that such Lender is</w:t>
      </w:r>
      <w:r>
        <w:rPr>
          <w:rFonts w:ascii="Arial" w:cs="Arial" w:eastAsia="Arial" w:hAnsi="Arial"/>
          <w:sz w:val="19"/>
          <w:szCs w:val="19"/>
          <w:b w:val="1"/>
          <w:bCs w:val="1"/>
          <w:color w:val="auto"/>
        </w:rPr>
        <w:t xml:space="preserve"> </w:t>
      </w:r>
      <w:r>
        <w:rPr>
          <w:rFonts w:ascii="Arial" w:cs="Arial" w:eastAsia="Arial" w:hAnsi="Arial"/>
          <w:sz w:val="19"/>
          <w:szCs w:val="19"/>
          <w:color w:val="auto"/>
        </w:rPr>
        <w:t>not (1) a “bank” within the meaning of Section 881(c)(3)(A) of the Code, (2) a “10 percent shareholder” of a Borrower within the meaning of Section 881(c)(3)(B) of the Code, or (3) a “controlled foreign corporation” described in Section</w:t>
      </w:r>
    </w:p>
    <w:p>
      <w:pPr>
        <w:sectPr>
          <w:pgSz w:w="11900" w:h="16838" w:orient="portrait"/>
          <w:cols w:equalWidth="0" w:num="1">
            <w:col w:w="11420"/>
          </w:cols>
          <w:pgMar w:left="240" w:top="136" w:right="239" w:bottom="0" w:gutter="0" w:footer="0" w:header="0"/>
        </w:sectPr>
      </w:pPr>
    </w:p>
    <w:bookmarkStart w:id="138" w:name="page139"/>
    <w:bookmarkEnd w:id="138"/>
    <w:p>
      <w:pPr>
        <w:jc w:val="both"/>
        <w:ind w:left="1340"/>
        <w:spacing w:after="0" w:line="260" w:lineRule="auto"/>
        <w:rPr>
          <w:sz w:val="20"/>
          <w:szCs w:val="20"/>
          <w:color w:val="auto"/>
        </w:rPr>
      </w:pPr>
      <w:r>
        <w:rPr>
          <w:rFonts w:ascii="Arial" w:cs="Arial" w:eastAsia="Arial" w:hAnsi="Arial"/>
          <w:sz w:val="21"/>
          <w:szCs w:val="21"/>
          <w:color w:val="auto"/>
        </w:rPr>
        <w:t>881(c)(3)(C) of the Code, and that no payments in connection with the Loan Documents are effectively connected with such Lender’s conduct of a U.S. trade or business and (y) two duly completed copies of Internal Revenue Service Form W-8BEN-E (or any successor forms),</w:t>
      </w:r>
    </w:p>
    <w:p>
      <w:pPr>
        <w:spacing w:after="0" w:line="173" w:lineRule="exact"/>
        <w:rPr>
          <w:sz w:val="20"/>
          <w:szCs w:val="20"/>
          <w:color w:val="auto"/>
        </w:rPr>
      </w:pPr>
    </w:p>
    <w:p>
      <w:pPr>
        <w:jc w:val="both"/>
        <w:ind w:left="1340" w:firstLine="1001"/>
        <w:spacing w:after="0" w:line="285" w:lineRule="auto"/>
        <w:tabs>
          <w:tab w:leader="none" w:pos="2843" w:val="left"/>
        </w:tabs>
        <w:numPr>
          <w:ilvl w:val="0"/>
          <w:numId w:val="91"/>
        </w:numPr>
        <w:rPr>
          <w:rFonts w:ascii="Arial" w:cs="Arial" w:eastAsia="Arial" w:hAnsi="Arial"/>
          <w:sz w:val="19"/>
          <w:szCs w:val="19"/>
          <w:color w:val="auto"/>
        </w:rPr>
      </w:pPr>
      <w:r>
        <w:rPr>
          <w:rFonts w:ascii="Arial" w:cs="Arial" w:eastAsia="Arial" w:hAnsi="Arial"/>
          <w:sz w:val="19"/>
          <w:szCs w:val="19"/>
          <w:color w:val="auto"/>
        </w:rPr>
        <w:t>to the extent a Lender is not the beneficial owner (for example, where the Lender is a partnership, or is a Participant holding a participation granted by a participating Lender),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Lender is a partnership (and not a participating Lender) and one or more beneficial owners are claiming the portfolio interest exemption, the United States Tax Compliance Certificate shall be provided by such Lender on behalf of such beneficial owner(s)), or</w:t>
      </w:r>
    </w:p>
    <w:p>
      <w:pPr>
        <w:spacing w:after="0" w:line="152" w:lineRule="exact"/>
        <w:rPr>
          <w:rFonts w:ascii="Arial" w:cs="Arial" w:eastAsia="Arial" w:hAnsi="Arial"/>
          <w:sz w:val="19"/>
          <w:szCs w:val="19"/>
          <w:color w:val="auto"/>
        </w:rPr>
      </w:pPr>
    </w:p>
    <w:p>
      <w:pPr>
        <w:jc w:val="both"/>
        <w:ind w:left="1340" w:firstLine="1001"/>
        <w:spacing w:after="0" w:line="260" w:lineRule="auto"/>
        <w:tabs>
          <w:tab w:leader="none" w:pos="2807" w:val="left"/>
        </w:tabs>
        <w:numPr>
          <w:ilvl w:val="0"/>
          <w:numId w:val="91"/>
        </w:numPr>
        <w:rPr>
          <w:rFonts w:ascii="Arial" w:cs="Arial" w:eastAsia="Arial" w:hAnsi="Arial"/>
          <w:sz w:val="21"/>
          <w:szCs w:val="21"/>
          <w:color w:val="auto"/>
        </w:rPr>
      </w:pPr>
      <w:r>
        <w:rPr>
          <w:rFonts w:ascii="Arial" w:cs="Arial" w:eastAsia="Arial" w:hAnsi="Arial"/>
          <w:sz w:val="21"/>
          <w:szCs w:val="21"/>
          <w:color w:val="auto"/>
        </w:rPr>
        <w:t>any other form prescribed by applicable Requirements of Law as a basis for claiming exemption from or a reduction in U.S. federal withholding tax duly completed together with such supplementary documentation as may be prescribed by applicable Requirements of Law to permit Borrower and the Administrative Agent to determine the withholding or deduction required to be made.</w:t>
      </w:r>
    </w:p>
    <w:p>
      <w:pPr>
        <w:spacing w:after="0" w:line="166" w:lineRule="exact"/>
        <w:rPr>
          <w:sz w:val="20"/>
          <w:szCs w:val="20"/>
          <w:color w:val="auto"/>
        </w:rPr>
      </w:pPr>
    </w:p>
    <w:p>
      <w:pPr>
        <w:jc w:val="both"/>
        <w:ind w:firstLine="630"/>
        <w:spacing w:after="0" w:line="286" w:lineRule="auto"/>
        <w:rPr>
          <w:sz w:val="20"/>
          <w:szCs w:val="20"/>
          <w:color w:val="auto"/>
        </w:rPr>
      </w:pPr>
      <w:r>
        <w:rPr>
          <w:rFonts w:ascii="Arial" w:cs="Arial" w:eastAsia="Arial" w:hAnsi="Arial"/>
          <w:sz w:val="17"/>
          <w:szCs w:val="17"/>
          <w:color w:val="auto"/>
        </w:rPr>
        <w:t>Each Lender shall, from time to time after the initial delivery by such Lender of the forms described above, whenever a lapse in time or change in such Lender’s circumstances renders such forms, certificates or other evidence so delivered expired, obsolete or inaccurate, promptly (1) deliver to the Borrower and the Administrative Agent (in such number of copies as shall be requested by the recipient) renewals, amendments or additional or successor forms, properly completed and duly executed by such Lender, together with any other certificate or statement of exemption required in order to confirm or establish such Lender’s status or that such Lender is entitled to an exemption from or reduction in U.S. federal withholding tax or (2) notify Administrative Agent and Borrower of its inability to deliver any such forms, certificates or other evidence.</w:t>
      </w:r>
    </w:p>
    <w:p>
      <w:pPr>
        <w:spacing w:after="0" w:line="151"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Notwithstanding any other provision of this clause (e), a Lender shall not be required to deliver any form that such Lender is not legally eligible to deliver.</w:t>
      </w:r>
    </w:p>
    <w:p>
      <w:pPr>
        <w:spacing w:after="0" w:line="157"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Each Lender hereby authorizes the Administrative Agent to deliver to the Loan Parties and to any successor Administrative Agent any documentation provided by such Lender to the Administrative Agent pursuant to this clause (e).</w:t>
      </w:r>
    </w:p>
    <w:p>
      <w:pPr>
        <w:spacing w:after="0" w:line="166" w:lineRule="exact"/>
        <w:rPr>
          <w:sz w:val="20"/>
          <w:szCs w:val="20"/>
          <w:color w:val="auto"/>
        </w:rPr>
      </w:pPr>
    </w:p>
    <w:p>
      <w:pPr>
        <w:jc w:val="both"/>
        <w:ind w:firstLine="819"/>
        <w:spacing w:after="0" w:line="277" w:lineRule="auto"/>
        <w:tabs>
          <w:tab w:leader="none" w:pos="1222"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If the Borrower determines in good faith that a reasonable basis exists for contesting any taxes for which indemnification has been demanded hereunder, the Administrative Agent or the relevant Lender, as applicable, shall cooperate with the Borrower in a reasonable challenge of such taxes if so requested by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Administrative Agent or such Lender determines in its reasonable discretion that it would not be prejudiced by cooperating in such challenge, (b) the Borrower pays all related expenses of the Administrative Agent or such Lender, as applicable and (c) the Borrower indemnifies the Administrative Agent or such Lender, as applicable, for any liabilities or other costs incurred by such party in connection with such challenge. The Administrative Agent or a Lender shall claim any refund that it determines is reasonably available to it, unless it concludes in its reasonable discretion that it would be adversely affected by making such a claim. 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Section, it shall pay over such refund to the Borrower (but only to the extent of indemnity payments made, or additional amounts paid, by the Borrower under this Section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Borrower, upon the request of the Administrative Agent or such Lender, agrees promptly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Administrative Agent or such Lender may delete any information therein that the Administrative Agent or such Lender deems confidential). Notwithstanding anything to the contrary, this Section shall not be construed to require the Administrative Agent or any Lender to make available its tax returns (or any other information relating to taxes which it deems confidential).</w:t>
      </w:r>
    </w:p>
    <w:p>
      <w:pPr>
        <w:spacing w:after="0" w:line="161" w:lineRule="exact"/>
        <w:rPr>
          <w:rFonts w:ascii="Arial" w:cs="Arial" w:eastAsia="Arial" w:hAnsi="Arial"/>
          <w:sz w:val="19"/>
          <w:szCs w:val="19"/>
          <w:color w:val="auto"/>
        </w:rPr>
      </w:pPr>
    </w:p>
    <w:p>
      <w:pPr>
        <w:ind w:firstLine="819"/>
        <w:spacing w:after="0" w:line="286" w:lineRule="auto"/>
        <w:tabs>
          <w:tab w:leader="none" w:pos="1198"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agreements in this Section 2.15 shall survive the termination of this Agreement and the payment of the Loans and all other amounts payable hereunder.</w:t>
      </w:r>
    </w:p>
    <w:p>
      <w:pPr>
        <w:spacing w:after="0" w:line="146" w:lineRule="exact"/>
        <w:rPr>
          <w:rFonts w:ascii="Arial" w:cs="Arial" w:eastAsia="Arial" w:hAnsi="Arial"/>
          <w:sz w:val="21"/>
          <w:szCs w:val="21"/>
          <w:color w:val="auto"/>
        </w:rPr>
      </w:pPr>
    </w:p>
    <w:p>
      <w:pPr>
        <w:ind w:left="1240" w:hanging="421"/>
        <w:spacing w:after="0"/>
        <w:tabs>
          <w:tab w:leader="none" w:pos="1240" w:val="left"/>
        </w:tabs>
        <w:numPr>
          <w:ilvl w:val="0"/>
          <w:numId w:val="92"/>
        </w:numPr>
        <w:rPr>
          <w:rFonts w:ascii="Arial" w:cs="Arial" w:eastAsia="Arial" w:hAnsi="Arial"/>
          <w:sz w:val="21"/>
          <w:szCs w:val="21"/>
          <w:color w:val="auto"/>
        </w:rPr>
      </w:pPr>
      <w:r>
        <w:rPr>
          <w:rFonts w:ascii="Arial" w:cs="Arial" w:eastAsia="Arial" w:hAnsi="Arial"/>
          <w:sz w:val="21"/>
          <w:szCs w:val="21"/>
          <w:color w:val="auto"/>
        </w:rPr>
        <w:t>For purposes of this Section 2.15, the term “Lender” shall include any Issuing Bank.</w:t>
      </w:r>
    </w:p>
    <w:p>
      <w:pPr>
        <w:spacing w:after="0" w:line="230" w:lineRule="exact"/>
        <w:rPr>
          <w:rFonts w:ascii="Arial" w:cs="Arial" w:eastAsia="Arial" w:hAnsi="Arial"/>
          <w:sz w:val="21"/>
          <w:szCs w:val="21"/>
          <w:color w:val="auto"/>
        </w:rPr>
      </w:pPr>
    </w:p>
    <w:p>
      <w:pPr>
        <w:jc w:val="both"/>
        <w:ind w:firstLine="819"/>
        <w:spacing w:after="0" w:line="260" w:lineRule="auto"/>
        <w:tabs>
          <w:tab w:leader="none" w:pos="1312" w:val="left"/>
        </w:tabs>
        <w:numPr>
          <w:ilvl w:val="0"/>
          <w:numId w:val="92"/>
        </w:numPr>
        <w:rPr>
          <w:rFonts w:ascii="Arial" w:cs="Arial" w:eastAsia="Arial" w:hAnsi="Arial"/>
          <w:sz w:val="21"/>
          <w:szCs w:val="21"/>
          <w:color w:val="auto"/>
        </w:rPr>
      </w:pPr>
      <w:r>
        <w:rPr>
          <w:rFonts w:ascii="Arial" w:cs="Arial" w:eastAsia="Arial" w:hAnsi="Arial"/>
          <w:sz w:val="21"/>
          <w:szCs w:val="21"/>
          <w:color w:val="auto"/>
        </w:rPr>
        <w:t>For purposes of FATCA, from and after the Restatement Effective Date, the Borrower and the Administrative Agent shall continue to treat (and the Lenders hereby authorize the Administrative Agent to continue to treat) this Agreement and the Loans (including, following the Escrow Assumption, the Escrow Term Loans) as not qualifying as “grandfathered obligations” within the meaning of Treasury Regulation Section 1.1474-2(b)(i).</w:t>
      </w:r>
    </w:p>
    <w:p>
      <w:pPr>
        <w:spacing w:after="0" w:line="174" w:lineRule="exact"/>
        <w:rPr>
          <w:sz w:val="20"/>
          <w:szCs w:val="20"/>
          <w:color w:val="auto"/>
        </w:rPr>
      </w:pPr>
    </w:p>
    <w:p>
      <w:pPr>
        <w:jc w:val="both"/>
        <w:ind w:firstLine="630"/>
        <w:spacing w:after="0" w:line="317"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i w:val="1"/>
          <w:iCs w:val="1"/>
          <w:color w:val="auto"/>
        </w:rPr>
        <w:t>Payments Generally; Pro Rata Treatment; Sharing of Setoffs</w:t>
      </w:r>
      <w:r>
        <w:rPr>
          <w:rFonts w:ascii="Arial" w:cs="Arial" w:eastAsia="Arial" w:hAnsi="Arial"/>
          <w:sz w:val="17"/>
          <w:szCs w:val="17"/>
          <w:color w:val="auto"/>
        </w:rPr>
        <w:t>.</w:t>
      </w:r>
      <w:r>
        <w:rPr>
          <w:rFonts w:ascii="Arial" w:cs="Arial" w:eastAsia="Arial" w:hAnsi="Arial"/>
          <w:sz w:val="19"/>
          <w:szCs w:val="19"/>
          <w:color w:val="auto"/>
        </w:rPr>
        <w:t xml:space="preserve"> (%3) </w:t>
      </w:r>
      <w:r>
        <w:rPr>
          <w:rFonts w:ascii="Arial" w:cs="Arial" w:eastAsia="Arial" w:hAnsi="Arial"/>
          <w:sz w:val="17"/>
          <w:szCs w:val="17"/>
          <w:color w:val="auto"/>
        </w:rPr>
        <w:t>The Borrower shall make each payment required</w:t>
      </w:r>
      <w:r>
        <w:rPr>
          <w:rFonts w:ascii="Arial" w:cs="Arial" w:eastAsia="Arial" w:hAnsi="Arial"/>
          <w:sz w:val="19"/>
          <w:szCs w:val="19"/>
          <w:color w:val="auto"/>
        </w:rPr>
        <w:t xml:space="preserve"> </w:t>
      </w:r>
      <w:r>
        <w:rPr>
          <w:rFonts w:ascii="Arial" w:cs="Arial" w:eastAsia="Arial" w:hAnsi="Arial"/>
          <w:sz w:val="17"/>
          <w:szCs w:val="17"/>
          <w:color w:val="auto"/>
        </w:rPr>
        <w:t>to be made by it under any Loan Document (whether of principal, interest, fees or reimbursement of LC Disbursements, or of amounts payable under Section 2.13, 2.14 or 2.15, or otherwise) prior to the time expressly required hereunder or under such other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w:t>
      </w:r>
    </w:p>
    <w:p>
      <w:pPr>
        <w:sectPr>
          <w:pgSz w:w="11900" w:h="16838" w:orient="portrait"/>
          <w:cols w:equalWidth="0" w:num="1">
            <w:col w:w="11420"/>
          </w:cols>
          <w:pgMar w:left="240" w:top="131" w:right="239" w:bottom="0" w:gutter="0" w:footer="0" w:header="0"/>
        </w:sectPr>
      </w:pPr>
    </w:p>
    <w:bookmarkStart w:id="139" w:name="page140"/>
    <w:bookmarkEnd w:id="139"/>
    <w:p>
      <w:pPr>
        <w:spacing w:after="0" w:line="13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shall be made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Eurodollar Loans) under any Loan Document shall be due on a day that is not a Business Day, the date for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under each Loan Document shall be made in dollars.</w:t>
      </w:r>
    </w:p>
    <w:p>
      <w:pPr>
        <w:spacing w:after="0" w:line="153" w:lineRule="exact"/>
        <w:rPr>
          <w:sz w:val="20"/>
          <w:szCs w:val="20"/>
          <w:color w:val="auto"/>
        </w:rPr>
      </w:pPr>
    </w:p>
    <w:p>
      <w:pPr>
        <w:jc w:val="both"/>
        <w:ind w:firstLine="819"/>
        <w:spacing w:after="0" w:line="310" w:lineRule="auto"/>
        <w:tabs>
          <w:tab w:leader="none" w:pos="1274"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If at any time insufficient funds are received by and available to the Administrative Agent to pay fully all amounts of principal, unreimbursed LC Disbursements, interest and fees then due hereunder, such funds shall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towards payment of interest and fees then due hereunder, ratably among the parties entitled thereto in accordance with the amounts of interest and fees then due to such parties, and </w:t>
      </w:r>
      <w:r>
        <w:rPr>
          <w:rFonts w:ascii="Arial" w:cs="Arial" w:eastAsia="Arial" w:hAnsi="Arial"/>
          <w:sz w:val="18"/>
          <w:szCs w:val="18"/>
          <w:i w:val="1"/>
          <w:iCs w:val="1"/>
          <w:color w:val="auto"/>
        </w:rPr>
        <w:t>second</w:t>
      </w:r>
      <w:r>
        <w:rPr>
          <w:rFonts w:ascii="Arial" w:cs="Arial" w:eastAsia="Arial" w:hAnsi="Arial"/>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33" w:lineRule="exact"/>
        <w:rPr>
          <w:rFonts w:ascii="Arial" w:cs="Arial" w:eastAsia="Arial" w:hAnsi="Arial"/>
          <w:sz w:val="18"/>
          <w:szCs w:val="18"/>
          <w:color w:val="auto"/>
        </w:rPr>
      </w:pPr>
    </w:p>
    <w:p>
      <w:pPr>
        <w:jc w:val="both"/>
        <w:ind w:firstLine="819"/>
        <w:spacing w:after="0" w:line="277" w:lineRule="auto"/>
        <w:tabs>
          <w:tab w:leader="none" w:pos="1312"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Class of its Loans or participations in LC Disbursements resulting in such Lender receiving payment of a greater proportion of the aggregate amount of its Loans of such Class and participations in LC Disbursements and accrued interest thereon than the proportion received by any other Lender, then the Lender receiving such greater proportion shall purchase (for cash at face value) participations in the Loans of such Class and participations in LC Disbursements of other Lenders to the extent necessary so that the benefit of all such payments shall be shared by the Lenders ratably in accordance with the aggregate amount of principal of and accrued interest on their respective Loans of such Class and participations in LC Disbursements;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2" w:lineRule="exact"/>
        <w:rPr>
          <w:rFonts w:ascii="Arial" w:cs="Arial" w:eastAsia="Arial" w:hAnsi="Arial"/>
          <w:sz w:val="19"/>
          <w:szCs w:val="19"/>
          <w:color w:val="auto"/>
        </w:rPr>
      </w:pPr>
    </w:p>
    <w:p>
      <w:pPr>
        <w:jc w:val="both"/>
        <w:ind w:firstLine="819"/>
        <w:spacing w:after="0" w:line="282" w:lineRule="auto"/>
        <w:tabs>
          <w:tab w:leader="none" w:pos="1222" w:val="left"/>
        </w:tabs>
        <w:numPr>
          <w:ilvl w:val="0"/>
          <w:numId w:val="93"/>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57" w:lineRule="exact"/>
        <w:rPr>
          <w:sz w:val="20"/>
          <w:szCs w:val="20"/>
          <w:color w:val="auto"/>
        </w:rPr>
      </w:pPr>
    </w:p>
    <w:p>
      <w:pPr>
        <w:jc w:val="both"/>
        <w:ind w:firstLine="630"/>
        <w:spacing w:after="0" w:line="272" w:lineRule="auto"/>
        <w:rPr>
          <w:sz w:val="20"/>
          <w:szCs w:val="20"/>
          <w:color w:val="auto"/>
        </w:rPr>
      </w:pPr>
      <w:r>
        <w:rPr>
          <w:rFonts w:ascii="Arial" w:cs="Arial" w:eastAsia="Arial" w:hAnsi="Arial"/>
          <w:sz w:val="21"/>
          <w:szCs w:val="21"/>
          <w:color w:val="auto"/>
        </w:rPr>
        <w:t xml:space="preserve">Section 2.17. </w:t>
      </w:r>
      <w:r>
        <w:rPr>
          <w:rFonts w:ascii="Arial" w:cs="Arial" w:eastAsia="Arial" w:hAnsi="Arial"/>
          <w:sz w:val="21"/>
          <w:szCs w:val="21"/>
          <w:i w:val="1"/>
          <w:iCs w:val="1"/>
          <w:color w:val="auto"/>
        </w:rPr>
        <w:t>Mitigation Obligations; Replacement of Lenders</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If any Lender requests compensation under Section 2.13, or if</w:t>
      </w:r>
      <w:r>
        <w:rPr>
          <w:rFonts w:ascii="Arial" w:cs="Arial" w:eastAsia="Arial" w:hAnsi="Arial"/>
          <w:sz w:val="21"/>
          <w:szCs w:val="21"/>
          <w:color w:val="auto"/>
        </w:rPr>
        <w:t xml:space="preserve"> </w:t>
      </w:r>
      <w:r>
        <w:rPr>
          <w:rFonts w:ascii="Arial" w:cs="Arial" w:eastAsia="Arial" w:hAnsi="Arial"/>
          <w:sz w:val="19"/>
          <w:szCs w:val="19"/>
          <w:color w:val="auto"/>
        </w:rPr>
        <w:t>the Borrower is required to pay any additional amount to any Lender or any Governmental Authority for the account of any Lender pursuant to Section 2.15 or any event gives rise to the operation of Section 2.20,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2.13 or 2.15 or mitigate the applicability of Section 2.20,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87" w:lineRule="exact"/>
        <w:rPr>
          <w:sz w:val="20"/>
          <w:szCs w:val="20"/>
          <w:color w:val="auto"/>
        </w:rPr>
      </w:pPr>
    </w:p>
    <w:p>
      <w:pPr>
        <w:jc w:val="both"/>
        <w:ind w:firstLine="819"/>
        <w:spacing w:after="0" w:line="298" w:lineRule="auto"/>
        <w:tabs>
          <w:tab w:leader="none" w:pos="1313"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(i) any Lender requests compensation under Section 2.13 or gives notice under Section 2.20, (ii) the Borrower is required to pay any additional amount to any Lender or to any Governmental Authority for the account of any Lender pursuant to Section 2.15 or (iii) any Lender is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and the other Loan Documents to an Eligible Assignee that shall assume such obligations (which assignee may be another Lender, if a Lender accepts such assignment and delegation);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and delegated, each Issuing Bank, which consents, in each case, shall not unreasonably be withheld or delayed, (B) such Lender shall have received payment of an amount equal to the outstanding principal of its Loans and unreimbursed</w:t>
      </w:r>
    </w:p>
    <w:p>
      <w:pPr>
        <w:sectPr>
          <w:pgSz w:w="11900" w:h="16971" w:orient="portrait"/>
          <w:cols w:equalWidth="0" w:num="1">
            <w:col w:w="11420"/>
          </w:cols>
          <w:pgMar w:left="240" w:top="136" w:right="239" w:bottom="0" w:gutter="0" w:footer="0" w:header="0"/>
        </w:sectPr>
      </w:pPr>
    </w:p>
    <w:bookmarkStart w:id="140" w:name="page141"/>
    <w:bookmarkEnd w:id="140"/>
    <w:p>
      <w:pPr>
        <w:jc w:val="both"/>
        <w:spacing w:after="0" w:line="264" w:lineRule="auto"/>
        <w:rPr>
          <w:sz w:val="20"/>
          <w:szCs w:val="20"/>
          <w:color w:val="auto"/>
        </w:rPr>
      </w:pPr>
      <w:r>
        <w:rPr>
          <w:rFonts w:ascii="Arial" w:cs="Arial" w:eastAsia="Arial" w:hAnsi="Arial"/>
          <w:sz w:val="20"/>
          <w:szCs w:val="20"/>
          <w:color w:val="auto"/>
        </w:rPr>
        <w:t>participations in LC Disbursements,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Administrative Agent the processing and recordation fee specified in Section 9.04(b)(ii) and (D) in the case of any such assignment resulting from a claim for compensation under Section 2.13, or payments required to be made pursuant to Section 2.15 or a notice given under Section 2.20,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70"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2.18. </w:t>
      </w:r>
      <w:r>
        <w:rPr>
          <w:rFonts w:ascii="Arial" w:cs="Arial" w:eastAsia="Arial" w:hAnsi="Arial"/>
          <w:sz w:val="20"/>
          <w:szCs w:val="20"/>
          <w:i w:val="1"/>
          <w:iCs w:val="1"/>
          <w:color w:val="auto"/>
        </w:rPr>
        <w:t>Incremental Credit Extensions</w:t>
      </w:r>
      <w:r>
        <w:rPr>
          <w:rFonts w:ascii="Arial" w:cs="Arial" w:eastAsia="Arial" w:hAnsi="Arial"/>
          <w:sz w:val="18"/>
          <w:szCs w:val="18"/>
          <w:color w:val="auto"/>
        </w:rPr>
        <w:t>.</w:t>
      </w:r>
      <w:r>
        <w:rPr>
          <w:rFonts w:ascii="Arial" w:cs="Arial" w:eastAsia="Arial" w:hAnsi="Arial"/>
          <w:sz w:val="20"/>
          <w:szCs w:val="20"/>
          <w:color w:val="auto"/>
        </w:rPr>
        <w:t xml:space="preserve"> (%3) (%4) </w:t>
      </w:r>
      <w:r>
        <w:rPr>
          <w:rFonts w:ascii="Arial" w:cs="Arial" w:eastAsia="Arial" w:hAnsi="Arial"/>
          <w:sz w:val="18"/>
          <w:szCs w:val="18"/>
          <w:color w:val="auto"/>
        </w:rPr>
        <w:t>At any time and from time to time after the Restatement Effective Date,</w:t>
      </w:r>
      <w:r>
        <w:rPr>
          <w:rFonts w:ascii="Arial" w:cs="Arial" w:eastAsia="Arial" w:hAnsi="Arial"/>
          <w:sz w:val="20"/>
          <w:szCs w:val="20"/>
          <w:color w:val="auto"/>
        </w:rPr>
        <w:t xml:space="preserve"> </w:t>
      </w:r>
      <w:r>
        <w:rPr>
          <w:rFonts w:ascii="Arial" w:cs="Arial" w:eastAsia="Arial" w:hAnsi="Arial"/>
          <w:sz w:val="18"/>
          <w:szCs w:val="18"/>
          <w:color w:val="auto"/>
        </w:rPr>
        <w:t>subject to the terms and conditions set forth herein, the Borrower may, by notice to the Administrative Agent (whereupon the Administrative Agent shall promptly make available such notice to each of the Lenders), request to effect one or more additional revolving credit facility tranches hereunder (or an increase of the Revolving Commitments hereunder) (“</w:t>
      </w:r>
      <w:r>
        <w:rPr>
          <w:rFonts w:ascii="Arial" w:cs="Arial" w:eastAsia="Arial" w:hAnsi="Arial"/>
          <w:sz w:val="18"/>
          <w:szCs w:val="18"/>
          <w:b w:val="1"/>
          <w:bCs w:val="1"/>
          <w:color w:val="auto"/>
        </w:rPr>
        <w:t>Incremental Revolving Facilities</w:t>
      </w:r>
      <w:r>
        <w:rPr>
          <w:rFonts w:ascii="Arial" w:cs="Arial" w:eastAsia="Arial" w:hAnsi="Arial"/>
          <w:sz w:val="18"/>
          <w:szCs w:val="18"/>
          <w:color w:val="auto"/>
        </w:rPr>
        <w:t xml:space="preserve">”) from Additional Revolving Lenders;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at the time of each such request and upon the effectiveness of each Incremental Revolving Facility Amendment,</w:t>
      </w:r>
      <w:r>
        <w:rPr>
          <w:rFonts w:ascii="Arial" w:cs="Arial" w:eastAsia="Arial" w:hAnsi="Arial"/>
          <w:sz w:val="18"/>
          <w:szCs w:val="18"/>
          <w:i w:val="1"/>
          <w:iCs w:val="1"/>
          <w:color w:val="auto"/>
        </w:rPr>
        <w:t xml:space="preserve"> </w:t>
      </w:r>
      <w:r>
        <w:rPr>
          <w:rFonts w:ascii="Arial" w:cs="Arial" w:eastAsia="Arial" w:hAnsi="Arial"/>
          <w:sz w:val="19"/>
          <w:szCs w:val="19"/>
          <w:color w:val="auto"/>
        </w:rPr>
        <w:t>(%5)</w:t>
      </w:r>
      <w:r>
        <w:rPr>
          <w:rFonts w:ascii="Arial" w:cs="Arial" w:eastAsia="Arial" w:hAnsi="Arial"/>
          <w:sz w:val="18"/>
          <w:szCs w:val="18"/>
          <w:i w:val="1"/>
          <w:iCs w:val="1"/>
          <w:color w:val="auto"/>
        </w:rPr>
        <w:t xml:space="preserve"> </w:t>
      </w:r>
      <w:r>
        <w:rPr>
          <w:rFonts w:ascii="Arial" w:cs="Arial" w:eastAsia="Arial" w:hAnsi="Arial"/>
          <w:sz w:val="18"/>
          <w:szCs w:val="18"/>
          <w:color w:val="auto"/>
        </w:rPr>
        <w:t>no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have occurred and be continuing or shall result therefrom, </w:t>
      </w:r>
      <w:r>
        <w:rPr>
          <w:rFonts w:ascii="Arial" w:cs="Arial" w:eastAsia="Arial" w:hAnsi="Arial"/>
          <w:sz w:val="19"/>
          <w:szCs w:val="19"/>
          <w:color w:val="auto"/>
        </w:rPr>
        <w:t>(%5)</w:t>
      </w:r>
      <w:r>
        <w:rPr>
          <w:rFonts w:ascii="Arial" w:cs="Arial" w:eastAsia="Arial" w:hAnsi="Arial"/>
          <w:sz w:val="18"/>
          <w:szCs w:val="18"/>
          <w:color w:val="auto"/>
        </w:rPr>
        <w:t xml:space="preserve"> the Borrower shall be in compliance on a Pro Forma Basis with the Financial Performance Covenants recomputed as of the last day of the most-recently ended Test Period for which financial statements are available (calculated assuming that such Incremental Revolving Facility is fully drawn), </w:t>
      </w:r>
      <w:r>
        <w:rPr>
          <w:rFonts w:ascii="Arial" w:cs="Arial" w:eastAsia="Arial" w:hAnsi="Arial"/>
          <w:sz w:val="19"/>
          <w:szCs w:val="19"/>
          <w:color w:val="auto"/>
        </w:rPr>
        <w:t>(%5)</w:t>
      </w:r>
      <w:r>
        <w:rPr>
          <w:rFonts w:ascii="Arial" w:cs="Arial" w:eastAsia="Arial" w:hAnsi="Arial"/>
          <w:sz w:val="18"/>
          <w:szCs w:val="18"/>
          <w:color w:val="auto"/>
        </w:rPr>
        <w:t xml:space="preserve"> the Borrower shall have delivered a certificate of a Financial Officer to the effect set forth in clauses (A) and (B) above, together with reasonably detailed calculations demonstrating compliance with clause (B) above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and Consolidated Interest Expense for the relevant period), </w:t>
      </w:r>
      <w:r>
        <w:rPr>
          <w:rFonts w:ascii="Arial" w:cs="Arial" w:eastAsia="Arial" w:hAnsi="Arial"/>
          <w:sz w:val="19"/>
          <w:szCs w:val="19"/>
          <w:color w:val="auto"/>
        </w:rPr>
        <w:t>(%5)</w:t>
      </w:r>
      <w:r>
        <w:rPr>
          <w:rFonts w:ascii="Arial" w:cs="Arial" w:eastAsia="Arial" w:hAnsi="Arial"/>
          <w:sz w:val="18"/>
          <w:szCs w:val="18"/>
          <w:color w:val="auto"/>
        </w:rPr>
        <w:t xml:space="preserve"> such Incremental Revolving Facility may be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Loans, </w:t>
      </w:r>
      <w:r>
        <w:rPr>
          <w:rFonts w:ascii="Arial" w:cs="Arial" w:eastAsia="Arial" w:hAnsi="Arial"/>
          <w:sz w:val="19"/>
          <w:szCs w:val="19"/>
          <w:color w:val="auto"/>
        </w:rPr>
        <w:t>(%5)</w:t>
      </w:r>
      <w:r>
        <w:rPr>
          <w:rFonts w:ascii="Arial" w:cs="Arial" w:eastAsia="Arial" w:hAnsi="Arial"/>
          <w:sz w:val="18"/>
          <w:szCs w:val="18"/>
          <w:color w:val="auto"/>
        </w:rPr>
        <w:t xml:space="preserve"> the interest rate margins, rate floors, fees, premiums and maturity applicable to any Incremental Revolving Facility shall be determined by the Borrower and the lenders thereunder, provided that no Incremental Revolving Facility shall mature prior to the Revolving Maturity Date or require any scheduled amortization or mandatory commitment reductions prior to the Revolving Maturity Date, </w:t>
      </w:r>
      <w:r>
        <w:rPr>
          <w:rFonts w:ascii="Arial" w:cs="Arial" w:eastAsia="Arial" w:hAnsi="Arial"/>
          <w:sz w:val="19"/>
          <w:szCs w:val="19"/>
          <w:color w:val="auto"/>
        </w:rPr>
        <w:t>(%5)</w:t>
      </w:r>
      <w:r>
        <w:rPr>
          <w:rFonts w:ascii="Arial" w:cs="Arial" w:eastAsia="Arial" w:hAnsi="Arial"/>
          <w:sz w:val="18"/>
          <w:szCs w:val="18"/>
          <w:color w:val="auto"/>
        </w:rPr>
        <w:t xml:space="preserve"> any Incremental Revolving Facility Amendment shall be on the terms and pursuant to documentation to be determined by the Borrower and the Additional Revolving Lenders providing the applicable Incremental Revolving Facilities, (G) any Incremental Revolving Facility may be provided in any currency as mutually agreed among the Administrative Agent, the Borrower and the Additional Revolving Lenders and (H) in the case of an increase in the Revolving Commitments hereunder, the maturity date of such increase in the Revolving Commitment shall be the Revolving Maturity Date, such increase in the Revolving Commitment shall require no scheduled amortization or mandatory commitment reduction prior to the Revolving Maturity Date and shall be on the same terms governing the Revolving Commitments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terms and documentation are not consistent with this Agreement (except to the extent permitted by clause (E) or (G) above), they shall be reasonably satisfactory to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Issuing Bank shall be required to act as “issuing bank” under any such Incremental Revolving Facility without its written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Incremental Revolving Facility shall be in a minimum principal amount of $10,000,000 and integral multiples of $1,000,000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may be less than $10,000,000 if such amount represents all the remaining availability under the Incremental Cap.</w:t>
      </w:r>
    </w:p>
    <w:p>
      <w:pPr>
        <w:spacing w:after="0" w:line="167" w:lineRule="exact"/>
        <w:rPr>
          <w:sz w:val="20"/>
          <w:szCs w:val="20"/>
          <w:color w:val="auto"/>
        </w:rPr>
      </w:pPr>
    </w:p>
    <w:p>
      <w:pPr>
        <w:jc w:val="both"/>
        <w:ind w:left="640" w:firstLine="940"/>
        <w:spacing w:after="0" w:line="276" w:lineRule="auto"/>
        <w:tabs>
          <w:tab w:leader="none" w:pos="1984" w:val="left"/>
        </w:tabs>
        <w:numPr>
          <w:ilvl w:val="0"/>
          <w:numId w:val="95"/>
        </w:numPr>
        <w:rPr>
          <w:rFonts w:ascii="Arial" w:cs="Arial" w:eastAsia="Arial" w:hAnsi="Arial"/>
          <w:sz w:val="19"/>
          <w:szCs w:val="19"/>
          <w:color w:val="auto"/>
        </w:rPr>
      </w:pPr>
      <w:r>
        <w:rPr>
          <w:rFonts w:ascii="Arial" w:cs="Arial" w:eastAsia="Arial" w:hAnsi="Arial"/>
          <w:sz w:val="19"/>
          <w:szCs w:val="19"/>
          <w:color w:val="auto"/>
        </w:rPr>
        <w:t>At any time and from time to time after the Restatement Effective Date, subject to the terms and conditions set forth herein, the Borrower may, by notice to the Administrative Agent (whereupon the Administrative Agent shall promptly make available such notice to each of the Lenders), request to effect one or more additional tranches of term loans hereunder or (so long as the proviso to subclause (ii)(E) below does not apply) increases in the amount of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w:t>
      </w:r>
      <w:r>
        <w:rPr>
          <w:rFonts w:ascii="Arial" w:cs="Arial" w:eastAsia="Arial" w:hAnsi="Arial"/>
          <w:sz w:val="19"/>
          <w:szCs w:val="19"/>
          <w:b w:val="1"/>
          <w:bCs w:val="1"/>
          <w:color w:val="auto"/>
        </w:rPr>
        <w:t>Incremental</w:t>
      </w:r>
      <w:r>
        <w:rPr>
          <w:rFonts w:ascii="Arial" w:cs="Arial" w:eastAsia="Arial" w:hAnsi="Arial"/>
          <w:sz w:val="19"/>
          <w:szCs w:val="19"/>
          <w:color w:val="auto"/>
        </w:rPr>
        <w:t xml:space="preserve"> </w:t>
      </w:r>
      <w:r>
        <w:rPr>
          <w:rFonts w:ascii="Arial" w:cs="Arial" w:eastAsia="Arial" w:hAnsi="Arial"/>
          <w:sz w:val="19"/>
          <w:szCs w:val="19"/>
          <w:b w:val="1"/>
          <w:bCs w:val="1"/>
          <w:color w:val="auto"/>
        </w:rPr>
        <w:t>Term Facilities</w:t>
      </w:r>
      <w:r>
        <w:rPr>
          <w:rFonts w:ascii="Arial" w:cs="Arial" w:eastAsia="Arial" w:hAnsi="Arial"/>
          <w:sz w:val="19"/>
          <w:szCs w:val="19"/>
          <w:color w:val="auto"/>
        </w:rPr>
        <w:t>”) from one or more Additional Term Lenders;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at the time of each such request and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effectiveness of each Incremental Term Facility Amendment, (A) no Default shall have occurred and be continuing or shall result therefrom, (B) the Borrower shall be in compliance on a Pro Forma Basis with the Financial Performance Covenants recomputed as of the last day of the most-recently ended Test Period for which financial statements are available, (C) the Borrower shall have delivered a certificate of a Financial Officer to the effect set forth in clauses (A) and (B) above, together with reasonably detailed calculations demonstrating compliance with clause (B) above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and Consolidated Interest Expense for the relevant period), (D) the maturity date of any term loans incurred pursuant to any Incremental Term Facility shall not be earlier than the Term Maturity Date and such Incremental Term Facility shall not have a Weighted Average Life to Maturity shorter than the Weighted Average Life to Maturity of the Term Loans, (E) the interest rate margins, rate floors, fees, premiums, funding discounts and, subject to clause (D), the maturity and amortization schedule for any term loans incurred pursuant to any Incremental Term Facility shall be determined by the Borrower and the Additional Term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the interest rate margins for any term loans incurred pursuant to any Incremental Term Facility are higher than the interest rate margins for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by more than 50 basis points, then the interest rate margins for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shall be increased to the extent necessary so that such interest rate margins are equal to the interest rate margins for such term loans incurred pursuant to such Incremental Term Facility minus 50 basis points;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in determining the interest rate margins applicable to the term loans incurred pursuant to such Incremental Term Facility and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(x) original issue discount (“</w:t>
      </w:r>
      <w:r>
        <w:rPr>
          <w:rFonts w:ascii="Arial" w:cs="Arial" w:eastAsia="Arial" w:hAnsi="Arial"/>
          <w:sz w:val="19"/>
          <w:szCs w:val="19"/>
          <w:b w:val="1"/>
          <w:bCs w:val="1"/>
          <w:color w:val="auto"/>
        </w:rPr>
        <w:t>OID</w:t>
      </w:r>
      <w:r>
        <w:rPr>
          <w:rFonts w:ascii="Arial" w:cs="Arial" w:eastAsia="Arial" w:hAnsi="Arial"/>
          <w:sz w:val="19"/>
          <w:szCs w:val="19"/>
          <w:color w:val="auto"/>
        </w:rPr>
        <w:t>”) or upfront fees (which shall be deemed to constitute like amounts of OID) payable by Borrower to the Term Lenders or any Additional Term Lenders in the initial primary syndication thereof shall be included (with OID being equated to interest based on assumed four-year life to maturity), (y) customary arrangement or commitment fees payable</w:t>
      </w:r>
    </w:p>
    <w:p>
      <w:pPr>
        <w:sectPr>
          <w:pgSz w:w="11900" w:h="16839" w:orient="portrait"/>
          <w:cols w:equalWidth="0" w:num="1">
            <w:col w:w="11420"/>
          </w:cols>
          <w:pgMar w:left="240" w:top="131" w:right="239" w:bottom="0" w:gutter="0" w:footer="0" w:header="0"/>
        </w:sectPr>
      </w:pPr>
    </w:p>
    <w:bookmarkStart w:id="141" w:name="page142"/>
    <w:bookmarkEnd w:id="141"/>
    <w:p>
      <w:pPr>
        <w:jc w:val="both"/>
        <w:spacing w:after="0" w:line="277" w:lineRule="auto"/>
        <w:rPr>
          <w:sz w:val="20"/>
          <w:szCs w:val="20"/>
          <w:color w:val="auto"/>
        </w:rPr>
      </w:pPr>
      <w:r>
        <w:rPr>
          <w:rFonts w:ascii="Arial" w:cs="Arial" w:eastAsia="Arial" w:hAnsi="Arial"/>
          <w:sz w:val="19"/>
          <w:szCs w:val="19"/>
          <w:color w:val="auto"/>
        </w:rPr>
        <w:t>to the Lead Arranger (or its affiliates) in connection with this Agreement or to one or more arrangers (or their affiliates) of any Incremental Term Facility shall be excluded and (z) if the Incremental Term Facility includes an interest rate floor greater than the interest rate floor applicable to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such increased amount shall be equated to interest margin for purposes of determining whether an increase to the applicable interest margin for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shall be required, to the extent an increase in the interest rate floor in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would cause an increase in the interest rate then in effect, and in such case the interest rate floor (but not the interest rate margin) applicable to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shall be increased by such increased amount, (F) the term loans incurred pursuant to any Incremental Term Facility may be secured by Liens on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basis with respect to the Liens on the Collateral securing the other Loans and Commitments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term loans are secured by junior Liens the applicable parties shall have entered into a Junior Lien Intercreditor Agreement), (G) any Incremental Term Facility Amendment shall be on the terms and pursuant to documentation to be determined by the Borrower and the Additional Term Lenders providing the applicable Incremental Term Facilities and (H) any Incremental Term Facility may be provided in any currency as mutually agreed among the Administrative Agent, the Borrower and the Additional Term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terms and documentation are not consistent with this Agreement (except to the extent permitted by clauses (D), (E), (F) or (H) above), they shall be reasonably satisfactory to the Administrative Agent. Each Incremental Term Facility shall be in a minimum principal amount of $25,000,000 and integral multiples of $1,000,000 in excess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 may be less than $25,000,000 if such amount represents all the remaining availability under the Incremental Cap.</w:t>
      </w:r>
    </w:p>
    <w:p>
      <w:pPr>
        <w:spacing w:after="0" w:line="162" w:lineRule="exact"/>
        <w:rPr>
          <w:sz w:val="20"/>
          <w:szCs w:val="20"/>
          <w:color w:val="auto"/>
        </w:rPr>
      </w:pPr>
    </w:p>
    <w:p>
      <w:pPr>
        <w:jc w:val="both"/>
        <w:ind w:firstLine="940"/>
        <w:spacing w:after="0" w:line="266" w:lineRule="auto"/>
        <w:tabs>
          <w:tab w:leader="none" w:pos="1508" w:val="left"/>
        </w:tabs>
        <w:numPr>
          <w:ilvl w:val="1"/>
          <w:numId w:val="96"/>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sum of (i) the aggregate amount of commitments in respect of the Incremental Revolving Facilities effected after the Restatement Effective Date, (ii) the aggregate principal amount of all Incremental Term Facilities incurred after the Restatement Effective Date, (iii) the aggregate principal amount of all secured Indebtedness incurred after the Restatement Effective Date pursuant to Section 6.01(a)(viii) and (iv) the aggregate principal amount of all Additional Notes issued after the Restatement Effective Date pursuant to Section 6.01(a)(xxii) shall not exceed $200,000,000 (the maximum amount referred to in this clause (iii), the “</w:t>
      </w:r>
      <w:r>
        <w:rPr>
          <w:rFonts w:ascii="Arial" w:cs="Arial" w:eastAsia="Arial" w:hAnsi="Arial"/>
          <w:sz w:val="20"/>
          <w:szCs w:val="20"/>
          <w:b w:val="1"/>
          <w:bCs w:val="1"/>
          <w:color w:val="auto"/>
        </w:rPr>
        <w:t>Incremental Cap</w:t>
      </w:r>
      <w:r>
        <w:rPr>
          <w:rFonts w:ascii="Arial" w:cs="Arial" w:eastAsia="Arial" w:hAnsi="Arial"/>
          <w:sz w:val="20"/>
          <w:szCs w:val="20"/>
          <w:color w:val="auto"/>
        </w:rPr>
        <w:t>”). Notwithstanding anything herein to the contrary, no existing Lender will be required to participate in any Incremental Revolving Facility or Incremental Term Facility without its consent. For the avoidance of doubt, the assumption of the Escrow Term Loans on the Escrow Assumption Date shall not be deemed an incurrence of Incremental Revolving Facilities or Incremental Term Facilities pursuant to this Section 2.18.</w:t>
      </w:r>
    </w:p>
    <w:p>
      <w:pPr>
        <w:spacing w:after="0" w:line="167" w:lineRule="exact"/>
        <w:rPr>
          <w:rFonts w:ascii="Arial" w:cs="Arial" w:eastAsia="Arial" w:hAnsi="Arial"/>
          <w:sz w:val="20"/>
          <w:szCs w:val="20"/>
          <w:color w:val="auto"/>
        </w:rPr>
      </w:pPr>
    </w:p>
    <w:p>
      <w:pPr>
        <w:ind w:left="-640" w:firstLine="819"/>
        <w:spacing w:after="0" w:line="286" w:lineRule="auto"/>
        <w:tabs>
          <w:tab w:leader="none" w:pos="725" w:val="left"/>
        </w:tabs>
        <w:numPr>
          <w:ilvl w:val="0"/>
          <w:numId w:val="97"/>
        </w:numPr>
        <w:rPr>
          <w:rFonts w:ascii="Arial" w:cs="Arial" w:eastAsia="Arial" w:hAnsi="Arial"/>
          <w:sz w:val="21"/>
          <w:szCs w:val="21"/>
          <w:color w:val="auto"/>
        </w:rPr>
      </w:pPr>
      <w:r>
        <w:rPr>
          <w:rFonts w:ascii="Arial" w:cs="Arial" w:eastAsia="Arial" w:hAnsi="Arial"/>
          <w:sz w:val="21"/>
          <w:szCs w:val="21"/>
          <w:color w:val="auto"/>
        </w:rPr>
        <w:t>(%4) Each notice from the Borrower pursuant to this Section shall set forth the requested amount of the relevant Incremental Revolving Facility or Incremental Term Facility.</w:t>
      </w:r>
    </w:p>
    <w:p>
      <w:pPr>
        <w:spacing w:after="0" w:line="146" w:lineRule="exact"/>
        <w:rPr>
          <w:rFonts w:ascii="Arial" w:cs="Arial" w:eastAsia="Arial" w:hAnsi="Arial"/>
          <w:sz w:val="21"/>
          <w:szCs w:val="21"/>
          <w:color w:val="auto"/>
        </w:rPr>
      </w:pPr>
    </w:p>
    <w:p>
      <w:pPr>
        <w:jc w:val="both"/>
        <w:ind w:firstLine="940"/>
        <w:spacing w:after="0" w:line="277" w:lineRule="auto"/>
        <w:tabs>
          <w:tab w:leader="none" w:pos="1528" w:val="left"/>
        </w:tabs>
        <w:numPr>
          <w:ilvl w:val="1"/>
          <w:numId w:val="97"/>
        </w:numPr>
        <w:rPr>
          <w:rFonts w:ascii="Arial" w:cs="Arial" w:eastAsia="Arial" w:hAnsi="Arial"/>
          <w:sz w:val="19"/>
          <w:szCs w:val="19"/>
          <w:color w:val="auto"/>
        </w:rPr>
      </w:pPr>
      <w:r>
        <w:rPr>
          <w:rFonts w:ascii="Arial" w:cs="Arial" w:eastAsia="Arial" w:hAnsi="Arial"/>
          <w:sz w:val="19"/>
          <w:szCs w:val="19"/>
          <w:color w:val="auto"/>
        </w:rPr>
        <w:t>Commitments in respect of any Incremental Revolving Facility shall become Commitments under this Agreement pursuant to an amendment (an “</w:t>
      </w:r>
      <w:r>
        <w:rPr>
          <w:rFonts w:ascii="Arial" w:cs="Arial" w:eastAsia="Arial" w:hAnsi="Arial"/>
          <w:sz w:val="19"/>
          <w:szCs w:val="19"/>
          <w:b w:val="1"/>
          <w:bCs w:val="1"/>
          <w:color w:val="auto"/>
        </w:rPr>
        <w:t>Incremental Revolving Facility Amendment</w:t>
      </w:r>
      <w:r>
        <w:rPr>
          <w:rFonts w:ascii="Arial" w:cs="Arial" w:eastAsia="Arial" w:hAnsi="Arial"/>
          <w:sz w:val="19"/>
          <w:szCs w:val="19"/>
          <w:color w:val="auto"/>
        </w:rPr>
        <w:t>”) to this Agreement and, as appropriate, the other Loan Documents, executed by the Borrower, the applicable Additional Revolving Lenders and the Administrative Agent. Incremental Revolving Facilities may be provided, subject to the prior written consent of the Borrower (not to be unreasonably withheld), by any existing Lender (it being understood that no existing Lender shall have the right to participate in any Incremental Revolving Facility or, unless it agrees, be obligated to participate in any Incremental Revolving Facility) or by any Additional Revolving Lender. An Incremental Revolving Facility Amendment may, without the consent of any other Lenders, effect such amendments to any Loan Documents as may be necessary or appropriate, in the reasonable opinion of the Administrative Agent, to effect the provisions of this Section (including to provide for the issuance of letters of credit and swingline loans thereunder and to provide for the treatment of defaulting lenders). The effectiveness of any Incremental Revolving Facility Amendment shall, unless otherwise agreed to by the Administrative Agent and the Additional Revolving Lenders, be subject to the satisfaction on the date thereof (each, an “</w:t>
      </w:r>
      <w:r>
        <w:rPr>
          <w:rFonts w:ascii="Arial" w:cs="Arial" w:eastAsia="Arial" w:hAnsi="Arial"/>
          <w:sz w:val="19"/>
          <w:szCs w:val="19"/>
          <w:b w:val="1"/>
          <w:bCs w:val="1"/>
          <w:color w:val="auto"/>
        </w:rPr>
        <w:t>Incremental Revolving Facility Closing</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of each of the conditions set forth in Section 4.02 (it being understood that all references to “the date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Borrowing” (or other similar reference) in Section 4.02 shall be deemed to refer to the Incremental Revolving Facility Closing Date) and, to the extent reasonably requested by the Administrative Agent, receipt by the Administrative Agent of legal opinions, board resolutions, officers’ certificates and/or reaffirmation agreements consistent with those delivered on the Restatement Effective Date under Section 4.01 (other than changes to such legal opinions resulting from a change in law, change in fact or change to counsel’s form of opinion reasonably satisfactory to the Administrative Agent).</w:t>
      </w:r>
    </w:p>
    <w:p>
      <w:pPr>
        <w:spacing w:after="0" w:line="173" w:lineRule="exact"/>
        <w:rPr>
          <w:sz w:val="20"/>
          <w:szCs w:val="20"/>
          <w:color w:val="auto"/>
        </w:rPr>
      </w:pPr>
    </w:p>
    <w:p>
      <w:pPr>
        <w:jc w:val="both"/>
        <w:ind w:firstLine="940"/>
        <w:spacing w:after="0" w:line="279" w:lineRule="auto"/>
        <w:tabs>
          <w:tab w:leader="none" w:pos="1429" w:val="left"/>
        </w:tabs>
        <w:numPr>
          <w:ilvl w:val="0"/>
          <w:numId w:val="98"/>
        </w:numPr>
        <w:rPr>
          <w:rFonts w:ascii="Arial" w:cs="Arial" w:eastAsia="Arial" w:hAnsi="Arial"/>
          <w:sz w:val="19"/>
          <w:szCs w:val="19"/>
          <w:color w:val="auto"/>
        </w:rPr>
      </w:pPr>
      <w:r>
        <w:rPr>
          <w:rFonts w:ascii="Arial" w:cs="Arial" w:eastAsia="Arial" w:hAnsi="Arial"/>
          <w:sz w:val="19"/>
          <w:szCs w:val="19"/>
          <w:color w:val="auto"/>
        </w:rPr>
        <w:t>Commitments in respect of any Incremental Term Facility shall become Commitments under this Agreement pursuant to an amendment (an “</w:t>
      </w:r>
      <w:r>
        <w:rPr>
          <w:rFonts w:ascii="Arial" w:cs="Arial" w:eastAsia="Arial" w:hAnsi="Arial"/>
          <w:sz w:val="19"/>
          <w:szCs w:val="19"/>
          <w:b w:val="1"/>
          <w:bCs w:val="1"/>
          <w:color w:val="auto"/>
        </w:rPr>
        <w:t>Incremental Term Facility Amendment</w:t>
      </w:r>
      <w:r>
        <w:rPr>
          <w:rFonts w:ascii="Arial" w:cs="Arial" w:eastAsia="Arial" w:hAnsi="Arial"/>
          <w:sz w:val="19"/>
          <w:szCs w:val="19"/>
          <w:color w:val="auto"/>
        </w:rPr>
        <w:t>”) to this Agreement and, as appropriate, the other Loan Documents executed by the Borrower, the applicable Additional Term Lenders and the Administrative Agent. Incremental Term Facilities may be provided, subject to the prior written consent of the Borrower (not to be unreasonably withheld), by any existing Lender (it being understood that no existing Lender shall have any right to participate in any Incremental Term Facility or, unless it agrees, be obligated to provide any Incremental Term Facilities) or by any Additional Term Lender. An Incremental Term Facility Amendment may, without the consent of any other Lenders, effect such amendments to any Loan Documents as may be necessary or appropriate, in the reasonable opinion of the Administrative Agent, to effect the provisions of this Section. The effectiveness of any Incremental Term Facility Amendment shall, unless otherwise agreed to by the Administrative Agent and the Additional Term Lenders, be subject to the satisfaction on the date thereof (each, an “</w:t>
      </w:r>
      <w:r>
        <w:rPr>
          <w:rFonts w:ascii="Arial" w:cs="Arial" w:eastAsia="Arial" w:hAnsi="Arial"/>
          <w:sz w:val="19"/>
          <w:szCs w:val="19"/>
          <w:b w:val="1"/>
          <w:bCs w:val="1"/>
          <w:color w:val="auto"/>
        </w:rPr>
        <w:t>Incremental Term Facility</w:t>
      </w:r>
      <w:r>
        <w:rPr>
          <w:rFonts w:ascii="Arial" w:cs="Arial" w:eastAsia="Arial" w:hAnsi="Arial"/>
          <w:sz w:val="19"/>
          <w:szCs w:val="19"/>
          <w:color w:val="auto"/>
        </w:rPr>
        <w:t xml:space="preserve"> </w:t>
      </w:r>
      <w:r>
        <w:rPr>
          <w:rFonts w:ascii="Arial" w:cs="Arial" w:eastAsia="Arial" w:hAnsi="Arial"/>
          <w:sz w:val="19"/>
          <w:szCs w:val="19"/>
          <w:b w:val="1"/>
          <w:bCs w:val="1"/>
          <w:color w:val="auto"/>
        </w:rPr>
        <w:t>Closing Date</w:t>
      </w:r>
      <w:r>
        <w:rPr>
          <w:rFonts w:ascii="Arial" w:cs="Arial" w:eastAsia="Arial" w:hAnsi="Arial"/>
          <w:sz w:val="19"/>
          <w:szCs w:val="19"/>
          <w:color w:val="auto"/>
        </w:rPr>
        <w:t>”) of each of the conditions set forth in Section 4.02 (it being understood that all references to “the date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Borrowing” (or other similar reference) in Section 4.02 shall be deemed to refer to the Incremental Term Facility Closing Date) and, to the extent reasonably requested by the Administrative Agent, receipt by the Administrative Agent of legal opinions, board resolutions, officers’ certificates and/or reaffirmation agreements consistent with those delivered on the Restatement</w:t>
      </w:r>
    </w:p>
    <w:p>
      <w:pPr>
        <w:sectPr>
          <w:pgSz w:w="11900" w:h="16838" w:orient="portrait"/>
          <w:cols w:equalWidth="0" w:num="1">
            <w:col w:w="10780"/>
          </w:cols>
          <w:pgMar w:left="880" w:top="131" w:right="239" w:bottom="0" w:gutter="0" w:footer="0" w:header="0"/>
        </w:sectPr>
      </w:pPr>
    </w:p>
    <w:bookmarkStart w:id="142" w:name="page143"/>
    <w:bookmarkEnd w:id="142"/>
    <w:p>
      <w:pPr>
        <w:ind w:left="640"/>
        <w:spacing w:after="0" w:line="273" w:lineRule="auto"/>
        <w:rPr>
          <w:sz w:val="20"/>
          <w:szCs w:val="20"/>
          <w:color w:val="auto"/>
        </w:rPr>
      </w:pPr>
      <w:r>
        <w:rPr>
          <w:rFonts w:ascii="Arial" w:cs="Arial" w:eastAsia="Arial" w:hAnsi="Arial"/>
          <w:sz w:val="21"/>
          <w:szCs w:val="21"/>
          <w:color w:val="auto"/>
        </w:rPr>
        <w:t>Effective Date under Section 4.01 (other than changes to such legal opinions resulting from a change in law, change in fact or change to counsel’s form of opinion reasonably satisfactory to the Administrative Agent).</w:t>
      </w:r>
    </w:p>
    <w:p>
      <w:pPr>
        <w:spacing w:after="0" w:line="159" w:lineRule="exact"/>
        <w:rPr>
          <w:sz w:val="20"/>
          <w:szCs w:val="20"/>
          <w:color w:val="auto"/>
        </w:rPr>
      </w:pPr>
    </w:p>
    <w:p>
      <w:pPr>
        <w:jc w:val="both"/>
        <w:ind w:firstLine="819"/>
        <w:spacing w:after="0" w:line="263" w:lineRule="auto"/>
        <w:tabs>
          <w:tab w:leader="none" w:pos="13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 Upon each increase in the Revolving Commitments pursuant to this Section, each Revolving Lender immediately prior to such increase will automatically and without further act be deemed to have assigned to each Additional Revolving Lender providing a portion of such increase (each a “</w:t>
      </w:r>
      <w:r>
        <w:rPr>
          <w:rFonts w:ascii="Arial" w:cs="Arial" w:eastAsia="Arial" w:hAnsi="Arial"/>
          <w:sz w:val="20"/>
          <w:szCs w:val="20"/>
          <w:b w:val="1"/>
          <w:bCs w:val="1"/>
          <w:color w:val="auto"/>
        </w:rPr>
        <w:t>Revolving Commitment Increase Lender</w:t>
      </w:r>
      <w:r>
        <w:rPr>
          <w:rFonts w:ascii="Arial" w:cs="Arial" w:eastAsia="Arial" w:hAnsi="Arial"/>
          <w:sz w:val="20"/>
          <w:szCs w:val="20"/>
          <w:color w:val="auto"/>
        </w:rPr>
        <w:t>”), and each such Revolving Commitment Increase Lender will automatically and without further act be deemed to have assumed, a portion of such Revolving Lender's participations hereunder in outstanding Letters of Credit such that, after giving effect to such increase and each such deemed assignment and assumption of participations, the percentage of the aggregate outstanding participations hereunder in Letters of Credit held by each Revolving Lender (including each such Revolving Commitment Increase Lender) will equal such Revolving Lender's Applicable Percentage. If, on the date of such increase, there are any Revolving Loans outstanding, such Revolving Loans shall, upon the effectiveness of the applicable Incremental Revolving Facility, be prepaid from the proceeds of Revolving Loans made under such Incremental Revolving Facility so that Revolving Loans are thereafter held by the Revolving Lenders according to their Applicable Percentage (after giving effect to the increase in Revolving Commitments), which prepayment shall be accompanied by accrued interest on the Revolving Loans being prepaid and any costs incurred by any Revolving Lender in accordance with Section 2.13. The Administrative Agent and the Lenders hereby agree that the minimum borrowing, pro rata borrowing, pro rata payment requirements and notice requirements contained elsewhere in this Agreement shall not apply to the transactions effected pursuant to the immediately preceding sentence.</w:t>
      </w:r>
    </w:p>
    <w:p>
      <w:pPr>
        <w:spacing w:after="0" w:line="183" w:lineRule="exact"/>
        <w:rPr>
          <w:rFonts w:ascii="Arial" w:cs="Arial" w:eastAsia="Arial" w:hAnsi="Arial"/>
          <w:sz w:val="20"/>
          <w:szCs w:val="20"/>
          <w:color w:val="auto"/>
        </w:rPr>
      </w:pPr>
    </w:p>
    <w:p>
      <w:pPr>
        <w:jc w:val="both"/>
        <w:ind w:firstLine="819"/>
        <w:spacing w:after="0" w:line="260" w:lineRule="auto"/>
        <w:tabs>
          <w:tab w:leader="none" w:pos="1260" w:val="left"/>
        </w:tabs>
        <w:numPr>
          <w:ilvl w:val="0"/>
          <w:numId w:val="99"/>
        </w:numPr>
        <w:rPr>
          <w:rFonts w:ascii="Arial" w:cs="Arial" w:eastAsia="Arial" w:hAnsi="Arial"/>
          <w:sz w:val="21"/>
          <w:szCs w:val="21"/>
          <w:color w:val="auto"/>
        </w:rPr>
      </w:pPr>
      <w:r>
        <w:rPr>
          <w:rFonts w:ascii="Arial" w:cs="Arial" w:eastAsia="Arial" w:hAnsi="Arial"/>
          <w:sz w:val="21"/>
          <w:szCs w:val="21"/>
          <w:color w:val="auto"/>
        </w:rPr>
        <w:t>Upon each Incremental Term Facility Closing Date pursuant to this Section, each Additional Term Lender participating in the applicable Incremental Term Facility shall make an additional term loan to the Borrower in a principal amount equal to such Additional Term Lender’s commitment in respect of such Incremental Term Facility. Any such term loan shall be a “Term Loan” for all purposes of this Agreement and the other Loan Documents.</w:t>
      </w:r>
    </w:p>
    <w:p>
      <w:pPr>
        <w:spacing w:after="0" w:line="174" w:lineRule="exact"/>
        <w:rPr>
          <w:rFonts w:ascii="Arial" w:cs="Arial" w:eastAsia="Arial" w:hAnsi="Arial"/>
          <w:sz w:val="21"/>
          <w:szCs w:val="21"/>
          <w:color w:val="auto"/>
        </w:rPr>
      </w:pPr>
    </w:p>
    <w:p>
      <w:pPr>
        <w:ind w:left="1220" w:hanging="401"/>
        <w:spacing w:after="0"/>
        <w:tabs>
          <w:tab w:leader="none" w:pos="1220"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This Section 2.18 shall supersede any provisions in Section 2.16 or Section 9.02 to the contrary.</w:t>
      </w:r>
    </w:p>
    <w:p>
      <w:pPr>
        <w:spacing w:after="0" w:line="231" w:lineRule="exact"/>
        <w:rPr>
          <w:sz w:val="20"/>
          <w:szCs w:val="20"/>
          <w:color w:val="auto"/>
        </w:rPr>
      </w:pPr>
    </w:p>
    <w:p>
      <w:pPr>
        <w:jc w:val="both"/>
        <w:ind w:firstLine="630"/>
        <w:spacing w:after="0" w:line="307"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i w:val="1"/>
          <w:iCs w:val="1"/>
          <w:color w:val="auto"/>
        </w:rPr>
        <w:t>Refinancing Amendments; Maturity Extension</w:t>
      </w:r>
      <w:r>
        <w:rPr>
          <w:rFonts w:ascii="Arial" w:cs="Arial" w:eastAsia="Arial" w:hAnsi="Arial"/>
          <w:sz w:val="17"/>
          <w:szCs w:val="17"/>
          <w:color w:val="auto"/>
        </w:rPr>
        <w:t>.</w:t>
      </w:r>
      <w:r>
        <w:rPr>
          <w:rFonts w:ascii="Arial" w:cs="Arial" w:eastAsia="Arial" w:hAnsi="Arial"/>
          <w:sz w:val="19"/>
          <w:szCs w:val="19"/>
          <w:color w:val="auto"/>
        </w:rPr>
        <w:t xml:space="preserve"> (%3) </w:t>
      </w:r>
      <w:r>
        <w:rPr>
          <w:rFonts w:ascii="Arial" w:cs="Arial" w:eastAsia="Arial" w:hAnsi="Arial"/>
          <w:sz w:val="17"/>
          <w:szCs w:val="17"/>
          <w:color w:val="auto"/>
        </w:rPr>
        <w:t>At any time after the Restatement Effective Date, the Borrower</w:t>
      </w:r>
      <w:r>
        <w:rPr>
          <w:rFonts w:ascii="Arial" w:cs="Arial" w:eastAsia="Arial" w:hAnsi="Arial"/>
          <w:sz w:val="19"/>
          <w:szCs w:val="19"/>
          <w:color w:val="auto"/>
        </w:rPr>
        <w:t xml:space="preserve"> </w:t>
      </w:r>
      <w:r>
        <w:rPr>
          <w:rFonts w:ascii="Arial" w:cs="Arial" w:eastAsia="Arial" w:hAnsi="Arial"/>
          <w:sz w:val="17"/>
          <w:szCs w:val="17"/>
          <w:color w:val="auto"/>
        </w:rPr>
        <w:t xml:space="preserve">may obtain, from any Lender or any Additional Lender, Credit Agreement Refinancing Indebtedness in respect of (a) all or any portion of the Term Loans (which for purposes of this sentence will be deemed to include any Incremental Term Loans or Other Term Loans) or (b) all or any portion of the Revolving Loans (or unused Revolving Commitments) then outstanding under this Agreement (which for purposes of this clause (b) will be deemed to include any then outstanding Incremental Revolving Loans, Incremental Revolving Commitments, Other Revolving Loans and Other Revolving Commitments), in the form of (x) Other Term Loans or Other Term Commitments or (y) Other Revolving Loans or Other Revolving Commitments, as the case may be, in each case pursuant to a Refinancing Amendment;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Credit Agreement Refinancing Indebtedness (i) may be secured by Liens on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basis with respect to the Liens on the Collateral securing the other Loans and Commitments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term loans are secured by junior Liens the applicable parties shall have entered into a Junior Lien Intercreditor Agreement), (ii) will have such pricing and optional prepayment terms as may be agreed by the Borrower and the Lenders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Credit Agreement Refinancing Indebtedness may participate on a pro rata basis or on a less than pro rata basis (but not on a greater than pro rata basis) in any voluntary or mandatory prepayments hereunder, as specified in the applicable Refinancing Amendment), (iii) (x) with respect to any Other Revolving Loans or Other Revolving Commitments, will have a maturity date that is not prior to the maturity date of the Revolving Loans (or unused Revolving Commitments) being refinanced and (y) with respect to any Other Term Loans or Other Term Commitments, will have a maturity date that is not prior to the maturity date of, and will have a Weighted Average Life to Maturity that is not shorter than, the Term Loans being refinanced, (iv) the proceeds of such Credit Agreement Refinancing Indebtedness shall be applied, substantially concurrently with the incurrence thereof, to the prepayment of outstanding Term Loans or reduction of the Revolving Commitments, the Other Revolving Commitments or the commitments under the Incremental Revolving Facility being so refinanced and (v) subject to clause (ii) above, will have terms and conditions that are substantially identical to, or less favorable (taken as a whole) to the investors providing such Credit Agreement Refinancing Indebtedness than, the Refinanced Debt;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terms and conditions applicable to such Credit Agreement Refinancing Indebtedness may provide for any additional or different financial or other covenants or other provisions that are agreed between the Borrower and the Lenders thereof and applicable only during periods after the Latest Maturity Date that is in effect on the date such Credit Agreement Refinancing Indebtedness is issued, incurred or obtained. The effectiveness of any Refinancing Amendment shall be subject to the satisfaction on the date thereof of each of the conditions set forth in Section 4.02 and, to the extent reasonably requested by the Administrative Agent, receipt by the Administrative Agent of legal opinions, board resolutions, officers’ certificates and/or reaffirmation agreements consistent with those delivered on the Restatement Effective Date under Section 4.01 (other than changes to such legal opinions resulting from a change in law, change in fact or change to counsel’s form of opinion reasonably satisfactory to the Administrative Agent). Each Class of Credit Agreement Refinancing Indebtedness incurred under this Section 2.19 shall be in an aggregate principal amount that is (x) not less than $25,000,000 in the case of Other Term Loans or $5,000,000 in the case of Other Revolving Loans and (y) an integral multiple of $1,000,000 in excess thereof in each case. Any Refinancing Amendment may provide for the issuance of Letters of Credit for the account of the Borrower pursuant to any Other Revolving Commitments established thereby, on terms substantially equivalent to the terms applicable to Letters of Credit under the Revolving Commitments.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Revolving Loans, Other Term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w:t>
      </w:r>
    </w:p>
    <w:p>
      <w:pPr>
        <w:sectPr>
          <w:pgSz w:w="11900" w:h="16838" w:orient="portrait"/>
          <w:cols w:equalWidth="0" w:num="1">
            <w:col w:w="11420"/>
          </w:cols>
          <w:pgMar w:left="240" w:top="131" w:right="239" w:bottom="0" w:gutter="0" w:footer="0" w:header="0"/>
        </w:sectPr>
      </w:pPr>
    </w:p>
    <w:bookmarkStart w:id="143" w:name="page144"/>
    <w:bookmarkEnd w:id="143"/>
    <w:p>
      <w:pPr>
        <w:jc w:val="both"/>
        <w:spacing w:after="0" w:line="288" w:lineRule="auto"/>
        <w:rPr>
          <w:sz w:val="20"/>
          <w:szCs w:val="20"/>
          <w:color w:val="auto"/>
        </w:rPr>
      </w:pPr>
      <w:r>
        <w:rPr>
          <w:rFonts w:ascii="Arial" w:cs="Arial" w:eastAsia="Arial" w:hAnsi="Arial"/>
          <w:sz w:val="19"/>
          <w:szCs w:val="19"/>
          <w:color w:val="auto"/>
        </w:rPr>
        <w:t xml:space="preserve">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167" w:lineRule="exact"/>
        <w:rPr>
          <w:sz w:val="20"/>
          <w:szCs w:val="20"/>
          <w:color w:val="auto"/>
        </w:rPr>
      </w:pPr>
    </w:p>
    <w:p>
      <w:pPr>
        <w:jc w:val="both"/>
        <w:ind w:firstLine="819"/>
        <w:spacing w:after="0" w:line="267" w:lineRule="auto"/>
        <w:tabs>
          <w:tab w:leader="none" w:pos="1432"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At any time after the Restatement Effective Date, the Borrower and any Lender may agree, by notice to the Administrative Agent (each such notice, an “</w:t>
      </w:r>
      <w:r>
        <w:rPr>
          <w:rFonts w:ascii="Arial" w:cs="Arial" w:eastAsia="Arial" w:hAnsi="Arial"/>
          <w:sz w:val="21"/>
          <w:szCs w:val="21"/>
          <w:b w:val="1"/>
          <w:bCs w:val="1"/>
          <w:color w:val="auto"/>
        </w:rPr>
        <w:t>Extension Notice</w:t>
      </w:r>
      <w:r>
        <w:rPr>
          <w:rFonts w:ascii="Arial" w:cs="Arial" w:eastAsia="Arial" w:hAnsi="Arial"/>
          <w:sz w:val="21"/>
          <w:szCs w:val="21"/>
          <w:color w:val="auto"/>
        </w:rPr>
        <w:t>”), to extend the maturity date of such Lender’s Revolving Commitments and/or Term Loans to the extended maturity date specified in such Extension Notice.</w:t>
      </w:r>
    </w:p>
    <w:p>
      <w:pPr>
        <w:spacing w:after="0" w:line="165" w:lineRule="exact"/>
        <w:rPr>
          <w:rFonts w:ascii="Arial" w:cs="Arial" w:eastAsia="Arial" w:hAnsi="Arial"/>
          <w:sz w:val="21"/>
          <w:szCs w:val="21"/>
          <w:color w:val="auto"/>
        </w:rPr>
      </w:pPr>
    </w:p>
    <w:p>
      <w:pPr>
        <w:ind w:left="1240" w:hanging="421"/>
        <w:spacing w:after="0"/>
        <w:tabs>
          <w:tab w:leader="none" w:pos="124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This Section 2.19 shall supersede any provisions in Section 2.16 or Section 9.02 to the contrary.</w:t>
      </w:r>
    </w:p>
    <w:p>
      <w:pPr>
        <w:spacing w:after="0" w:line="231" w:lineRule="exact"/>
        <w:rPr>
          <w:sz w:val="20"/>
          <w:szCs w:val="20"/>
          <w:color w:val="auto"/>
        </w:rPr>
      </w:pPr>
    </w:p>
    <w:p>
      <w:pPr>
        <w:jc w:val="both"/>
        <w:ind w:firstLine="630"/>
        <w:spacing w:after="0" w:line="309"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i w:val="1"/>
          <w:iCs w:val="1"/>
          <w:color w:val="auto"/>
        </w:rPr>
        <w:t>Illegality</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If any Lender determines that any law has made it unlawful, or that any Governmental Authority has asserted</w:t>
      </w:r>
      <w:r>
        <w:rPr>
          <w:rFonts w:ascii="Arial" w:cs="Arial" w:eastAsia="Arial" w:hAnsi="Arial"/>
          <w:sz w:val="19"/>
          <w:szCs w:val="19"/>
          <w:color w:val="auto"/>
        </w:rPr>
        <w:t xml:space="preserve"> </w:t>
      </w:r>
      <w:r>
        <w:rPr>
          <w:rFonts w:ascii="Arial" w:cs="Arial" w:eastAsia="Arial" w:hAnsi="Arial"/>
          <w:sz w:val="17"/>
          <w:szCs w:val="17"/>
          <w:color w:val="auto"/>
        </w:rPr>
        <w:t xml:space="preserve">that it is unlawful, for any Lender to make, maintain or fund Loans whose interest is determined by reference to the Adjusted LIBO Rate, or to determine or charge interest rates based upon the Adjusted LIBO Rate, then, on notice thereof by such Lender to the Borrower through the Administrative Agent, </w:t>
      </w:r>
      <w:r>
        <w:rPr>
          <w:rFonts w:ascii="Arial" w:cs="Arial" w:eastAsia="Arial" w:hAnsi="Arial"/>
          <w:sz w:val="18"/>
          <w:szCs w:val="18"/>
          <w:color w:val="auto"/>
        </w:rPr>
        <w:t>(%3)</w:t>
      </w:r>
      <w:r>
        <w:rPr>
          <w:rFonts w:ascii="Arial" w:cs="Arial" w:eastAsia="Arial" w:hAnsi="Arial"/>
          <w:sz w:val="17"/>
          <w:szCs w:val="17"/>
          <w:color w:val="auto"/>
        </w:rPr>
        <w:t xml:space="preserve"> any obligation of such Lender to make or continue Eurodollar Loans or to convert ABR Loans to Eurodollar Loans shall be suspended, and </w:t>
      </w:r>
      <w:r>
        <w:rPr>
          <w:rFonts w:ascii="Arial" w:cs="Arial" w:eastAsia="Arial" w:hAnsi="Arial"/>
          <w:sz w:val="18"/>
          <w:szCs w:val="18"/>
          <w:color w:val="auto"/>
        </w:rPr>
        <w:t>(%3)</w:t>
      </w:r>
      <w:r>
        <w:rPr>
          <w:rFonts w:ascii="Arial" w:cs="Arial" w:eastAsia="Arial" w:hAnsi="Arial"/>
          <w:sz w:val="17"/>
          <w:szCs w:val="17"/>
          <w:color w:val="auto"/>
        </w:rPr>
        <w:t xml:space="preserve"> if such notice asserts the illegality of such Lender making or maintaining ABR Loans the interest rate on which is determined by reference to the Adjusted LIBO Rate component of the Alternate Base Rate, the interest rate on such ABR Loans of such Lender shall, if necessary to avoid such illegality, be determined by the Administrative Agent without reference to the Adjusted LIBO Rate component of the Alternate Base Rate, in each case until such Lender notifies the Administrative Agent and the Borrower that the circumstances giving rise to such determination no longer exist. Upon receipt of such notice, (x) the Borrower shall, upon three Business Days’ notice from such Lender (with a copy to the Administrative Agent), prepay or, if applicable, convert all Eurodollar Loans of such Lender to ABR Loans (the interest rate on which ABR Loans of such Lender shall, if necessary to avoid such illegality, be determined by the Administrative Agent without reference to the Adjusted LIBO Rate component of the Alternate Base Rate), either on the last day of the Interest Period therefor, if such Lender may lawfully continue to maintain such Eurodollar Loans to such day, or immediately, if such Lender may not lawfully continue to maintain such Eurodollar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 in writing promptly upon becoming aware that it is no longer illegal for such Lender to determine or charge interest rates based upon the Adjusted LIBO Rate. Upon any such prepayment or conversion, the Borrower shall also pay accrued interest on the amount so prepaid or converted.</w:t>
      </w:r>
    </w:p>
    <w:p>
      <w:pPr>
        <w:spacing w:after="0" w:line="161" w:lineRule="exact"/>
        <w:rPr>
          <w:sz w:val="20"/>
          <w:szCs w:val="20"/>
          <w:color w:val="auto"/>
        </w:rPr>
      </w:pPr>
    </w:p>
    <w:p>
      <w:pPr>
        <w:ind w:left="640" w:right="440" w:firstLine="1260"/>
        <w:spacing w:after="0" w:line="294" w:lineRule="auto"/>
        <w:rPr>
          <w:sz w:val="20"/>
          <w:szCs w:val="20"/>
          <w:color w:val="auto"/>
        </w:rPr>
      </w:pPr>
      <w:r>
        <w:rPr>
          <w:rFonts w:ascii="Arial" w:cs="Arial" w:eastAsia="Arial" w:hAnsi="Arial"/>
          <w:sz w:val="20"/>
          <w:szCs w:val="20"/>
          <w:color w:val="auto"/>
        </w:rPr>
        <w:t xml:space="preserve">Section 2.21 </w:t>
      </w:r>
      <w:r>
        <w:rPr>
          <w:rFonts w:ascii="Arial" w:cs="Arial" w:eastAsia="Arial" w:hAnsi="Arial"/>
          <w:sz w:val="20"/>
          <w:szCs w:val="20"/>
          <w:i w:val="1"/>
          <w:iCs w:val="1"/>
          <w:color w:val="auto"/>
        </w:rPr>
        <w:t>Defaulting Lenders</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Notwithstanding any provision of this Agreement to the contrary, if any Lender</w:t>
      </w:r>
      <w:r>
        <w:rPr>
          <w:rFonts w:ascii="Arial" w:cs="Arial" w:eastAsia="Arial" w:hAnsi="Arial"/>
          <w:sz w:val="20"/>
          <w:szCs w:val="20"/>
          <w:color w:val="auto"/>
        </w:rPr>
        <w:t xml:space="preserve"> </w:t>
      </w:r>
      <w:r>
        <w:rPr>
          <w:rFonts w:ascii="Arial" w:cs="Arial" w:eastAsia="Arial" w:hAnsi="Arial"/>
          <w:sz w:val="18"/>
          <w:szCs w:val="18"/>
          <w:color w:val="auto"/>
        </w:rPr>
        <w:t>becomes a Defaulting Lender, then the following provisions shall apply for so long as such Lender is a Defaulting Lender:</w:t>
      </w:r>
    </w:p>
    <w:p>
      <w:pPr>
        <w:spacing w:after="0" w:line="158" w:lineRule="exact"/>
        <w:rPr>
          <w:sz w:val="20"/>
          <w:szCs w:val="20"/>
          <w:color w:val="auto"/>
        </w:rPr>
      </w:pPr>
    </w:p>
    <w:p>
      <w:pPr>
        <w:jc w:val="both"/>
        <w:ind w:firstLine="819"/>
        <w:spacing w:after="0" w:line="267" w:lineRule="auto"/>
        <w:tabs>
          <w:tab w:leader="none" w:pos="123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fees shall cease to accrue on the unfunded portion of the Revolving Commitment of such Defaulting Lender pursuant to Section 2.10(c) (it being understood, for the avoidance of doubt, that the Borrower shall have no obligation to retroactively pay such fees after such Lender ceases to be a Defaulting Lender);</w:t>
      </w:r>
    </w:p>
    <w:p>
      <w:pPr>
        <w:spacing w:after="0" w:line="165" w:lineRule="exact"/>
        <w:rPr>
          <w:rFonts w:ascii="Arial" w:cs="Arial" w:eastAsia="Arial" w:hAnsi="Arial"/>
          <w:sz w:val="21"/>
          <w:szCs w:val="21"/>
          <w:color w:val="auto"/>
        </w:rPr>
      </w:pPr>
    </w:p>
    <w:p>
      <w:pPr>
        <w:jc w:val="both"/>
        <w:ind w:firstLine="819"/>
        <w:spacing w:after="0" w:line="257" w:lineRule="auto"/>
        <w:tabs>
          <w:tab w:leader="none" w:pos="1299"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the Revolving Commitment and Revolving Exposure of such Defaulting Lender shall not be included in determining whether the Required Lenders or the Majority in Interest have taken or may take any action hereunder (including any consent to any amendment, waiver or other modification pursuant to Section 9.02);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clause (b) shall not apply to the vote of a Defaulting Lender in the case of an amendment, waiver or other modification requiring the consent of such Lender or each Lender affected thereby;</w:t>
      </w:r>
    </w:p>
    <w:p>
      <w:pPr>
        <w:spacing w:after="0" w:line="176" w:lineRule="exact"/>
        <w:rPr>
          <w:rFonts w:ascii="Arial" w:cs="Arial" w:eastAsia="Arial" w:hAnsi="Arial"/>
          <w:sz w:val="21"/>
          <w:szCs w:val="21"/>
          <w:color w:val="auto"/>
        </w:rPr>
      </w:pPr>
    </w:p>
    <w:p>
      <w:pPr>
        <w:jc w:val="both"/>
        <w:ind w:firstLine="819"/>
        <w:spacing w:after="0" w:line="277" w:lineRule="auto"/>
        <w:tabs>
          <w:tab w:leader="none" w:pos="126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pursuant to Article 7 or otherwise) or received by the Administrative Agent from a Defaulting Lender pursuant to Article 8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9"/>
          <w:szCs w:val="19"/>
          <w:i w:val="1"/>
          <w:iCs w:val="1"/>
          <w:color w:val="auto"/>
        </w:rPr>
        <w:t>fourth</w:t>
      </w:r>
      <w:r>
        <w:rPr>
          <w:rFonts w:ascii="Arial" w:cs="Arial" w:eastAsia="Arial" w:hAnsi="Arial"/>
          <w:sz w:val="19"/>
          <w:szCs w:val="19"/>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payment is a payment of the principal amount of any Loans or LC Disbursements in respect of which such Defaulting Lender has not fully funded its appropriate share, such payment shall be applied solely to pay the Loans of, and LC Disbursements owed to, all non-Defaulting Lenders on a pro rata basis prior to being applied to the payment of any Loans of, or LC Disbursements owed to, such Defaulting Lender until such time as all Loans are held by the Lenders pro rata in accordance with the Revolving Commitments. Any payments, prepayments or other amounts paid or payable to a Defaulting Lender that are applied (or held) to pay amounts owed by a Defaulting Lender or to post cash collateral pursuant to this Section 2.21(c) shall be deemed paid to and redirected by such Defaulting Lender, and each Lender irrevocably consents hereto;</w:t>
      </w:r>
    </w:p>
    <w:p>
      <w:pPr>
        <w:spacing w:after="0" w:line="166" w:lineRule="exact"/>
        <w:rPr>
          <w:rFonts w:ascii="Arial" w:cs="Arial" w:eastAsia="Arial" w:hAnsi="Arial"/>
          <w:sz w:val="19"/>
          <w:szCs w:val="19"/>
          <w:color w:val="auto"/>
        </w:rPr>
      </w:pPr>
    </w:p>
    <w:p>
      <w:pPr>
        <w:ind w:left="1240" w:hanging="421"/>
        <w:spacing w:after="0"/>
        <w:tabs>
          <w:tab w:leader="none" w:pos="124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if any LC Exposure exists at the time such Lender becomes a Defaulting Lender then:</w:t>
      </w:r>
    </w:p>
    <w:p>
      <w:pPr>
        <w:sectPr>
          <w:pgSz w:w="11900" w:h="16838" w:orient="portrait"/>
          <w:cols w:equalWidth="0" w:num="1">
            <w:col w:w="11420"/>
          </w:cols>
          <w:pgMar w:left="240" w:top="136" w:right="239" w:bottom="139" w:gutter="0" w:footer="0" w:header="0"/>
        </w:sectPr>
      </w:pPr>
    </w:p>
    <w:bookmarkStart w:id="144" w:name="page145"/>
    <w:bookmarkEnd w:id="144"/>
    <w:p>
      <w:pPr>
        <w:jc w:val="both"/>
        <w:ind w:firstLine="940"/>
        <w:spacing w:after="0" w:line="257" w:lineRule="auto"/>
        <w:tabs>
          <w:tab w:leader="none" w:pos="1384" w:val="left"/>
        </w:tabs>
        <w:numPr>
          <w:ilvl w:val="1"/>
          <w:numId w:val="102"/>
        </w:numPr>
        <w:rPr>
          <w:rFonts w:ascii="Arial" w:cs="Arial" w:eastAsia="Arial" w:hAnsi="Arial"/>
          <w:sz w:val="21"/>
          <w:szCs w:val="21"/>
          <w:color w:val="auto"/>
        </w:rPr>
      </w:pPr>
      <w:r>
        <w:rPr>
          <w:rFonts w:ascii="Arial" w:cs="Arial" w:eastAsia="Arial" w:hAnsi="Arial"/>
          <w:sz w:val="21"/>
          <w:szCs w:val="21"/>
          <w:color w:val="auto"/>
        </w:rPr>
        <w:t xml:space="preserve">all or any part of the LC Exposure of such Defaulting Lender shall be reallocated among the non-Defaulting Lenders in accordance with their respective Applicable Percentage but only to the extent the sum of all non-Defaulting Lenders’ Revolving Exposure plus such Defaulting Lender’s LC Exposure does not exceed the total of all non-Defaulting Lenders’ Revolving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such reallocation shall be given effect only if, at the date the applicable Lender becomes a Defaulting Lender, no Default or Event of Default exists;</w:t>
      </w:r>
    </w:p>
    <w:p>
      <w:pPr>
        <w:spacing w:after="0" w:line="176" w:lineRule="exact"/>
        <w:rPr>
          <w:rFonts w:ascii="Arial" w:cs="Arial" w:eastAsia="Arial" w:hAnsi="Arial"/>
          <w:sz w:val="21"/>
          <w:szCs w:val="21"/>
          <w:color w:val="auto"/>
        </w:rPr>
      </w:pPr>
    </w:p>
    <w:p>
      <w:pPr>
        <w:jc w:val="both"/>
        <w:ind w:firstLine="940"/>
        <w:spacing w:after="0" w:line="257" w:lineRule="auto"/>
        <w:tabs>
          <w:tab w:leader="none" w:pos="1442" w:val="left"/>
        </w:tabs>
        <w:numPr>
          <w:ilvl w:val="1"/>
          <w:numId w:val="102"/>
        </w:numPr>
        <w:rPr>
          <w:rFonts w:ascii="Arial" w:cs="Arial" w:eastAsia="Arial" w:hAnsi="Arial"/>
          <w:sz w:val="21"/>
          <w:szCs w:val="21"/>
          <w:color w:val="auto"/>
        </w:rPr>
      </w:pPr>
      <w:r>
        <w:rPr>
          <w:rFonts w:ascii="Arial" w:cs="Arial" w:eastAsia="Arial" w:hAnsi="Arial"/>
          <w:sz w:val="21"/>
          <w:szCs w:val="21"/>
          <w:color w:val="auto"/>
        </w:rPr>
        <w:t>if the reallocation described in clause (i) above cannot, or can only partially, be effected, the Borrower shall within one Business Day following notice by the Administrative Agent cash collateralize for the benefit of the Issuing Bank only the Borrower’s obligations corresponding to such Defaulting Lender’s LC Exposure (after giving effect to any partial reallocation pursuant to clause (i) above) in accordance with the procedures set forth in Section 2.22 for so long as such LC Exposure is outstanding;</w:t>
      </w:r>
    </w:p>
    <w:p>
      <w:pPr>
        <w:spacing w:after="0" w:line="176" w:lineRule="exact"/>
        <w:rPr>
          <w:rFonts w:ascii="Arial" w:cs="Arial" w:eastAsia="Arial" w:hAnsi="Arial"/>
          <w:sz w:val="21"/>
          <w:szCs w:val="21"/>
          <w:color w:val="auto"/>
        </w:rPr>
      </w:pPr>
    </w:p>
    <w:p>
      <w:pPr>
        <w:jc w:val="both"/>
        <w:ind w:firstLine="940"/>
        <w:spacing w:after="0" w:line="307" w:lineRule="auto"/>
        <w:tabs>
          <w:tab w:leader="none" w:pos="1435"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if the Borrower cash collateralizes any portion of such Defaulting Lender’s LC Exposure pursuant to clause (ii) above, the Borrower shall not be required to pay any fees to such Defaulting Lender pursuant to Section 2.10(d) with respect to such Defaulting Lender’s LC Exposure during the period such Defaulting Lender’s LC Exposure is cash collateralized;</w:t>
      </w:r>
    </w:p>
    <w:p>
      <w:pPr>
        <w:spacing w:after="0" w:line="132" w:lineRule="exact"/>
        <w:rPr>
          <w:rFonts w:ascii="Arial" w:cs="Arial" w:eastAsia="Arial" w:hAnsi="Arial"/>
          <w:sz w:val="19"/>
          <w:szCs w:val="19"/>
          <w:color w:val="auto"/>
        </w:rPr>
      </w:pPr>
    </w:p>
    <w:p>
      <w:pPr>
        <w:jc w:val="both"/>
        <w:ind w:firstLine="940"/>
        <w:spacing w:after="0" w:line="267" w:lineRule="auto"/>
        <w:tabs>
          <w:tab w:leader="none" w:pos="1502" w:val="left"/>
        </w:tabs>
        <w:numPr>
          <w:ilvl w:val="1"/>
          <w:numId w:val="102"/>
        </w:numPr>
        <w:rPr>
          <w:rFonts w:ascii="Arial" w:cs="Arial" w:eastAsia="Arial" w:hAnsi="Arial"/>
          <w:sz w:val="21"/>
          <w:szCs w:val="21"/>
          <w:color w:val="auto"/>
        </w:rPr>
      </w:pPr>
      <w:r>
        <w:rPr>
          <w:rFonts w:ascii="Arial" w:cs="Arial" w:eastAsia="Arial" w:hAnsi="Arial"/>
          <w:sz w:val="21"/>
          <w:szCs w:val="21"/>
          <w:color w:val="auto"/>
        </w:rPr>
        <w:t>if the LC Exposure of the non-Defaulting Lenders is reallocated pursuant to clause (i) above, then the fees payable to the Lenders pursuant to Section 2.10(c) and Section 2.10(d) shall be adjusted in accordance with such non-Defaulting Lenders’ Applicable Percentage; and</w:t>
      </w:r>
    </w:p>
    <w:p>
      <w:pPr>
        <w:spacing w:after="0" w:line="165" w:lineRule="exact"/>
        <w:rPr>
          <w:rFonts w:ascii="Arial" w:cs="Arial" w:eastAsia="Arial" w:hAnsi="Arial"/>
          <w:sz w:val="21"/>
          <w:szCs w:val="21"/>
          <w:color w:val="auto"/>
        </w:rPr>
      </w:pPr>
    </w:p>
    <w:p>
      <w:pPr>
        <w:jc w:val="both"/>
        <w:ind w:firstLine="940"/>
        <w:spacing w:after="0" w:line="277" w:lineRule="auto"/>
        <w:tabs>
          <w:tab w:leader="none" w:pos="1457" w:val="left"/>
        </w:tabs>
        <w:numPr>
          <w:ilvl w:val="1"/>
          <w:numId w:val="102"/>
        </w:numPr>
        <w:rPr>
          <w:rFonts w:ascii="Arial" w:cs="Arial" w:eastAsia="Arial" w:hAnsi="Arial"/>
          <w:sz w:val="20"/>
          <w:szCs w:val="20"/>
          <w:color w:val="auto"/>
        </w:rPr>
      </w:pPr>
      <w:r>
        <w:rPr>
          <w:rFonts w:ascii="Arial" w:cs="Arial" w:eastAsia="Arial" w:hAnsi="Arial"/>
          <w:sz w:val="20"/>
          <w:szCs w:val="20"/>
          <w:color w:val="auto"/>
        </w:rPr>
        <w:t>if all or any portion of such Defaulting Lender’s LC Exposure is neither reallocated nor cash collateralized pursuant to clause (i) or (ii) above, then, without prejudice to any rights or remedies of the Issuing Bank or any other Lender hereunder, all fees payable under Section 2.10(d) with respect to such Defaulting Lender’s LC Exposure shall be payable to the Issuing Bank until and to the extent that such LC Exposure is reallocated and/or cash collateralized; and</w:t>
      </w:r>
    </w:p>
    <w:p>
      <w:pPr>
        <w:spacing w:after="0" w:line="158" w:lineRule="exact"/>
        <w:rPr>
          <w:rFonts w:ascii="Arial" w:cs="Arial" w:eastAsia="Arial" w:hAnsi="Arial"/>
          <w:sz w:val="20"/>
          <w:szCs w:val="20"/>
          <w:color w:val="auto"/>
        </w:rPr>
      </w:pPr>
    </w:p>
    <w:p>
      <w:pPr>
        <w:jc w:val="both"/>
        <w:ind w:left="-640" w:firstLine="819"/>
        <w:spacing w:after="0" w:line="290" w:lineRule="auto"/>
        <w:tabs>
          <w:tab w:leader="none" w:pos="63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so long as such Lender is a Defaulting Lender, the Issuing Bank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Section 2.21(d), and participating interests in any newly issued or increased Letter of Credit shall be allocated among non-Defaulting Lenders in a manner consistent with Section 2.21(d)(i) (and such Defaulting Lender shall not participate therein).</w:t>
      </w:r>
    </w:p>
    <w:p>
      <w:pPr>
        <w:spacing w:after="0" w:line="141"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18"/>
          <w:szCs w:val="18"/>
          <w:color w:val="auto"/>
        </w:rPr>
        <w:t>If (i) a Bankruptcy Event with respect to a Lender Parent of any Lender shall occur following the Restatement Effective Date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 or such Lender, satisfactory to the Issuing Bank to defease any risk to it in respect of such Lender hereunder.</w:t>
      </w:r>
    </w:p>
    <w:p>
      <w:pPr>
        <w:spacing w:after="0" w:line="166"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In the event that the Administrative Agent, the Borrower and the Issuing Bank each agrees that a Defaulting Lender has adequately remedied all matters that caused such Lender to be a Defaulting Lender, then the LC Exposure of the Lenders shall be readjusted to reflect the inclusion of such Lender’s Revolving Commitment and on such date such Lender shall purchase at par such of the Revolving Loans of the other Lenders as the Administrative Agent shall determine may be necessary in order for such Lender to hold such Revolving Loans in accordance with its Applicable Percentage.</w:t>
      </w:r>
    </w:p>
    <w:p>
      <w:pPr>
        <w:spacing w:after="0" w:line="187" w:lineRule="exact"/>
        <w:rPr>
          <w:sz w:val="20"/>
          <w:szCs w:val="20"/>
          <w:color w:val="auto"/>
        </w:rPr>
      </w:pPr>
    </w:p>
    <w:p>
      <w:pPr>
        <w:ind w:left="1260"/>
        <w:spacing w:after="0"/>
        <w:tabs>
          <w:tab w:leader="none" w:pos="2480" w:val="left"/>
        </w:tabs>
        <w:rPr>
          <w:sz w:val="20"/>
          <w:szCs w:val="20"/>
          <w:color w:val="auto"/>
        </w:rPr>
      </w:pPr>
      <w:r>
        <w:rPr>
          <w:rFonts w:ascii="Arial" w:cs="Arial" w:eastAsia="Arial" w:hAnsi="Arial"/>
          <w:sz w:val="21"/>
          <w:szCs w:val="21"/>
          <w:i w:val="1"/>
          <w:iCs w:val="1"/>
          <w:color w:val="auto"/>
        </w:rPr>
        <w:t>Section 2.22</w:t>
      </w:r>
      <w:r>
        <w:rPr>
          <w:sz w:val="20"/>
          <w:szCs w:val="20"/>
          <w:color w:val="auto"/>
        </w:rPr>
        <w:tab/>
      </w:r>
      <w:r>
        <w:rPr>
          <w:rFonts w:ascii="Arial" w:cs="Arial" w:eastAsia="Arial" w:hAnsi="Arial"/>
          <w:sz w:val="19"/>
          <w:szCs w:val="19"/>
          <w:i w:val="1"/>
          <w:iCs w:val="1"/>
          <w:color w:val="auto"/>
        </w:rPr>
        <w:t>Letters of Credit</w:t>
      </w:r>
      <w:r>
        <w:rPr>
          <w:rFonts w:ascii="Arial" w:cs="Arial" w:eastAsia="Arial" w:hAnsi="Arial"/>
          <w:sz w:val="19"/>
          <w:szCs w:val="19"/>
          <w:color w:val="auto"/>
        </w:rPr>
        <w:t>.</w:t>
      </w:r>
    </w:p>
    <w:p>
      <w:pPr>
        <w:spacing w:after="0" w:line="218" w:lineRule="exact"/>
        <w:rPr>
          <w:sz w:val="20"/>
          <w:szCs w:val="20"/>
          <w:color w:val="auto"/>
        </w:rPr>
      </w:pPr>
    </w:p>
    <w:p>
      <w:pPr>
        <w:jc w:val="both"/>
        <w:ind w:left="-640" w:firstLine="819"/>
        <w:spacing w:after="0" w:line="265" w:lineRule="auto"/>
        <w:tabs>
          <w:tab w:leader="none" w:pos="582" w:val="left"/>
        </w:tabs>
        <w:numPr>
          <w:ilvl w:val="0"/>
          <w:numId w:val="104"/>
        </w:numPr>
        <w:rPr>
          <w:rFonts w:ascii="Arial" w:cs="Arial" w:eastAsia="Arial" w:hAnsi="Arial"/>
          <w:sz w:val="20"/>
          <w:szCs w:val="20"/>
          <w:color w:val="auto"/>
        </w:rPr>
      </w:pPr>
      <w:r>
        <w:rPr>
          <w:rFonts w:ascii="Arial" w:cs="Arial" w:eastAsia="Arial" w:hAnsi="Arial"/>
          <w:sz w:val="20"/>
          <w:szCs w:val="20"/>
          <w:i w:val="1"/>
          <w:iCs w:val="1"/>
          <w:color w:val="auto"/>
        </w:rPr>
        <w:t xml:space="preserve">LC Commitment. </w:t>
      </w:r>
      <w:r>
        <w:rPr>
          <w:rFonts w:ascii="Arial" w:cs="Arial" w:eastAsia="Arial" w:hAnsi="Arial"/>
          <w:sz w:val="20"/>
          <w:szCs w:val="20"/>
          <w:color w:val="auto"/>
        </w:rPr>
        <w:t>(%4) Subject to the terms and conditions hereof, the Issuing Bank, in reliance on the agreements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other Revolving Lenders set forth in Section 2.22(c), agrees to issue letters of credit (“</w:t>
      </w:r>
      <w:r>
        <w:rPr>
          <w:rFonts w:ascii="Arial" w:cs="Arial" w:eastAsia="Arial" w:hAnsi="Arial"/>
          <w:sz w:val="20"/>
          <w:szCs w:val="20"/>
          <w:b w:val="1"/>
          <w:bCs w:val="1"/>
          <w:color w:val="auto"/>
        </w:rPr>
        <w:t>Letters of Credit</w:t>
      </w:r>
      <w:r>
        <w:rPr>
          <w:rFonts w:ascii="Arial" w:cs="Arial" w:eastAsia="Arial" w:hAnsi="Arial"/>
          <w:sz w:val="20"/>
          <w:szCs w:val="20"/>
          <w:color w:val="auto"/>
        </w:rPr>
        <w:t>”) for the account of the Borrower (or for the account of any Subsidiary so long as the Borrower and such Subsidiary are co-applicants in respect of such Letter of Credit) on any Business Day during the Revolving Availability Period in such form as may be approved from time to time by the Issuing Bank; provided that the Issuing Bank shall have no obligation to issue any Letter of Credit if, after giving effect to such issuance, (x) the LC Obligations would exceed the LC Commitment, (y) the aggregate amount of the Available Revolving Commitments would be less than zero or (z) subject to Section 9.04(b)(ii)(E), the Applicable Fronting Exposure of such Issuing Bank would exceed its Revolving Commitment. Each Letter of Credit shall, except as provided in Section 2.22(a)(ii) below, expire no later than the earlier of (A) the first anniversary of its date of issuance and (B) the date that is five Business Days prior to the Revolving Maturity Date, provided that any Letter of Credit with a one-year term may provide for the renewal thereof for additional one-year periods (which shall in no event extend beyond the date referred to in clause (B) above).</w:t>
      </w:r>
    </w:p>
    <w:p>
      <w:pPr>
        <w:spacing w:after="0" w:line="172" w:lineRule="exact"/>
        <w:rPr>
          <w:rFonts w:ascii="Arial" w:cs="Arial" w:eastAsia="Arial" w:hAnsi="Arial"/>
          <w:sz w:val="20"/>
          <w:szCs w:val="20"/>
          <w:color w:val="auto"/>
        </w:rPr>
      </w:pPr>
    </w:p>
    <w:p>
      <w:pPr>
        <w:jc w:val="both"/>
        <w:ind w:firstLine="940"/>
        <w:spacing w:after="0" w:line="285" w:lineRule="auto"/>
        <w:tabs>
          <w:tab w:leader="none" w:pos="1331" w:val="left"/>
        </w:tabs>
        <w:numPr>
          <w:ilvl w:val="1"/>
          <w:numId w:val="104"/>
        </w:numPr>
        <w:rPr>
          <w:rFonts w:ascii="Arial" w:cs="Arial" w:eastAsia="Arial" w:hAnsi="Arial"/>
          <w:sz w:val="19"/>
          <w:szCs w:val="19"/>
          <w:color w:val="auto"/>
        </w:rPr>
      </w:pPr>
      <w:r>
        <w:rPr>
          <w:rFonts w:ascii="Arial" w:cs="Arial" w:eastAsia="Arial" w:hAnsi="Arial"/>
          <w:sz w:val="19"/>
          <w:szCs w:val="19"/>
          <w:color w:val="auto"/>
        </w:rPr>
        <w:t>If requested by the Borrower and if the Issuing Bank agrees, the Issuing Bank may issue one or more Letters of Credit hereunder, with expiry dates that would occur after the fifth (5th) Business Day prior to the Revolving Maturity Date, based upon the Borrower’s agreement to cash collateralize the LC Obligations in accordance with Section 2.22(h). If the Borrower fails to cash collateralize the outstanding LC Obligations in accordance with the requirements of Section 2.22(h), each outstanding Letter of Credit shall automatically be deemed to be drawn in full on such date and the reimbursement obligations of the Borrower set forth in Section 2.22(d) shall be deemed to apply and shall be construed such that the reimbursement obligation is to provide cash collateral in accordance with the requirements of Section 2.22(h).</w:t>
      </w:r>
    </w:p>
    <w:p>
      <w:pPr>
        <w:spacing w:after="0" w:line="152" w:lineRule="exact"/>
        <w:rPr>
          <w:rFonts w:ascii="Arial" w:cs="Arial" w:eastAsia="Arial" w:hAnsi="Arial"/>
          <w:sz w:val="19"/>
          <w:szCs w:val="19"/>
          <w:color w:val="auto"/>
        </w:rPr>
      </w:pPr>
    </w:p>
    <w:p>
      <w:pPr>
        <w:jc w:val="both"/>
        <w:ind w:firstLine="940"/>
        <w:spacing w:after="0" w:line="307" w:lineRule="auto"/>
        <w:tabs>
          <w:tab w:leader="none" w:pos="1468"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Borrower shall grant to the Administrative Agent for the benefit of the Issuing Bank and the Lenders, pursuant to a collateral agreement, a security interest in all cash, deposit accounts and all balances therein and all proceeds of the foregoing as required to be deposited pursuant to Section 2.22(a)(ii) or Section 2.22(h). Cash collateral shall be maintained</w:t>
      </w:r>
    </w:p>
    <w:p>
      <w:pPr>
        <w:sectPr>
          <w:pgSz w:w="11900" w:h="16838" w:orient="portrait"/>
          <w:cols w:equalWidth="0" w:num="1">
            <w:col w:w="10780"/>
          </w:cols>
          <w:pgMar w:left="880" w:top="131" w:right="239" w:bottom="0" w:gutter="0" w:footer="0" w:header="0"/>
        </w:sectPr>
      </w:pPr>
    </w:p>
    <w:bookmarkStart w:id="145" w:name="page146"/>
    <w:bookmarkEnd w:id="145"/>
    <w:p>
      <w:pPr>
        <w:spacing w:after="0" w:line="126"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in blocked, interest bearing deposit accounts at JPMorgan Chase Bank, N.A. (or any affiliate thereof) (the “</w:t>
      </w:r>
      <w:r>
        <w:rPr>
          <w:rFonts w:ascii="Arial" w:cs="Arial" w:eastAsia="Arial" w:hAnsi="Arial"/>
          <w:sz w:val="19"/>
          <w:szCs w:val="19"/>
          <w:b w:val="1"/>
          <w:bCs w:val="1"/>
          <w:color w:val="auto"/>
        </w:rPr>
        <w:t>LC Cash Collateral</w:t>
      </w:r>
      <w:r>
        <w:rPr>
          <w:rFonts w:ascii="Arial" w:cs="Arial" w:eastAsia="Arial" w:hAnsi="Arial"/>
          <w:sz w:val="19"/>
          <w:szCs w:val="19"/>
          <w:color w:val="auto"/>
        </w:rPr>
        <w:t xml:space="preserve"> </w:t>
      </w:r>
      <w:r>
        <w:rPr>
          <w:rFonts w:ascii="Arial" w:cs="Arial" w:eastAsia="Arial" w:hAnsi="Arial"/>
          <w:sz w:val="19"/>
          <w:szCs w:val="19"/>
          <w:b w:val="1"/>
          <w:bCs w:val="1"/>
          <w:color w:val="auto"/>
        </w:rPr>
        <w:t>Account</w:t>
      </w:r>
      <w:r>
        <w:rPr>
          <w:rFonts w:ascii="Arial" w:cs="Arial" w:eastAsia="Arial" w:hAnsi="Arial"/>
          <w:sz w:val="19"/>
          <w:szCs w:val="19"/>
          <w:color w:val="auto"/>
        </w:rPr>
        <w:t>”). All interest on such cash collateral shall be paid to the Borrower upon the Borrower’s request, provided that such</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shall first be applied to all outstanding Obligations at such time and the balance shall be distributed to the Borrower.</w:t>
      </w:r>
    </w:p>
    <w:p>
      <w:pPr>
        <w:spacing w:after="0" w:line="137" w:lineRule="exact"/>
        <w:rPr>
          <w:sz w:val="20"/>
          <w:szCs w:val="20"/>
          <w:color w:val="auto"/>
        </w:rPr>
      </w:pPr>
    </w:p>
    <w:p>
      <w:pPr>
        <w:jc w:val="both"/>
        <w:ind w:firstLine="940"/>
        <w:spacing w:after="0" w:line="267" w:lineRule="auto"/>
        <w:tabs>
          <w:tab w:leader="none" w:pos="154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The Issuing Bank shall not at any time be obligated to issue any Letter of Credit if such issuance would conflict with, or cause the Issuing Bank or any LC Participant to exceed any limits imposed by, any applicable Requirement of Law.</w:t>
      </w:r>
    </w:p>
    <w:p>
      <w:pPr>
        <w:spacing w:after="0" w:line="165" w:lineRule="exact"/>
        <w:rPr>
          <w:rFonts w:ascii="Arial" w:cs="Arial" w:eastAsia="Arial" w:hAnsi="Arial"/>
          <w:sz w:val="21"/>
          <w:szCs w:val="21"/>
          <w:color w:val="auto"/>
        </w:rPr>
      </w:pPr>
    </w:p>
    <w:p>
      <w:pPr>
        <w:jc w:val="both"/>
        <w:ind w:left="-640" w:firstLine="819"/>
        <w:spacing w:after="0" w:line="280" w:lineRule="auto"/>
        <w:tabs>
          <w:tab w:leader="none" w:pos="646"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 xml:space="preserve">Procedure for Issuance of Letter of Credit. </w:t>
      </w:r>
      <w:r>
        <w:rPr>
          <w:rFonts w:ascii="Arial" w:cs="Arial" w:eastAsia="Arial" w:hAnsi="Arial"/>
          <w:sz w:val="19"/>
          <w:szCs w:val="19"/>
          <w:color w:val="auto"/>
        </w:rPr>
        <w:t>The Borrower may from time to time request that the Issuing Bank issue a</w:t>
      </w:r>
      <w:r>
        <w:rPr>
          <w:rFonts w:ascii="Arial" w:cs="Arial" w:eastAsia="Arial" w:hAnsi="Arial"/>
          <w:sz w:val="19"/>
          <w:szCs w:val="19"/>
          <w:i w:val="1"/>
          <w:iCs w:val="1"/>
          <w:color w:val="auto"/>
        </w:rPr>
        <w:t xml:space="preserve"> </w:t>
      </w:r>
      <w:r>
        <w:rPr>
          <w:rFonts w:ascii="Arial" w:cs="Arial" w:eastAsia="Arial" w:hAnsi="Arial"/>
          <w:sz w:val="19"/>
          <w:szCs w:val="19"/>
          <w:color w:val="auto"/>
        </w:rPr>
        <w:t>Letter of Credit by delivering to the Issuing Bank at its address for notices specified herein an Application therefor, completed to the satisfaction of the Issuing Bank, and such other certificates, documents and other papers and information as the Issuing Bank may reasonably request. Upon receipt of any Application, the Issuing Bank will process such Application and the certificates, documents and other papers and information delivered to it in connection therewith in accordance with its customary procedures and shall promptly issue the Letter of Credit requested thereby (but in no event shall the Issuing Bank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Issuing Bank and the Borrower. The Issuing Bank shall furnish a copy of such Letter of Credit to the Borrower promptly following the issuance thereof. The Issuing Bank shall promptly furnish to the Administrative Agent, which shall in turn promptly furnish to the Lenders, notice of the issuance of each Letter of Credit (including the amount thereof).</w:t>
      </w:r>
    </w:p>
    <w:p>
      <w:pPr>
        <w:spacing w:after="0" w:line="162" w:lineRule="exact"/>
        <w:rPr>
          <w:rFonts w:ascii="Arial" w:cs="Arial" w:eastAsia="Arial" w:hAnsi="Arial"/>
          <w:sz w:val="19"/>
          <w:szCs w:val="19"/>
          <w:color w:val="auto"/>
        </w:rPr>
      </w:pPr>
    </w:p>
    <w:p>
      <w:pPr>
        <w:jc w:val="both"/>
        <w:ind w:left="-640" w:firstLine="819"/>
        <w:spacing w:after="0" w:line="263" w:lineRule="auto"/>
        <w:tabs>
          <w:tab w:leader="none" w:pos="621" w:val="left"/>
        </w:tabs>
        <w:numPr>
          <w:ilvl w:val="0"/>
          <w:numId w:val="106"/>
        </w:numPr>
        <w:rPr>
          <w:rFonts w:ascii="Arial" w:cs="Arial" w:eastAsia="Arial" w:hAnsi="Arial"/>
          <w:sz w:val="20"/>
          <w:szCs w:val="20"/>
          <w:color w:val="auto"/>
        </w:rPr>
      </w:pPr>
      <w:r>
        <w:rPr>
          <w:rFonts w:ascii="Arial" w:cs="Arial" w:eastAsia="Arial" w:hAnsi="Arial"/>
          <w:sz w:val="20"/>
          <w:szCs w:val="20"/>
          <w:i w:val="1"/>
          <w:iCs w:val="1"/>
          <w:color w:val="auto"/>
        </w:rPr>
        <w:t xml:space="preserve">LC Participation. </w:t>
      </w:r>
      <w:r>
        <w:rPr>
          <w:rFonts w:ascii="Arial" w:cs="Arial" w:eastAsia="Arial" w:hAnsi="Arial"/>
          <w:sz w:val="20"/>
          <w:szCs w:val="20"/>
          <w:color w:val="auto"/>
        </w:rPr>
        <w:t>(%4) The Issuing Bank irrevocably agrees to grant and hereby grants to each LC Participant, and, to</w:t>
      </w:r>
      <w:r>
        <w:rPr>
          <w:rFonts w:ascii="Arial" w:cs="Arial" w:eastAsia="Arial" w:hAnsi="Arial"/>
          <w:sz w:val="20"/>
          <w:szCs w:val="20"/>
          <w:i w:val="1"/>
          <w:iCs w:val="1"/>
          <w:color w:val="auto"/>
        </w:rPr>
        <w:t xml:space="preserve"> </w:t>
      </w:r>
      <w:r>
        <w:rPr>
          <w:rFonts w:ascii="Arial" w:cs="Arial" w:eastAsia="Arial" w:hAnsi="Arial"/>
          <w:sz w:val="20"/>
          <w:szCs w:val="20"/>
          <w:color w:val="auto"/>
        </w:rPr>
        <w:t>induce the Issuing Bank to issue Letters of Credit, each LC Participant irrevocably agrees to accept and purchase and hereby accepts and purchases from the Issuing Bank, on the terms and conditions set forth below, for such LC Participant’s own account and risk an undivided interest equal to such LC Participant’s Applicable Percentage in the Issuing Bank’s obligations and rights under and in respect of each Letter of Credit and the amount of each draft paid by the Issuing Bank thereunder. Each LC Participant agrees with the Issuing Bank that, if a draft is paid under any Letter of Credit for which the Issuing Bank is not reimbursed in full by the Borrower in accordance with the terms of this Agreement (or in the event that any reimbursement received by the Issuing Bank shall be required to be returned by it at any time), such LC Participant shall pay to the Issuing Bank upon demand at the Issuing Bank’s address for notices specified herein an amount equal to such LC Participant’s Applicable Percentage of the amount that is not so reimbursed (or is so returned). Each LC Participant’s obligation to pay such amount shall be absolute and unconditional and shall not be affected by any circumstance, including (A) any setoff, counterclaim, recoupment, defense or other right that such LC Participant may have against the Issuing Bank, the Borrower or any other Person for any reason whatsoever, (B) the occurrence or continuance of a Default or an Event of Default or the failure to satisfy any of the other conditions specified in Section 4.02, (C) any adverse change in the condition (financial or otherwise) of the Borrower, (D) any breach of this Agreement or any other Loan Document by the Borrower, any other Loan Party or any other LC Participant or (E) any other circumstance, happening or event whatsoever, whether or not similar to any of the foregoing.</w:t>
      </w:r>
    </w:p>
    <w:p>
      <w:pPr>
        <w:spacing w:after="0" w:line="180" w:lineRule="exact"/>
        <w:rPr>
          <w:rFonts w:ascii="Arial" w:cs="Arial" w:eastAsia="Arial" w:hAnsi="Arial"/>
          <w:sz w:val="20"/>
          <w:szCs w:val="20"/>
          <w:color w:val="auto"/>
        </w:rPr>
      </w:pPr>
    </w:p>
    <w:p>
      <w:pPr>
        <w:jc w:val="both"/>
        <w:ind w:firstLine="940"/>
        <w:spacing w:after="0" w:line="280" w:lineRule="auto"/>
        <w:tabs>
          <w:tab w:leader="none" w:pos="141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If any amount required to be paid by any LC Participant to the Issuing Bank pursuant to Section 2.22(c) in respect of any unreimbursed portion of any payment made by the Issuing Bank under any Letter of Credit is paid to the Issuing Bank within three Business Days after the date such payment is due, such LC Participant shall pay to the Issuing Bank on demand an amount equal to the product of (A) such amount, times (B) the daily average Federal Funds Effective Rate during the period from and including the date such payment is required to the date on which such payment is immediately available to the Issuing Bank, times (C) a fraction the numerator of which is the number of days that elapse during such period and the denominator of which is 360. If any such amount required to be paid by any LC Participant pursuant to Section 2.22(c) is not made available to the Issuing Bank by such LC Participant within three Business Days after the date such payment is due, the Issuing Bank shall be entitled to recover from such LC Participant, on demand, such amount with interest thereon calculated from such due date at the Applicable Rate to ABR Revolving Loans. A certificate of the Issuing Bank submitted to any LC Participant with respect to any amounts owing under this Section shall be conclusive in the absence of manifest error.</w:t>
      </w:r>
    </w:p>
    <w:p>
      <w:pPr>
        <w:spacing w:after="0" w:line="162" w:lineRule="exact"/>
        <w:rPr>
          <w:sz w:val="20"/>
          <w:szCs w:val="20"/>
          <w:color w:val="auto"/>
        </w:rPr>
      </w:pPr>
    </w:p>
    <w:p>
      <w:pPr>
        <w:jc w:val="both"/>
        <w:ind w:firstLine="940"/>
        <w:spacing w:after="0" w:line="254" w:lineRule="auto"/>
        <w:tabs>
          <w:tab w:leader="none" w:pos="1429" w:val="left"/>
        </w:tabs>
        <w:numPr>
          <w:ilvl w:val="1"/>
          <w:numId w:val="107"/>
        </w:numPr>
        <w:rPr>
          <w:rFonts w:ascii="Arial" w:cs="Arial" w:eastAsia="Arial" w:hAnsi="Arial"/>
          <w:sz w:val="21"/>
          <w:szCs w:val="21"/>
          <w:color w:val="auto"/>
        </w:rPr>
      </w:pPr>
      <w:r>
        <w:rPr>
          <w:rFonts w:ascii="Arial" w:cs="Arial" w:eastAsia="Arial" w:hAnsi="Arial"/>
          <w:sz w:val="21"/>
          <w:szCs w:val="21"/>
          <w:color w:val="auto"/>
        </w:rPr>
        <w:t xml:space="preserve">Whenever, at any time after the Issuing Bank has made payment under any Letter of Credit and has received from any LC Participant its pro rata share of such payment in accordance with Section 2.22(c), the Issuing Bank receives any payment related to such Letter of Credit (whether directly from the Borrower or otherwise, including proceeds of collateral applied thereto by the Issuing Bank), or any payment of interest on account thereof, the Issuing Bank will distribute to such LC Participant its pro rata share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the event that any such payment received by the Issuing Bank shall be required to be returned by the Issuing Bank, such LC Participant shall return to the Issuing Bank the portion thereof previously distributed by the Issuing Bank to it.</w:t>
      </w:r>
    </w:p>
    <w:p>
      <w:pPr>
        <w:spacing w:after="0" w:line="179" w:lineRule="exact"/>
        <w:rPr>
          <w:rFonts w:ascii="Arial" w:cs="Arial" w:eastAsia="Arial" w:hAnsi="Arial"/>
          <w:sz w:val="21"/>
          <w:szCs w:val="21"/>
          <w:color w:val="auto"/>
        </w:rPr>
      </w:pPr>
    </w:p>
    <w:p>
      <w:pPr>
        <w:jc w:val="both"/>
        <w:ind w:left="-640" w:firstLine="819"/>
        <w:spacing w:after="0" w:line="285" w:lineRule="auto"/>
        <w:tabs>
          <w:tab w:leader="none" w:pos="593"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 xml:space="preserve">Reimbursement Obligations of the Borrower. </w:t>
      </w:r>
      <w:r>
        <w:rPr>
          <w:rFonts w:ascii="Arial" w:cs="Arial" w:eastAsia="Arial" w:hAnsi="Arial"/>
          <w:sz w:val="19"/>
          <w:szCs w:val="19"/>
          <w:color w:val="auto"/>
        </w:rPr>
        <w:t>If any draft is paid under any Letter of Credit, the Borrower shall reimburse</w:t>
      </w:r>
      <w:r>
        <w:rPr>
          <w:rFonts w:ascii="Arial" w:cs="Arial" w:eastAsia="Arial" w:hAnsi="Arial"/>
          <w:sz w:val="19"/>
          <w:szCs w:val="19"/>
          <w:i w:val="1"/>
          <w:iCs w:val="1"/>
          <w:color w:val="auto"/>
        </w:rPr>
        <w:t xml:space="preserve"> </w:t>
      </w:r>
      <w:r>
        <w:rPr>
          <w:rFonts w:ascii="Arial" w:cs="Arial" w:eastAsia="Arial" w:hAnsi="Arial"/>
          <w:sz w:val="19"/>
          <w:szCs w:val="19"/>
          <w:color w:val="auto"/>
        </w:rPr>
        <w:t>the Issuing Bank for the amount of (x) the draft so paid and (y) any taxes, fees, charges or other costs or expenses incurred by the Issuing Bank in connection with such payment, not later than 12:00 Noon, New York City time, on the Business Day immediately following the day that the Borrower receives such notice from the relevant Issuing Bank. Each such payment shall be made to the Issuing Bank at its address for notices referred to herein in Dollars and in immediately available funds. Interest shall be payable on any such amounts from the date on which the relevant draft is paid until payment in full at the rate set forth in (x) until the Business Day next succeeding the date of the relevant notice, Section 2.11(b) and (y) thereafter, Section 2.11(c).</w:t>
      </w:r>
    </w:p>
    <w:p>
      <w:pPr>
        <w:spacing w:after="0" w:line="152" w:lineRule="exact"/>
        <w:rPr>
          <w:rFonts w:ascii="Arial" w:cs="Arial" w:eastAsia="Arial" w:hAnsi="Arial"/>
          <w:sz w:val="19"/>
          <w:szCs w:val="19"/>
          <w:color w:val="auto"/>
        </w:rPr>
      </w:pPr>
    </w:p>
    <w:p>
      <w:pPr>
        <w:jc w:val="both"/>
        <w:ind w:left="-640" w:firstLine="819"/>
        <w:spacing w:after="0" w:line="341" w:lineRule="auto"/>
        <w:tabs>
          <w:tab w:leader="none" w:pos="739"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 xml:space="preserve">Obligations Absolute. </w:t>
      </w:r>
      <w:r>
        <w:rPr>
          <w:rFonts w:ascii="Arial" w:cs="Arial" w:eastAsia="Arial" w:hAnsi="Arial"/>
          <w:sz w:val="19"/>
          <w:szCs w:val="19"/>
          <w:color w:val="auto"/>
        </w:rPr>
        <w:t>The Borrower’s obligations under this Section 2.22(e) shall be absolute, unconditional and</w:t>
      </w:r>
      <w:r>
        <w:rPr>
          <w:rFonts w:ascii="Arial" w:cs="Arial" w:eastAsia="Arial" w:hAnsi="Arial"/>
          <w:sz w:val="19"/>
          <w:szCs w:val="19"/>
          <w:i w:val="1"/>
          <w:iCs w:val="1"/>
          <w:color w:val="auto"/>
        </w:rPr>
        <w:t xml:space="preserve"> </w:t>
      </w:r>
      <w:r>
        <w:rPr>
          <w:rFonts w:ascii="Arial" w:cs="Arial" w:eastAsia="Arial" w:hAnsi="Arial"/>
          <w:sz w:val="19"/>
          <w:szCs w:val="19"/>
          <w:color w:val="auto"/>
        </w:rPr>
        <w:t>irrevocable under any and all circumstances and irrespective of any setoff, counterclaim or defense to payment that the Borrower may</w:t>
      </w:r>
    </w:p>
    <w:p>
      <w:pPr>
        <w:sectPr>
          <w:pgSz w:w="11900" w:h="16964" w:orient="portrait"/>
          <w:cols w:equalWidth="0" w:num="1">
            <w:col w:w="10780"/>
          </w:cols>
          <w:pgMar w:left="880" w:top="125" w:right="239" w:bottom="0" w:gutter="0" w:footer="0" w:header="0"/>
        </w:sectPr>
      </w:pPr>
    </w:p>
    <w:bookmarkStart w:id="146" w:name="page147"/>
    <w:bookmarkEnd w:id="146"/>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have or have had against the Issuing Bank, any beneficiary of a Letter of Credit or any other Person. The Borrower also agrees with the Issuing Bank that the Issuing Bank shall not be responsible for, and the Borrower’s Reimbursement Obligations under Section 2.22(e)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or payment by the Issuing Bank under a Letter of Credit against presentation of a draft or other document that does not comply with the terms of such Letter of Credit or any other event or circumstance whatsoever, whether or not similar to any of the foregoing, that might, but for the provisions of this Section, constitute a legal or equitable discharge of, or provide a right of setoff against, the Borrower’s obligations hereunder. The Issuing Bank shall not be liable for any error, omission, interruption or delay in transmission, dispatch or delivery of any message or advice, however transmitted, in connection with any Letter of Credit, except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errors or omissions found by a final and nonappealable decision of a court of competent jurisdiction to have resulted from the gross negligence or willful misconduct of the Issuing Bank. The Borrower agrees that any action taken or omitted by the Issuing Bank under or in connection with any Letter of Credit or the related drafts or documents, if done in the absence of gross negligence or willful misconduct, shall be binding on the Borrower and shall not result in any liability of the Issuing Bank to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the Issuing Bank have any liability to any other Person for indirect, special, incidental, consequential or</w:t>
      </w:r>
      <w:r>
        <w:rPr>
          <w:rFonts w:ascii="Arial" w:cs="Arial" w:eastAsia="Arial" w:hAnsi="Arial"/>
          <w:sz w:val="19"/>
          <w:szCs w:val="19"/>
          <w:i w:val="1"/>
          <w:iCs w:val="1"/>
          <w:color w:val="auto"/>
        </w:rPr>
        <w:t xml:space="preserve"> </w:t>
      </w:r>
      <w:r>
        <w:rPr>
          <w:rFonts w:ascii="Arial" w:cs="Arial" w:eastAsia="Arial" w:hAnsi="Arial"/>
          <w:sz w:val="19"/>
          <w:szCs w:val="19"/>
          <w:color w:val="auto"/>
        </w:rPr>
        <w:t>punitive damages (as opposed to direct or actual damages).</w:t>
      </w:r>
    </w:p>
    <w:p>
      <w:pPr>
        <w:spacing w:after="0" w:line="174" w:lineRule="exact"/>
        <w:rPr>
          <w:sz w:val="20"/>
          <w:szCs w:val="20"/>
          <w:color w:val="auto"/>
        </w:rPr>
      </w:pPr>
    </w:p>
    <w:p>
      <w:pPr>
        <w:jc w:val="both"/>
        <w:ind w:firstLine="819"/>
        <w:spacing w:after="0" w:line="273" w:lineRule="auto"/>
        <w:tabs>
          <w:tab w:leader="none" w:pos="1225" w:val="left"/>
        </w:tabs>
        <w:numPr>
          <w:ilvl w:val="0"/>
          <w:numId w:val="109"/>
        </w:numPr>
        <w:rPr>
          <w:rFonts w:ascii="Arial" w:cs="Arial" w:eastAsia="Arial" w:hAnsi="Arial"/>
          <w:sz w:val="20"/>
          <w:szCs w:val="20"/>
          <w:color w:val="auto"/>
        </w:rPr>
      </w:pPr>
      <w:r>
        <w:rPr>
          <w:rFonts w:ascii="Arial" w:cs="Arial" w:eastAsia="Arial" w:hAnsi="Arial"/>
          <w:sz w:val="20"/>
          <w:szCs w:val="20"/>
          <w:i w:val="1"/>
          <w:iCs w:val="1"/>
          <w:color w:val="auto"/>
        </w:rPr>
        <w:t xml:space="preserve">Letters of Credit Payment. </w:t>
      </w:r>
      <w:r>
        <w:rPr>
          <w:rFonts w:ascii="Arial" w:cs="Arial" w:eastAsia="Arial" w:hAnsi="Arial"/>
          <w:sz w:val="20"/>
          <w:szCs w:val="20"/>
          <w:color w:val="auto"/>
        </w:rPr>
        <w:t>If any draft shall be presented for payment under any Letter of Credit, the Issuing Bank shall</w:t>
      </w:r>
      <w:r>
        <w:rPr>
          <w:rFonts w:ascii="Arial" w:cs="Arial" w:eastAsia="Arial" w:hAnsi="Arial"/>
          <w:sz w:val="20"/>
          <w:szCs w:val="20"/>
          <w:i w:val="1"/>
          <w:iCs w:val="1"/>
          <w:color w:val="auto"/>
        </w:rPr>
        <w:t xml:space="preserve"> </w:t>
      </w:r>
      <w:r>
        <w:rPr>
          <w:rFonts w:ascii="Arial" w:cs="Arial" w:eastAsia="Arial" w:hAnsi="Arial"/>
          <w:sz w:val="20"/>
          <w:szCs w:val="20"/>
          <w:color w:val="auto"/>
        </w:rPr>
        <w:t>promptly notify the Borrower of the date and amount thereof. The responsibility of the Issuing Bank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61" w:lineRule="exact"/>
        <w:rPr>
          <w:rFonts w:ascii="Arial" w:cs="Arial" w:eastAsia="Arial" w:hAnsi="Arial"/>
          <w:sz w:val="20"/>
          <w:szCs w:val="20"/>
          <w:color w:val="auto"/>
        </w:rPr>
      </w:pPr>
    </w:p>
    <w:p>
      <w:pPr>
        <w:jc w:val="both"/>
        <w:ind w:firstLine="819"/>
        <w:spacing w:after="0" w:line="267" w:lineRule="auto"/>
        <w:tabs>
          <w:tab w:leader="none" w:pos="1273" w:val="left"/>
        </w:tabs>
        <w:numPr>
          <w:ilvl w:val="0"/>
          <w:numId w:val="109"/>
        </w:numPr>
        <w:rPr>
          <w:rFonts w:ascii="Arial" w:cs="Arial" w:eastAsia="Arial" w:hAnsi="Arial"/>
          <w:sz w:val="21"/>
          <w:szCs w:val="21"/>
          <w:color w:val="auto"/>
        </w:rPr>
      </w:pPr>
      <w:r>
        <w:rPr>
          <w:rFonts w:ascii="Arial" w:cs="Arial" w:eastAsia="Arial" w:hAnsi="Arial"/>
          <w:sz w:val="21"/>
          <w:szCs w:val="21"/>
          <w:i w:val="1"/>
          <w:iCs w:val="1"/>
          <w:color w:val="auto"/>
        </w:rPr>
        <w:t xml:space="preserve">Applications. </w:t>
      </w:r>
      <w:r>
        <w:rPr>
          <w:rFonts w:ascii="Arial" w:cs="Arial" w:eastAsia="Arial" w:hAnsi="Arial"/>
          <w:sz w:val="21"/>
          <w:szCs w:val="21"/>
          <w:color w:val="auto"/>
        </w:rPr>
        <w:t>To the extent that any provision of any Application or other agreement submitted by the Borrower to, or</w:t>
      </w:r>
      <w:r>
        <w:rPr>
          <w:rFonts w:ascii="Arial" w:cs="Arial" w:eastAsia="Arial" w:hAnsi="Arial"/>
          <w:sz w:val="21"/>
          <w:szCs w:val="21"/>
          <w:i w:val="1"/>
          <w:iCs w:val="1"/>
          <w:color w:val="auto"/>
        </w:rPr>
        <w:t xml:space="preserve"> </w:t>
      </w:r>
      <w:r>
        <w:rPr>
          <w:rFonts w:ascii="Arial" w:cs="Arial" w:eastAsia="Arial" w:hAnsi="Arial"/>
          <w:sz w:val="21"/>
          <w:szCs w:val="21"/>
          <w:color w:val="auto"/>
        </w:rPr>
        <w:t>entered into by the Borrower with, the applicable Issuing Bank related to any Letter of Credit is inconsistent with the provisions of this Agreement, the provisions of this Agreement shall apply.</w:t>
      </w:r>
    </w:p>
    <w:p>
      <w:pPr>
        <w:spacing w:after="0" w:line="165" w:lineRule="exact"/>
        <w:rPr>
          <w:rFonts w:ascii="Arial" w:cs="Arial" w:eastAsia="Arial" w:hAnsi="Arial"/>
          <w:sz w:val="21"/>
          <w:szCs w:val="21"/>
          <w:color w:val="auto"/>
        </w:rPr>
      </w:pPr>
    </w:p>
    <w:p>
      <w:pPr>
        <w:jc w:val="both"/>
        <w:ind w:firstLine="819"/>
        <w:spacing w:after="0" w:line="287" w:lineRule="auto"/>
        <w:tabs>
          <w:tab w:leader="none" w:pos="1247" w:val="left"/>
        </w:tabs>
        <w:numPr>
          <w:ilvl w:val="0"/>
          <w:numId w:val="109"/>
        </w:numPr>
        <w:rPr>
          <w:rFonts w:ascii="Arial" w:cs="Arial" w:eastAsia="Arial" w:hAnsi="Arial"/>
          <w:sz w:val="19"/>
          <w:szCs w:val="19"/>
          <w:color w:val="auto"/>
        </w:rPr>
      </w:pPr>
      <w:r>
        <w:rPr>
          <w:rFonts w:ascii="Arial" w:cs="Arial" w:eastAsia="Arial" w:hAnsi="Arial"/>
          <w:sz w:val="19"/>
          <w:szCs w:val="19"/>
          <w:i w:val="1"/>
          <w:iCs w:val="1"/>
          <w:color w:val="auto"/>
        </w:rPr>
        <w:t xml:space="preserve">Action in Respect of Letters of Credit. </w:t>
      </w:r>
      <w:r>
        <w:rPr>
          <w:rFonts w:ascii="Arial" w:cs="Arial" w:eastAsia="Arial" w:hAnsi="Arial"/>
          <w:sz w:val="19"/>
          <w:szCs w:val="19"/>
          <w:color w:val="auto"/>
        </w:rPr>
        <w:t>(%4) Not later than the date that is ten (10) Business Days prior to the Revolving</w:t>
      </w:r>
      <w:r>
        <w:rPr>
          <w:rFonts w:ascii="Arial" w:cs="Arial" w:eastAsia="Arial" w:hAnsi="Arial"/>
          <w:sz w:val="19"/>
          <w:szCs w:val="19"/>
          <w:i w:val="1"/>
          <w:iCs w:val="1"/>
          <w:color w:val="auto"/>
        </w:rPr>
        <w:t xml:space="preserve"> </w:t>
      </w:r>
      <w:r>
        <w:rPr>
          <w:rFonts w:ascii="Arial" w:cs="Arial" w:eastAsia="Arial" w:hAnsi="Arial"/>
          <w:sz w:val="19"/>
          <w:szCs w:val="19"/>
          <w:color w:val="auto"/>
        </w:rPr>
        <w:t>Maturity Date, or at any time after the Revolving Maturity Date when the aggregate funds on deposit in the LC Cash Collateral Account shall be less than the amounts required herein, the Borrower shall pay to the Administrative Agent in immediately available funds, at the Administrative Agent’s office referred to in Section 9.01, for deposit in the LC Cash Collateral Account described in Section 2.22(a)(ii), the amount required so that, after such payment, the aggregate funds on deposit in the LC Cash Collateral Account are not less than 105% of the sum of all outstanding LC Obligations with an expiration date beyond the Revolving Maturity Date.</w:t>
      </w:r>
    </w:p>
    <w:p>
      <w:pPr>
        <w:spacing w:after="0" w:line="151" w:lineRule="exact"/>
        <w:rPr>
          <w:rFonts w:ascii="Arial" w:cs="Arial" w:eastAsia="Arial" w:hAnsi="Arial"/>
          <w:sz w:val="19"/>
          <w:szCs w:val="19"/>
          <w:color w:val="auto"/>
        </w:rPr>
      </w:pPr>
    </w:p>
    <w:p>
      <w:pPr>
        <w:jc w:val="both"/>
        <w:ind w:left="640" w:firstLine="940"/>
        <w:spacing w:after="0" w:line="257" w:lineRule="auto"/>
        <w:tabs>
          <w:tab w:leader="none" w:pos="1971"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The Administrative Agent may, from time to time after funds are deposited in any LC Cash Collateral Account, apply funds then held in such LC Cash Collateral Account to the payment of any amounts, in accordance with the terms herein, as shall have become or shall become due and payable by the Borrower to the Issuing Bank or Lenders in respect of the LC Obligations. The Administrative Agent shall promptly give written notice of any such application; provided, however, that the failure to give such written notice shall not invalidate any such application.</w:t>
      </w:r>
    </w:p>
    <w:p>
      <w:pPr>
        <w:spacing w:after="0" w:line="176" w:lineRule="exact"/>
        <w:rPr>
          <w:rFonts w:ascii="Arial" w:cs="Arial" w:eastAsia="Arial" w:hAnsi="Arial"/>
          <w:sz w:val="21"/>
          <w:szCs w:val="21"/>
          <w:color w:val="auto"/>
        </w:rPr>
      </w:pPr>
    </w:p>
    <w:p>
      <w:pPr>
        <w:jc w:val="both"/>
        <w:ind w:firstLine="819"/>
        <w:spacing w:after="0" w:line="285" w:lineRule="auto"/>
        <w:tabs>
          <w:tab w:leader="none" w:pos="1213" w:val="left"/>
        </w:tabs>
        <w:numPr>
          <w:ilvl w:val="0"/>
          <w:numId w:val="109"/>
        </w:numPr>
        <w:rPr>
          <w:rFonts w:ascii="Arial" w:cs="Arial" w:eastAsia="Arial" w:hAnsi="Arial"/>
          <w:sz w:val="19"/>
          <w:szCs w:val="19"/>
          <w:color w:val="auto"/>
        </w:rPr>
      </w:pPr>
      <w:r>
        <w:rPr>
          <w:rFonts w:ascii="Arial" w:cs="Arial" w:eastAsia="Arial" w:hAnsi="Arial"/>
          <w:sz w:val="19"/>
          <w:szCs w:val="19"/>
          <w:i w:val="1"/>
          <w:iCs w:val="1"/>
          <w:color w:val="auto"/>
        </w:rPr>
        <w:t>Designation of Additional Issuing Banks</w:t>
      </w:r>
      <w:r>
        <w:rPr>
          <w:rFonts w:ascii="Arial" w:cs="Arial" w:eastAsia="Arial" w:hAnsi="Arial"/>
          <w:sz w:val="19"/>
          <w:szCs w:val="19"/>
          <w:color w:val="auto"/>
        </w:rPr>
        <w:t>. The Borrower may, at any time and from time to time, designate as additional</w:t>
      </w:r>
      <w:r>
        <w:rPr>
          <w:rFonts w:ascii="Arial" w:cs="Arial" w:eastAsia="Arial" w:hAnsi="Arial"/>
          <w:sz w:val="19"/>
          <w:szCs w:val="19"/>
          <w:i w:val="1"/>
          <w:iCs w:val="1"/>
          <w:color w:val="auto"/>
        </w:rPr>
        <w:t xml:space="preserve"> </w:t>
      </w:r>
      <w:r>
        <w:rPr>
          <w:rFonts w:ascii="Arial" w:cs="Arial" w:eastAsia="Arial" w:hAnsi="Arial"/>
          <w:sz w:val="19"/>
          <w:szCs w:val="19"/>
          <w:color w:val="auto"/>
        </w:rPr>
        <w:t>Issuing Banks one or more Revolving Lenders that agree, in their sole discretion,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152" w:lineRule="exact"/>
        <w:rPr>
          <w:rFonts w:ascii="Arial" w:cs="Arial" w:eastAsia="Arial" w:hAnsi="Arial"/>
          <w:sz w:val="19"/>
          <w:szCs w:val="19"/>
          <w:color w:val="auto"/>
        </w:rPr>
      </w:pPr>
    </w:p>
    <w:p>
      <w:pPr>
        <w:jc w:val="both"/>
        <w:ind w:firstLine="819"/>
        <w:spacing w:after="0" w:line="266" w:lineRule="auto"/>
        <w:tabs>
          <w:tab w:leader="none" w:pos="1200" w:val="left"/>
        </w:tabs>
        <w:numPr>
          <w:ilvl w:val="0"/>
          <w:numId w:val="109"/>
        </w:numPr>
        <w:rPr>
          <w:rFonts w:ascii="Arial" w:cs="Arial" w:eastAsia="Arial" w:hAnsi="Arial"/>
          <w:sz w:val="20"/>
          <w:szCs w:val="20"/>
          <w:color w:val="auto"/>
        </w:rPr>
      </w:pPr>
      <w:r>
        <w:rPr>
          <w:rFonts w:ascii="Arial" w:cs="Arial" w:eastAsia="Arial" w:hAnsi="Arial"/>
          <w:sz w:val="20"/>
          <w:szCs w:val="20"/>
          <w:i w:val="1"/>
          <w:iCs w:val="1"/>
          <w:color w:val="auto"/>
        </w:rPr>
        <w:t>Termination of an Issuing Bank</w:t>
      </w:r>
      <w:r>
        <w:rPr>
          <w:rFonts w:ascii="Arial" w:cs="Arial" w:eastAsia="Arial" w:hAnsi="Arial"/>
          <w:sz w:val="20"/>
          <w:szCs w:val="20"/>
          <w:color w:val="auto"/>
        </w:rPr>
        <w:t>. The Borrower may terminate the appointment of any Issuing Bank as an “Issuing Bank”</w:t>
      </w:r>
      <w:r>
        <w:rPr>
          <w:rFonts w:ascii="Arial" w:cs="Arial" w:eastAsia="Arial" w:hAnsi="Arial"/>
          <w:sz w:val="20"/>
          <w:szCs w:val="20"/>
          <w:i w:val="1"/>
          <w:iCs w:val="1"/>
          <w:color w:val="auto"/>
        </w:rPr>
        <w:t xml:space="preserve"> </w:t>
      </w:r>
      <w:r>
        <w:rPr>
          <w:rFonts w:ascii="Arial" w:cs="Arial" w:eastAsia="Arial" w:hAnsi="Arial"/>
          <w:sz w:val="20"/>
          <w:szCs w:val="20"/>
          <w:color w:val="auto"/>
        </w:rPr>
        <w:t>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delivery thereof; provided that no such termination shall become effective unless and until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2.10(d).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73" w:lineRule="exact"/>
        <w:rPr>
          <w:rFonts w:ascii="Arial" w:cs="Arial" w:eastAsia="Arial" w:hAnsi="Arial"/>
          <w:sz w:val="20"/>
          <w:szCs w:val="20"/>
          <w:color w:val="auto"/>
        </w:rPr>
      </w:pPr>
    </w:p>
    <w:p>
      <w:pPr>
        <w:jc w:val="both"/>
        <w:ind w:firstLine="819"/>
        <w:spacing w:after="0" w:line="287" w:lineRule="auto"/>
        <w:tabs>
          <w:tab w:leader="none" w:pos="1286" w:val="left"/>
        </w:tabs>
        <w:numPr>
          <w:ilvl w:val="0"/>
          <w:numId w:val="109"/>
        </w:numPr>
        <w:rPr>
          <w:rFonts w:ascii="Arial" w:cs="Arial" w:eastAsia="Arial" w:hAnsi="Arial"/>
          <w:sz w:val="19"/>
          <w:szCs w:val="19"/>
          <w:color w:val="auto"/>
        </w:rPr>
      </w:pPr>
      <w:r>
        <w:rPr>
          <w:rFonts w:ascii="Arial" w:cs="Arial" w:eastAsia="Arial" w:hAnsi="Arial"/>
          <w:sz w:val="19"/>
          <w:szCs w:val="19"/>
          <w:i w:val="1"/>
          <w:iCs w:val="1"/>
          <w:color w:val="auto"/>
        </w:rPr>
        <w:t>Issuing Bank Reports to the Administrative Agent</w:t>
      </w:r>
      <w:r>
        <w:rPr>
          <w:rFonts w:ascii="Arial" w:cs="Arial" w:eastAsia="Arial" w:hAnsi="Arial"/>
          <w:sz w:val="19"/>
          <w:szCs w:val="19"/>
          <w:color w:val="auto"/>
        </w:rPr>
        <w:t>. Unless otherwise agreed by the Administrative Agent, each Issuing</w:t>
      </w:r>
      <w:r>
        <w:rPr>
          <w:rFonts w:ascii="Arial" w:cs="Arial" w:eastAsia="Arial" w:hAnsi="Arial"/>
          <w:sz w:val="19"/>
          <w:szCs w:val="19"/>
          <w:i w:val="1"/>
          <w:iCs w:val="1"/>
          <w:color w:val="auto"/>
        </w:rPr>
        <w:t xml:space="preserve"> </w:t>
      </w:r>
      <w:r>
        <w:rPr>
          <w:rFonts w:ascii="Arial" w:cs="Arial" w:eastAsia="Arial" w:hAnsi="Arial"/>
          <w:sz w:val="19"/>
          <w:szCs w:val="19"/>
          <w:color w:val="auto"/>
        </w:rPr>
        <w:t>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Business Days following the time that such Issuing Bank issues, amends, renews or extends any Letter of Credit, the date of such issuance, amendment, renewal or extension, and the currency and face amount of the</w:t>
      </w:r>
    </w:p>
    <w:p>
      <w:pPr>
        <w:sectPr>
          <w:pgSz w:w="11900" w:h="16914" w:orient="portrait"/>
          <w:cols w:equalWidth="0" w:num="1">
            <w:col w:w="11420"/>
          </w:cols>
          <w:pgMar w:left="240" w:top="131" w:right="239" w:bottom="0" w:gutter="0" w:footer="0" w:header="0"/>
        </w:sectPr>
      </w:pPr>
    </w:p>
    <w:bookmarkStart w:id="147" w:name="page148"/>
    <w:bookmarkEnd w:id="147"/>
    <w:p>
      <w:pPr>
        <w:spacing w:after="0" w:line="3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currency and amount of such LC Disbursement, (iv) on any Business Day on which the Borrower fails to reimburse an LC Disbursement required to be reimbursed to such Issuing Bank on such day, the date of such failure and the currency and amount of such LC Disbursement and (v) on any other Business Day, such other information as the Administrative Agent shall reasonably request as to the Letters of Credit issued by such Issuing Bank.</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ARTICLE 3</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Representations and Warranties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Each of Holdings and the Borrower represents and warrants to the Administrative Agent and each of the Lenders that:</w:t>
      </w:r>
    </w:p>
    <w:p>
      <w:pPr>
        <w:spacing w:after="0" w:line="223"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Organization</w:t>
      </w:r>
      <w:r>
        <w:rPr>
          <w:rFonts w:ascii="Arial" w:cs="Arial" w:eastAsia="Arial" w:hAnsi="Arial"/>
          <w:sz w:val="20"/>
          <w:szCs w:val="20"/>
          <w:color w:val="auto"/>
        </w:rPr>
        <w:t xml:space="preserve">; </w:t>
      </w:r>
      <w:r>
        <w:rPr>
          <w:rFonts w:ascii="Arial" w:cs="Arial" w:eastAsia="Arial" w:hAnsi="Arial"/>
          <w:sz w:val="20"/>
          <w:szCs w:val="20"/>
          <w:i w:val="1"/>
          <w:iCs w:val="1"/>
          <w:color w:val="auto"/>
        </w:rPr>
        <w:t>Powers</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Each of Holdings, the Borrower and the Restricted Subsidiaries is duly organized, validly existing</w:t>
      </w:r>
      <w:r>
        <w:rPr>
          <w:rFonts w:ascii="Arial" w:cs="Arial" w:eastAsia="Arial" w:hAnsi="Arial"/>
          <w:sz w:val="20"/>
          <w:szCs w:val="20"/>
          <w:color w:val="auto"/>
        </w:rPr>
        <w:t xml:space="preserve"> </w:t>
      </w:r>
      <w:r>
        <w:rPr>
          <w:rFonts w:ascii="Arial" w:cs="Arial" w:eastAsia="Arial" w:hAnsi="Arial"/>
          <w:sz w:val="18"/>
          <w:szCs w:val="18"/>
          <w:color w:val="auto"/>
        </w:rPr>
        <w:t>and in good standing (to the extent such concept exists in the relevant jurisdictions) under the laws of the jurisdiction of its organization, has the corporate or other organizational power and authority to carry on its business as now conducted and as proposed to be conducted and to execute, deliver and perform its obligations under each Loan Document to which it is a party and to effect the Transactions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68" w:lineRule="exact"/>
        <w:rPr>
          <w:sz w:val="20"/>
          <w:szCs w:val="20"/>
          <w:color w:val="auto"/>
        </w:rPr>
      </w:pPr>
    </w:p>
    <w:p>
      <w:pPr>
        <w:jc w:val="both"/>
        <w:ind w:firstLine="630"/>
        <w:spacing w:after="0" w:line="272"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i w:val="1"/>
          <w:iCs w:val="1"/>
          <w:color w:val="auto"/>
        </w:rPr>
        <w:t>Authorization</w:t>
      </w:r>
      <w:r>
        <w:rPr>
          <w:rFonts w:ascii="Arial" w:cs="Arial" w:eastAsia="Arial" w:hAnsi="Arial"/>
          <w:sz w:val="21"/>
          <w:szCs w:val="21"/>
          <w:color w:val="auto"/>
        </w:rPr>
        <w:t xml:space="preserve">; </w:t>
      </w:r>
      <w:r>
        <w:rPr>
          <w:rFonts w:ascii="Arial" w:cs="Arial" w:eastAsia="Arial" w:hAnsi="Arial"/>
          <w:sz w:val="21"/>
          <w:szCs w:val="21"/>
          <w:i w:val="1"/>
          <w:iCs w:val="1"/>
          <w:color w:val="auto"/>
        </w:rPr>
        <w:t>Enforceability</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The Transactions to be entered into by each Loan Party have been duly authorized by all</w:t>
      </w:r>
      <w:r>
        <w:rPr>
          <w:rFonts w:ascii="Arial" w:cs="Arial" w:eastAsia="Arial" w:hAnsi="Arial"/>
          <w:sz w:val="21"/>
          <w:szCs w:val="21"/>
          <w:color w:val="auto"/>
        </w:rPr>
        <w:t xml:space="preserve"> </w:t>
      </w:r>
      <w:r>
        <w:rPr>
          <w:rFonts w:ascii="Arial" w:cs="Arial" w:eastAsia="Arial" w:hAnsi="Arial"/>
          <w:sz w:val="19"/>
          <w:szCs w:val="19"/>
          <w:color w:val="auto"/>
        </w:rPr>
        <w:t>necessary corporate or other action and, if required, action by the holders of such Loan Party’s Equity Interests. This Agreement has been duly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jc w:val="both"/>
        <w:ind w:firstLine="630"/>
        <w:spacing w:after="0" w:line="288" w:lineRule="auto"/>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i w:val="1"/>
          <w:iCs w:val="1"/>
          <w:color w:val="auto"/>
        </w:rPr>
        <w:t>Governmental Approvals</w:t>
      </w:r>
      <w:r>
        <w:rPr>
          <w:rFonts w:ascii="Arial" w:cs="Arial" w:eastAsia="Arial" w:hAnsi="Arial"/>
          <w:sz w:val="20"/>
          <w:szCs w:val="20"/>
          <w:color w:val="auto"/>
        </w:rPr>
        <w:t xml:space="preserve">; </w:t>
      </w:r>
      <w:r>
        <w:rPr>
          <w:rFonts w:ascii="Arial" w:cs="Arial" w:eastAsia="Arial" w:hAnsi="Arial"/>
          <w:sz w:val="20"/>
          <w:szCs w:val="20"/>
          <w:i w:val="1"/>
          <w:iCs w:val="1"/>
          <w:color w:val="auto"/>
        </w:rPr>
        <w:t>No Conflicts</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The Transactions (a) do not require any consent or approval of, registration or</w:t>
      </w:r>
      <w:r>
        <w:rPr>
          <w:rFonts w:ascii="Arial" w:cs="Arial" w:eastAsia="Arial" w:hAnsi="Arial"/>
          <w:sz w:val="20"/>
          <w:szCs w:val="20"/>
          <w:color w:val="auto"/>
        </w:rPr>
        <w:t xml:space="preserve"> </w:t>
      </w:r>
      <w:r>
        <w:rPr>
          <w:rFonts w:ascii="Arial" w:cs="Arial" w:eastAsia="Arial" w:hAnsi="Arial"/>
          <w:sz w:val="18"/>
          <w:szCs w:val="18"/>
          <w:color w:val="auto"/>
        </w:rPr>
        <w:t xml:space="preserve">filing with, or any other action by, any Governmental Authority or Regulatory Supervising Organization, except such as have been obtained or made and are in full force and effect and except filings necessary to perfect Liens created under the Loan Documents, (b) will not violate </w:t>
      </w:r>
      <w:r>
        <w:rPr>
          <w:rFonts w:ascii="Arial" w:cs="Arial" w:eastAsia="Arial" w:hAnsi="Arial"/>
          <w:sz w:val="19"/>
          <w:szCs w:val="19"/>
          <w:color w:val="auto"/>
        </w:rPr>
        <w:t>(%4)</w:t>
      </w:r>
      <w:r>
        <w:rPr>
          <w:rFonts w:ascii="Arial" w:cs="Arial" w:eastAsia="Arial" w:hAnsi="Arial"/>
          <w:sz w:val="18"/>
          <w:szCs w:val="18"/>
          <w:color w:val="auto"/>
        </w:rPr>
        <w:t xml:space="preserve"> the Organizational Documents of, or </w:t>
      </w:r>
      <w:r>
        <w:rPr>
          <w:rFonts w:ascii="Arial" w:cs="Arial" w:eastAsia="Arial" w:hAnsi="Arial"/>
          <w:sz w:val="19"/>
          <w:szCs w:val="19"/>
          <w:color w:val="auto"/>
        </w:rPr>
        <w:t>(%4)</w:t>
      </w:r>
      <w:r>
        <w:rPr>
          <w:rFonts w:ascii="Arial" w:cs="Arial" w:eastAsia="Arial" w:hAnsi="Arial"/>
          <w:sz w:val="18"/>
          <w:szCs w:val="18"/>
          <w:color w:val="auto"/>
        </w:rPr>
        <w:t xml:space="preserve"> any Requirements of Law applicable to, Holdings, the Borrower or any Restricted Subsidiary, </w:t>
      </w:r>
      <w:r>
        <w:rPr>
          <w:rFonts w:ascii="Arial" w:cs="Arial" w:eastAsia="Arial" w:hAnsi="Arial"/>
          <w:sz w:val="19"/>
          <w:szCs w:val="19"/>
          <w:color w:val="auto"/>
        </w:rPr>
        <w:t>(%3)</w:t>
      </w:r>
      <w:r>
        <w:rPr>
          <w:rFonts w:ascii="Arial" w:cs="Arial" w:eastAsia="Arial" w:hAnsi="Arial"/>
          <w:sz w:val="18"/>
          <w:szCs w:val="18"/>
          <w:color w:val="auto"/>
        </w:rPr>
        <w:t xml:space="preserve"> will not violate or result in a default under any indenture or other agreement or instrument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w:t>
      </w:r>
      <w:r>
        <w:rPr>
          <w:rFonts w:ascii="Arial" w:cs="Arial" w:eastAsia="Arial" w:hAnsi="Arial"/>
          <w:sz w:val="19"/>
          <w:szCs w:val="19"/>
          <w:color w:val="auto"/>
        </w:rPr>
        <w:t>(%3)</w:t>
      </w:r>
      <w:r>
        <w:rPr>
          <w:rFonts w:ascii="Arial" w:cs="Arial" w:eastAsia="Arial" w:hAnsi="Arial"/>
          <w:sz w:val="18"/>
          <w:szCs w:val="18"/>
          <w:color w:val="auto"/>
        </w:rPr>
        <w:t xml:space="preserve">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as the case may be, individually or in the aggregate, could not reasonably be expected to have a Material Adverse Effect.</w:t>
      </w:r>
    </w:p>
    <w:p>
      <w:pPr>
        <w:spacing w:after="0" w:line="177"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3.04. </w:t>
      </w:r>
      <w:r>
        <w:rPr>
          <w:rFonts w:ascii="Arial" w:cs="Arial" w:eastAsia="Arial" w:hAnsi="Arial"/>
          <w:sz w:val="21"/>
          <w:szCs w:val="21"/>
          <w:i w:val="1"/>
          <w:iCs w:val="1"/>
          <w:color w:val="auto"/>
        </w:rPr>
        <w:t>Financial Condition; No Material Adverse Effect</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The Audited Financial Statements (i) were prepared in</w:t>
      </w:r>
      <w:r>
        <w:rPr>
          <w:rFonts w:ascii="Arial" w:cs="Arial" w:eastAsia="Arial" w:hAnsi="Arial"/>
          <w:sz w:val="21"/>
          <w:szCs w:val="21"/>
          <w:color w:val="auto"/>
        </w:rPr>
        <w:t xml:space="preserve"> </w:t>
      </w:r>
      <w:r>
        <w:rPr>
          <w:rFonts w:ascii="Arial" w:cs="Arial" w:eastAsia="Arial" w:hAnsi="Arial"/>
          <w:sz w:val="19"/>
          <w:szCs w:val="19"/>
          <w:color w:val="auto"/>
        </w:rPr>
        <w:t>accordance with GAAP consistently applied throughout the periods covered thereby, except as otherwise expressly noted therein and (ii) fairly present the financial condition of the Borrower and its consolidated Subsidiaries as of the date thereof and their results of operations for the periods covered thereby in accordance with GAAP consistently applied throughout the periods covered thereby, except as otherwise expressly noted therein.</w:t>
      </w:r>
    </w:p>
    <w:p>
      <w:pPr>
        <w:spacing w:after="0" w:line="184" w:lineRule="exact"/>
        <w:rPr>
          <w:sz w:val="20"/>
          <w:szCs w:val="20"/>
          <w:color w:val="auto"/>
        </w:rPr>
      </w:pPr>
    </w:p>
    <w:p>
      <w:pPr>
        <w:jc w:val="both"/>
        <w:ind w:firstLine="819"/>
        <w:spacing w:after="0" w:line="255" w:lineRule="auto"/>
        <w:tabs>
          <w:tab w:leader="none" w:pos="1235"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unaudited consolidated balance sheet dated March 31, 2017 of the Borrower and the related consolidated statements of income or operations, shareholders’ equity and cash flows for the fiscal quarter ended on that date (i) were prepared in accordance with GAAP consistently applied throughout the periods covered thereby, except as otherwise expressly noted therein and (ii) fairly present the financial condition of the Borrower and its consolidated Subsidiaries as of the date thereof and their results of operations for the periods covered thereby, subject, in the case of clauses (i) and (ii), to the absence of footnotes and to normal year-end audit adjustments.</w:t>
      </w:r>
    </w:p>
    <w:p>
      <w:pPr>
        <w:spacing w:after="0" w:line="179" w:lineRule="exact"/>
        <w:rPr>
          <w:rFonts w:ascii="Arial" w:cs="Arial" w:eastAsia="Arial" w:hAnsi="Arial"/>
          <w:sz w:val="21"/>
          <w:szCs w:val="21"/>
          <w:color w:val="auto"/>
        </w:rPr>
      </w:pPr>
    </w:p>
    <w:p>
      <w:pPr>
        <w:ind w:left="1240" w:hanging="421"/>
        <w:spacing w:after="0"/>
        <w:tabs>
          <w:tab w:leader="none" w:pos="12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[Reserved.]</w:t>
      </w:r>
    </w:p>
    <w:p>
      <w:pPr>
        <w:spacing w:after="0" w:line="230" w:lineRule="exact"/>
        <w:rPr>
          <w:rFonts w:ascii="Arial" w:cs="Arial" w:eastAsia="Arial" w:hAnsi="Arial"/>
          <w:sz w:val="21"/>
          <w:szCs w:val="21"/>
          <w:color w:val="auto"/>
        </w:rPr>
      </w:pPr>
    </w:p>
    <w:p>
      <w:pPr>
        <w:ind w:left="1220" w:hanging="401"/>
        <w:spacing w:after="0"/>
        <w:tabs>
          <w:tab w:leader="none" w:pos="12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Since December 31, 2016, there has been no Material Adverse Effect.</w:t>
      </w:r>
    </w:p>
    <w:p>
      <w:pPr>
        <w:spacing w:after="0" w:line="231"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i w:val="1"/>
          <w:iCs w:val="1"/>
          <w:color w:val="auto"/>
        </w:rPr>
        <w:t>Properties</w:t>
      </w:r>
      <w:r>
        <w:rPr>
          <w:rFonts w:ascii="Arial" w:cs="Arial" w:eastAsia="Arial" w:hAnsi="Arial"/>
          <w:sz w:val="18"/>
          <w:szCs w:val="18"/>
          <w:color w:val="auto"/>
        </w:rPr>
        <w:t>.</w:t>
      </w:r>
      <w:r>
        <w:rPr>
          <w:rFonts w:ascii="Arial" w:cs="Arial" w:eastAsia="Arial" w:hAnsi="Arial"/>
          <w:sz w:val="20"/>
          <w:szCs w:val="20"/>
          <w:color w:val="auto"/>
        </w:rPr>
        <w:t xml:space="preserve"> (%3) </w:t>
      </w:r>
      <w:r>
        <w:rPr>
          <w:rFonts w:ascii="Arial" w:cs="Arial" w:eastAsia="Arial" w:hAnsi="Arial"/>
          <w:sz w:val="18"/>
          <w:szCs w:val="18"/>
          <w:color w:val="auto"/>
        </w:rPr>
        <w:t>Each of Holdings, the Borrower and the Restricted Subsidiaries has good title to, or valid leasehold</w:t>
      </w:r>
      <w:r>
        <w:rPr>
          <w:rFonts w:ascii="Arial" w:cs="Arial" w:eastAsia="Arial" w:hAnsi="Arial"/>
          <w:sz w:val="20"/>
          <w:szCs w:val="20"/>
          <w:color w:val="auto"/>
        </w:rPr>
        <w:t xml:space="preserve"> </w:t>
      </w:r>
      <w:r>
        <w:rPr>
          <w:rFonts w:ascii="Arial" w:cs="Arial" w:eastAsia="Arial" w:hAnsi="Arial"/>
          <w:sz w:val="18"/>
          <w:szCs w:val="18"/>
          <w:color w:val="auto"/>
        </w:rPr>
        <w:t>interests in, all its real and personal property material to its business, if any (including the Mortgaged Properties), (i) free and clear of all Liens except for Liens permitted by Section 6.02 and (ii) except for minor defects in title that do not interfere with its ability to conduct its business as currently conducted or as proposed to be conducted or to utilize such properties for their intended purposes, in each case, except where the failure to do so could not reasonably be expected to have, individually or in the aggregate, a Material Adverse Effect.</w:t>
      </w:r>
    </w:p>
    <w:p>
      <w:pPr>
        <w:spacing w:after="0" w:line="168" w:lineRule="exact"/>
        <w:rPr>
          <w:sz w:val="20"/>
          <w:szCs w:val="20"/>
          <w:color w:val="auto"/>
        </w:rPr>
      </w:pPr>
    </w:p>
    <w:p>
      <w:pPr>
        <w:ind w:firstLine="819"/>
        <w:spacing w:after="0" w:line="286" w:lineRule="auto"/>
        <w:tabs>
          <w:tab w:leader="none" w:pos="1327"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As of the Restatement Effective Date, after giving effect to the Transactions to be consummated on or prior to the Restatement Effective Date, none of Holdings, the Borrower or any Restricted Subsidiary owns any real property.</w:t>
      </w:r>
    </w:p>
    <w:p>
      <w:pPr>
        <w:spacing w:after="0" w:line="146" w:lineRule="exact"/>
        <w:rPr>
          <w:sz w:val="20"/>
          <w:szCs w:val="20"/>
          <w:color w:val="auto"/>
        </w:rPr>
      </w:pPr>
    </w:p>
    <w:p>
      <w:pPr>
        <w:jc w:val="both"/>
        <w:ind w:firstLine="630"/>
        <w:spacing w:after="0" w:line="322"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i w:val="1"/>
          <w:iCs w:val="1"/>
          <w:color w:val="auto"/>
        </w:rPr>
        <w:t>Litigation and Environmental Matters</w:t>
      </w:r>
      <w:r>
        <w:rPr>
          <w:rFonts w:ascii="Arial" w:cs="Arial" w:eastAsia="Arial" w:hAnsi="Arial"/>
          <w:sz w:val="17"/>
          <w:szCs w:val="17"/>
          <w:color w:val="auto"/>
        </w:rPr>
        <w:t>.</w:t>
      </w:r>
      <w:r>
        <w:rPr>
          <w:rFonts w:ascii="Arial" w:cs="Arial" w:eastAsia="Arial" w:hAnsi="Arial"/>
          <w:sz w:val="19"/>
          <w:szCs w:val="19"/>
          <w:color w:val="auto"/>
        </w:rPr>
        <w:t xml:space="preserve"> (%3) </w:t>
      </w:r>
      <w:r>
        <w:rPr>
          <w:rFonts w:ascii="Arial" w:cs="Arial" w:eastAsia="Arial" w:hAnsi="Arial"/>
          <w:sz w:val="17"/>
          <w:szCs w:val="17"/>
          <w:color w:val="auto"/>
        </w:rPr>
        <w:t>Except for routine examinations conducted by a Regulatory Supervising</w:t>
      </w:r>
      <w:r>
        <w:rPr>
          <w:rFonts w:ascii="Arial" w:cs="Arial" w:eastAsia="Arial" w:hAnsi="Arial"/>
          <w:sz w:val="19"/>
          <w:szCs w:val="19"/>
          <w:color w:val="auto"/>
        </w:rPr>
        <w:t xml:space="preserve"> </w:t>
      </w:r>
      <w:r>
        <w:rPr>
          <w:rFonts w:ascii="Arial" w:cs="Arial" w:eastAsia="Arial" w:hAnsi="Arial"/>
          <w:sz w:val="17"/>
          <w:szCs w:val="17"/>
          <w:color w:val="auto"/>
        </w:rPr>
        <w:t>Organization or Governmental Authority in the ordinary course of the business of the Borrower and its Subsidiaries, there is no claim, action, suit,</w:t>
      </w:r>
    </w:p>
    <w:p>
      <w:pPr>
        <w:sectPr>
          <w:pgSz w:w="11900" w:h="16877" w:orient="portrait"/>
          <w:cols w:equalWidth="0" w:num="1">
            <w:col w:w="11420"/>
          </w:cols>
          <w:pgMar w:left="240" w:top="131" w:right="239" w:bottom="0" w:gutter="0" w:footer="0" w:header="0"/>
        </w:sectPr>
      </w:pPr>
    </w:p>
    <w:bookmarkStart w:id="148" w:name="page149"/>
    <w:bookmarkEnd w:id="148"/>
    <w:p>
      <w:pPr>
        <w:jc w:val="both"/>
        <w:spacing w:after="0" w:line="281" w:lineRule="auto"/>
        <w:rPr>
          <w:sz w:val="20"/>
          <w:szCs w:val="20"/>
          <w:color w:val="auto"/>
        </w:rPr>
      </w:pPr>
      <w:r>
        <w:rPr>
          <w:rFonts w:ascii="Arial" w:cs="Arial" w:eastAsia="Arial" w:hAnsi="Arial"/>
          <w:sz w:val="19"/>
          <w:szCs w:val="19"/>
          <w:color w:val="auto"/>
        </w:rPr>
        <w:t>investigation or proceeding pending against, or, to the knowledge of Holdings or the Borrower, threatened in writing against or affecting (i) Holdings, the Borrower or any Restricted Subsidiary or (ii) any officer, director or key employee of Holdings, the Borrower or any Restricted Subsidiary in their respective capacities in such positions, before (or, in the case of material threatened claims, actions, suits, investigations or proceedings, would be before) or by any Governmental Authority, Regulatory Supervising Organization or arbitrator that could reasonably be expected, individually or in the aggregate, to result in a Material Adverse Effect.</w:t>
      </w:r>
    </w:p>
    <w:p>
      <w:pPr>
        <w:spacing w:after="0" w:line="173" w:lineRule="exact"/>
        <w:rPr>
          <w:sz w:val="20"/>
          <w:szCs w:val="20"/>
          <w:color w:val="auto"/>
        </w:rPr>
      </w:pPr>
    </w:p>
    <w:p>
      <w:pPr>
        <w:jc w:val="both"/>
        <w:ind w:firstLine="819"/>
        <w:spacing w:after="0" w:line="254" w:lineRule="auto"/>
        <w:tabs>
          <w:tab w:leader="none" w:pos="1248"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Except with respect to any matters that, individually or in the aggregate, could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(iii) has received written notice of any claim, allegation, investigation or order with respect to any Environmental Liability or (iv) has, to the knowledge of Holdings or the Borrower, any basis to reasonably expect that Holdings, the Borrower or any Restricted Subsidiary will become subject to any Environmental Liability.</w:t>
      </w:r>
    </w:p>
    <w:p>
      <w:pPr>
        <w:spacing w:after="0" w:line="180"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i w:val="1"/>
          <w:iCs w:val="1"/>
          <w:color w:val="auto"/>
        </w:rPr>
        <w:t>Compliance with Laws and Agreements</w:t>
      </w:r>
      <w:r>
        <w:rPr>
          <w:rFonts w:ascii="Arial" w:cs="Arial" w:eastAsia="Arial" w:hAnsi="Arial"/>
          <w:sz w:val="18"/>
          <w:szCs w:val="18"/>
          <w:color w:val="auto"/>
        </w:rPr>
        <w:t>.</w:t>
      </w:r>
      <w:r>
        <w:rPr>
          <w:rFonts w:ascii="Arial" w:cs="Arial" w:eastAsia="Arial" w:hAnsi="Arial"/>
          <w:sz w:val="20"/>
          <w:szCs w:val="20"/>
          <w:color w:val="auto"/>
        </w:rPr>
        <w:t xml:space="preserve"> (%3) </w:t>
      </w:r>
      <w:r>
        <w:rPr>
          <w:rFonts w:ascii="Arial" w:cs="Arial" w:eastAsia="Arial" w:hAnsi="Arial"/>
          <w:sz w:val="18"/>
          <w:szCs w:val="18"/>
          <w:color w:val="auto"/>
        </w:rPr>
        <w:t>Each of Holdings, the Borrower and its Restricted Subsidiaries is in</w:t>
      </w:r>
      <w:r>
        <w:rPr>
          <w:rFonts w:ascii="Arial" w:cs="Arial" w:eastAsia="Arial" w:hAnsi="Arial"/>
          <w:sz w:val="20"/>
          <w:szCs w:val="20"/>
          <w:color w:val="auto"/>
        </w:rPr>
        <w:t xml:space="preserve"> </w:t>
      </w:r>
      <w:r>
        <w:rPr>
          <w:rFonts w:ascii="Arial" w:cs="Arial" w:eastAsia="Arial" w:hAnsi="Arial"/>
          <w:sz w:val="18"/>
          <w:szCs w:val="18"/>
          <w:color w:val="auto"/>
        </w:rPr>
        <w:t>compliance with (i) its Organizational Documents, (ii) all Requirements of Law applicable to it or its property and (iii) all indentures and other agreements and instruments binding upon it or its property, except, in the case of clauses (ii) and (iii) of this Section, where the failure to do so, individually or in the aggregate, could not reasonably be expected to result in a Material Adverse Effect.</w:t>
      </w:r>
    </w:p>
    <w:p>
      <w:pPr>
        <w:spacing w:after="0" w:line="168"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21"/>
          <w:szCs w:val="21"/>
          <w:color w:val="auto"/>
        </w:rPr>
        <w:t xml:space="preserve">Section 3.08. </w:t>
      </w:r>
      <w:r>
        <w:rPr>
          <w:rFonts w:ascii="Arial" w:cs="Arial" w:eastAsia="Arial" w:hAnsi="Arial"/>
          <w:sz w:val="21"/>
          <w:szCs w:val="21"/>
          <w:i w:val="1"/>
          <w:iCs w:val="1"/>
          <w:color w:val="auto"/>
        </w:rPr>
        <w:t>Investment Company Status</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No Loan Party is an “investment company” as defined in, or subject to regulation under, the</w:t>
      </w:r>
      <w:r>
        <w:rPr>
          <w:rFonts w:ascii="Arial" w:cs="Arial" w:eastAsia="Arial" w:hAnsi="Arial"/>
          <w:sz w:val="21"/>
          <w:szCs w:val="21"/>
          <w:color w:val="auto"/>
        </w:rPr>
        <w:t xml:space="preserve"> </w:t>
      </w:r>
      <w:r>
        <w:rPr>
          <w:rFonts w:ascii="Arial" w:cs="Arial" w:eastAsia="Arial" w:hAnsi="Arial"/>
          <w:sz w:val="19"/>
          <w:szCs w:val="19"/>
          <w:color w:val="auto"/>
        </w:rPr>
        <w:t>Investment Company Act of 1940, as amended from time to time.</w:t>
      </w:r>
    </w:p>
    <w:p>
      <w:pPr>
        <w:spacing w:after="0" w:line="181"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3.09. </w:t>
      </w:r>
      <w:r>
        <w:rPr>
          <w:rFonts w:ascii="Arial" w:cs="Arial" w:eastAsia="Arial" w:hAnsi="Arial"/>
          <w:sz w:val="20"/>
          <w:szCs w:val="20"/>
          <w:i w:val="1"/>
          <w:iCs w:val="1"/>
          <w:color w:val="auto"/>
        </w:rPr>
        <w:t>Taxes</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Except as could not, individually or in the aggregate, reasonably be expected to have a Material Adverse Effect,</w:t>
      </w:r>
      <w:r>
        <w:rPr>
          <w:rFonts w:ascii="Arial" w:cs="Arial" w:eastAsia="Arial" w:hAnsi="Arial"/>
          <w:sz w:val="20"/>
          <w:szCs w:val="20"/>
          <w:color w:val="auto"/>
        </w:rPr>
        <w:t xml:space="preserve"> </w:t>
      </w:r>
      <w:r>
        <w:rPr>
          <w:rFonts w:ascii="Arial" w:cs="Arial" w:eastAsia="Arial" w:hAnsi="Arial"/>
          <w:sz w:val="18"/>
          <w:szCs w:val="18"/>
          <w:color w:val="auto"/>
        </w:rPr>
        <w:t xml:space="preserve">Holdings, the Borrower and each Restricted Subsidiary (a) have timely filed or caused to be filed all Tax returns and reports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Holdings, the Borrower or such Subsidiary, as the case may be, has set aside on its books adequate reserves therefor in accordance with GAAP. There are no audits, assessments, claims or other Tax proceedings against Holdings, the Borrower or any Restricted Subsidiary that could, individually or in the aggregate, reasonably be expected to have a Material Adverse Effect.</w:t>
      </w:r>
    </w:p>
    <w:p>
      <w:pPr>
        <w:spacing w:after="0" w:line="169"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21"/>
          <w:szCs w:val="21"/>
          <w:color w:val="auto"/>
        </w:rPr>
        <w:t xml:space="preserve">Section 3.10. </w:t>
      </w:r>
      <w:r>
        <w:rPr>
          <w:rFonts w:ascii="Arial" w:cs="Arial" w:eastAsia="Arial" w:hAnsi="Arial"/>
          <w:sz w:val="21"/>
          <w:szCs w:val="21"/>
          <w:i w:val="1"/>
          <w:iCs w:val="1"/>
          <w:color w:val="auto"/>
        </w:rPr>
        <w:t>ERISA</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Except as could not, individually or in the aggregate, reasonably be expected to result in a Material Adverse</w:t>
      </w:r>
      <w:r>
        <w:rPr>
          <w:rFonts w:ascii="Arial" w:cs="Arial" w:eastAsia="Arial" w:hAnsi="Arial"/>
          <w:sz w:val="21"/>
          <w:szCs w:val="21"/>
          <w:color w:val="auto"/>
        </w:rPr>
        <w:t xml:space="preserve"> </w:t>
      </w:r>
      <w:r>
        <w:rPr>
          <w:rFonts w:ascii="Arial" w:cs="Arial" w:eastAsia="Arial" w:hAnsi="Arial"/>
          <w:sz w:val="19"/>
          <w:szCs w:val="19"/>
          <w:color w:val="auto"/>
        </w:rPr>
        <w:t>Effect, each Plan is in compliance with the applicable provisions of ERISA, the Code and other federal or state laws.</w:t>
      </w:r>
    </w:p>
    <w:p>
      <w:pPr>
        <w:spacing w:after="0" w:line="181" w:lineRule="exact"/>
        <w:rPr>
          <w:sz w:val="20"/>
          <w:szCs w:val="20"/>
          <w:color w:val="auto"/>
        </w:rPr>
      </w:pPr>
    </w:p>
    <w:p>
      <w:pPr>
        <w:jc w:val="both"/>
        <w:ind w:firstLine="819"/>
        <w:spacing w:after="0" w:line="268" w:lineRule="auto"/>
        <w:tabs>
          <w:tab w:leader="none" w:pos="1222" w:val="left"/>
        </w:tabs>
        <w:numPr>
          <w:ilvl w:val="0"/>
          <w:numId w:val="113"/>
        </w:numPr>
        <w:rPr>
          <w:rFonts w:ascii="Arial" w:cs="Arial" w:eastAsia="Arial" w:hAnsi="Arial"/>
          <w:sz w:val="20"/>
          <w:szCs w:val="20"/>
          <w:color w:val="auto"/>
        </w:rPr>
      </w:pPr>
      <w:r>
        <w:rPr>
          <w:rFonts w:ascii="Arial" w:cs="Arial" w:eastAsia="Arial" w:hAnsi="Arial"/>
          <w:sz w:val="20"/>
          <w:szCs w:val="20"/>
          <w:color w:val="auto"/>
        </w:rPr>
        <w:t>Except as could not reasonably be expected, individually or in the aggregate, to result in a Material Adverse Effect, (i) no ERISA Event has occurred or is reasonably expected to occur, (ii) neither Borrower nor any ERISA Affiliate has incurred, or reasonably expects to incur, any liability under Title IV of ERISA with respect to any Plan (other than premiums due and not delinquent under Section 4007 of ERISA), (iii) neither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Borrower nor any ERISA Affiliate has engaged in a transaction that could be subject to Section 4069 or 4212(c) of ERISA.</w:t>
      </w:r>
    </w:p>
    <w:p>
      <w:pPr>
        <w:spacing w:after="0" w:line="171" w:lineRule="exact"/>
        <w:rPr>
          <w:sz w:val="20"/>
          <w:szCs w:val="20"/>
          <w:color w:val="auto"/>
        </w:rPr>
      </w:pPr>
    </w:p>
    <w:p>
      <w:pPr>
        <w:jc w:val="both"/>
        <w:ind w:firstLine="630"/>
        <w:spacing w:after="0" w:line="311"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i w:val="1"/>
          <w:iCs w:val="1"/>
          <w:color w:val="auto"/>
        </w:rPr>
        <w:t>Disclosure</w:t>
      </w:r>
      <w:r>
        <w:rPr>
          <w:rFonts w:ascii="Arial" w:cs="Arial" w:eastAsia="Arial" w:hAnsi="Arial"/>
          <w:sz w:val="17"/>
          <w:szCs w:val="17"/>
          <w:i w:val="1"/>
          <w:iCs w:val="1"/>
          <w:color w:val="auto"/>
        </w:rPr>
        <w:t>.</w:t>
      </w:r>
      <w:r>
        <w:rPr>
          <w:rFonts w:ascii="Arial" w:cs="Arial" w:eastAsia="Arial" w:hAnsi="Arial"/>
          <w:sz w:val="19"/>
          <w:szCs w:val="19"/>
          <w:color w:val="auto"/>
        </w:rPr>
        <w:t xml:space="preserve"> (%3) </w:t>
      </w:r>
      <w:r>
        <w:rPr>
          <w:rFonts w:ascii="Arial" w:cs="Arial" w:eastAsia="Arial" w:hAnsi="Arial"/>
          <w:sz w:val="17"/>
          <w:szCs w:val="17"/>
          <w:color w:val="auto"/>
        </w:rPr>
        <w:t>Neither (</w:t>
      </w:r>
      <w:r>
        <w:rPr>
          <w:rFonts w:ascii="Arial" w:cs="Arial" w:eastAsia="Arial" w:hAnsi="Arial"/>
          <w:sz w:val="17"/>
          <w:szCs w:val="17"/>
          <w:color w:val="FF0000"/>
          <w:strike w:val="1"/>
        </w:rPr>
        <w:t>a</w:t>
      </w:r>
      <w:r>
        <w:rPr>
          <w:rFonts w:ascii="Arial" w:cs="Arial" w:eastAsia="Arial" w:hAnsi="Arial"/>
          <w:sz w:val="17"/>
          <w:szCs w:val="17"/>
          <w:u w:val="single" w:color="auto"/>
          <w:color w:val="0000FF"/>
        </w:rPr>
        <w:t>i</w:t>
      </w:r>
      <w:r>
        <w:rPr>
          <w:rFonts w:ascii="Arial" w:cs="Arial" w:eastAsia="Arial" w:hAnsi="Arial"/>
          <w:sz w:val="17"/>
          <w:szCs w:val="17"/>
          <w:color w:val="auto"/>
        </w:rPr>
        <w:t>) the Information Materials as of the Restatement Effective Date nor (</w:t>
      </w:r>
      <w:r>
        <w:rPr>
          <w:rFonts w:ascii="Arial" w:cs="Arial" w:eastAsia="Arial" w:hAnsi="Arial"/>
          <w:sz w:val="17"/>
          <w:szCs w:val="17"/>
          <w:color w:val="FF0000"/>
          <w:strike w:val="1"/>
        </w:rPr>
        <w:t>b</w:t>
      </w:r>
      <w:r>
        <w:rPr>
          <w:rFonts w:ascii="Arial" w:cs="Arial" w:eastAsia="Arial" w:hAnsi="Arial"/>
          <w:sz w:val="17"/>
          <w:szCs w:val="17"/>
          <w:u w:val="single" w:color="auto"/>
          <w:color w:val="0000FF"/>
        </w:rPr>
        <w:t>ii</w:t>
      </w:r>
      <w:r>
        <w:rPr>
          <w:rFonts w:ascii="Arial" w:cs="Arial" w:eastAsia="Arial" w:hAnsi="Arial"/>
          <w:sz w:val="17"/>
          <w:szCs w:val="17"/>
          <w:color w:val="auto"/>
        </w:rPr>
        <w:t>) any of the other</w:t>
      </w:r>
      <w:r>
        <w:rPr>
          <w:rFonts w:ascii="Arial" w:cs="Arial" w:eastAsia="Arial" w:hAnsi="Arial"/>
          <w:sz w:val="19"/>
          <w:szCs w:val="19"/>
          <w:color w:val="auto"/>
        </w:rPr>
        <w:t xml:space="preserve"> </w:t>
      </w:r>
      <w:r>
        <w:rPr>
          <w:rFonts w:ascii="Arial" w:cs="Arial" w:eastAsia="Arial" w:hAnsi="Arial"/>
          <w:sz w:val="17"/>
          <w:szCs w:val="17"/>
          <w:color w:val="auto"/>
        </w:rPr>
        <w:t xml:space="preserve">reports, financial statements, certificates or other written information furnished by or on behalf of any Loan Party to the Administrative Agent or any Lender in connection with the negotiation of any Loan Document or delivered thereunder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projected financial information, Holdings and the Borrower represent only that such information was prepared in good faith based upon assumptions believed by them to be reasonable at the time delivered and, if such projected financial information was delivered prior to the Restatement Effective Date in connection with the transactions consummated on the Restatement Effective Date, as of the Restatement Effective Date, it being understood that any such projected financial information may vary from actual results and such variations could be material.</w:t>
      </w:r>
    </w:p>
    <w:p>
      <w:pPr>
        <w:spacing w:after="0" w:line="158" w:lineRule="exact"/>
        <w:rPr>
          <w:sz w:val="20"/>
          <w:szCs w:val="20"/>
          <w:color w:val="auto"/>
        </w:rPr>
      </w:pPr>
    </w:p>
    <w:p>
      <w:pPr>
        <w:jc w:val="both"/>
        <w:ind w:firstLine="819"/>
        <w:spacing w:after="0" w:line="286" w:lineRule="auto"/>
        <w:tabs>
          <w:tab w:leader="none" w:pos="1248"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0000FF"/>
        </w:rPr>
        <w:t>If the Borrower has provided a Beneficial Ownership Certification to any Lender in connection with this Agreement on or prior to the Amendment No. 2 Effective Date, as of the Amendment No. 2 Effective Date, to the best knowledge of the Borrower, the information included in such Beneficial Ownership Certification is true and correct in all respects.</w:t>
      </w:r>
    </w:p>
    <w:p>
      <w:pPr>
        <w:spacing w:after="0" w:line="149"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i w:val="1"/>
          <w:iCs w:val="1"/>
          <w:color w:val="auto"/>
        </w:rPr>
        <w:t>Subsidiaries</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As of the Restatement Effective Date, Schedule 3.12 sets forth the name of, and the ownership interest of</w:t>
      </w:r>
      <w:r>
        <w:rPr>
          <w:rFonts w:ascii="Arial" w:cs="Arial" w:eastAsia="Arial" w:hAnsi="Arial"/>
          <w:sz w:val="21"/>
          <w:szCs w:val="21"/>
          <w:color w:val="auto"/>
        </w:rPr>
        <w:t xml:space="preserve"> </w:t>
      </w:r>
      <w:r>
        <w:rPr>
          <w:rFonts w:ascii="Arial" w:cs="Arial" w:eastAsia="Arial" w:hAnsi="Arial"/>
          <w:sz w:val="19"/>
          <w:szCs w:val="19"/>
          <w:color w:val="auto"/>
        </w:rPr>
        <w:t>Holdings, the Borrower and each Subsidiary in, each Subsidiary.</w:t>
      </w:r>
    </w:p>
    <w:p>
      <w:pPr>
        <w:spacing w:after="0" w:line="181"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3.13. </w:t>
      </w:r>
      <w:r>
        <w:rPr>
          <w:rFonts w:ascii="Arial" w:cs="Arial" w:eastAsia="Arial" w:hAnsi="Arial"/>
          <w:sz w:val="20"/>
          <w:szCs w:val="20"/>
          <w:i w:val="1"/>
          <w:iCs w:val="1"/>
          <w:color w:val="auto"/>
        </w:rPr>
        <w:t>Intellectual Property</w:t>
      </w:r>
      <w:r>
        <w:rPr>
          <w:rFonts w:ascii="Arial" w:cs="Arial" w:eastAsia="Arial" w:hAnsi="Arial"/>
          <w:sz w:val="20"/>
          <w:szCs w:val="20"/>
          <w:color w:val="auto"/>
        </w:rPr>
        <w:t xml:space="preserve">; </w:t>
      </w:r>
      <w:r>
        <w:rPr>
          <w:rFonts w:ascii="Arial" w:cs="Arial" w:eastAsia="Arial" w:hAnsi="Arial"/>
          <w:sz w:val="20"/>
          <w:szCs w:val="20"/>
          <w:i w:val="1"/>
          <w:iCs w:val="1"/>
          <w:color w:val="auto"/>
        </w:rPr>
        <w:t>Licenses, Etc</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Each of Holdings, the Borrower and the Restricted Subsidiaries owns, licenses or</w:t>
      </w:r>
      <w:r>
        <w:rPr>
          <w:rFonts w:ascii="Arial" w:cs="Arial" w:eastAsia="Arial" w:hAnsi="Arial"/>
          <w:sz w:val="20"/>
          <w:szCs w:val="20"/>
          <w:color w:val="auto"/>
        </w:rPr>
        <w:t xml:space="preserve"> </w:t>
      </w:r>
      <w:r>
        <w:rPr>
          <w:rFonts w:ascii="Arial" w:cs="Arial" w:eastAsia="Arial" w:hAnsi="Arial"/>
          <w:sz w:val="18"/>
          <w:szCs w:val="18"/>
          <w:color w:val="auto"/>
        </w:rPr>
        <w:t>possesses the right to use all Intellectual Property that is reasonably necessary for the operation of its business as currently conducted, and, without conflict with the rights of any Person, except to the extent such conflicts, individually or in the aggregate, could not reasonably be expected to have a Material Adverse Effect. None of Holdings, the Borrower or any Restricted Subsidiary, in the operation of its business as currently conducted, infringes upon any Intellectual Property rights held by any Person except for such infringements, individually or in the aggregate, which could not reasonably be expected to have a Material Adverse Effect. No claim or litigation regarding any Intellectual Property is pending or, to the knowledge of Holdings and the Borrower, threatened against Holdings, the Borrower or any Restricted Subsidiary, which, individually or in the aggregate, could reasonably be expected to have a Material Adverse Effect.</w:t>
      </w:r>
    </w:p>
    <w:p>
      <w:pPr>
        <w:sectPr>
          <w:pgSz w:w="11900" w:h="16838" w:orient="portrait"/>
          <w:cols w:equalWidth="0" w:num="1">
            <w:col w:w="11420"/>
          </w:cols>
          <w:pgMar w:left="240" w:top="136" w:right="239" w:bottom="0" w:gutter="0" w:footer="0" w:header="0"/>
        </w:sectPr>
      </w:pPr>
    </w:p>
    <w:bookmarkStart w:id="149" w:name="page150"/>
    <w:bookmarkEnd w:id="149"/>
    <w:p>
      <w:pPr>
        <w:spacing w:after="0" w:line="14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3.14.</w:t>
      </w:r>
      <w:r>
        <w:rPr>
          <w:sz w:val="20"/>
          <w:szCs w:val="20"/>
          <w:color w:val="auto"/>
        </w:rPr>
        <w:tab/>
      </w:r>
      <w:r>
        <w:rPr>
          <w:rFonts w:ascii="Arial" w:cs="Arial" w:eastAsia="Arial" w:hAnsi="Arial"/>
          <w:sz w:val="18"/>
          <w:szCs w:val="18"/>
          <w:i w:val="1"/>
          <w:iCs w:val="1"/>
          <w:color w:val="auto"/>
        </w:rPr>
        <w:t>Solvency</w:t>
      </w:r>
      <w:r>
        <w:rPr>
          <w:rFonts w:ascii="Arial" w:cs="Arial" w:eastAsia="Arial" w:hAnsi="Arial"/>
          <w:sz w:val="16"/>
          <w:szCs w:val="16"/>
          <w:i w:val="1"/>
          <w:iCs w:val="1"/>
          <w:color w:val="auto"/>
        </w:rPr>
        <w:t>.</w:t>
      </w:r>
    </w:p>
    <w:p>
      <w:pPr>
        <w:spacing w:after="0" w:line="231" w:lineRule="exact"/>
        <w:rPr>
          <w:sz w:val="20"/>
          <w:szCs w:val="20"/>
          <w:color w:val="auto"/>
        </w:rPr>
      </w:pPr>
    </w:p>
    <w:p>
      <w:pPr>
        <w:ind w:firstLine="819"/>
        <w:spacing w:after="0" w:line="286" w:lineRule="auto"/>
        <w:tabs>
          <w:tab w:leader="none" w:pos="126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Immediately after the consummation of the Transactions to occur on the Restatement Effective Date, the Borrower and its Subsidiaries, taken as a whole, will not be Insolvent.</w:t>
      </w:r>
    </w:p>
    <w:p>
      <w:pPr>
        <w:spacing w:after="0" w:line="146" w:lineRule="exact"/>
        <w:rPr>
          <w:rFonts w:ascii="Arial" w:cs="Arial" w:eastAsia="Arial" w:hAnsi="Arial"/>
          <w:sz w:val="21"/>
          <w:szCs w:val="21"/>
          <w:color w:val="auto"/>
        </w:rPr>
      </w:pPr>
    </w:p>
    <w:p>
      <w:pPr>
        <w:ind w:firstLine="819"/>
        <w:spacing w:after="0" w:line="286" w:lineRule="auto"/>
        <w:tabs>
          <w:tab w:leader="none" w:pos="124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Immediately after the consummation of the Transactions to occur on the Escrow Assumption Date, the Borrower and its Subsidiaries, taken as a whole, will not be Insolvent.</w:t>
      </w:r>
    </w:p>
    <w:p>
      <w:pPr>
        <w:spacing w:after="0" w:line="146"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21"/>
          <w:szCs w:val="21"/>
          <w:color w:val="auto"/>
        </w:rPr>
        <w:t xml:space="preserve">Section 3.15. </w:t>
      </w:r>
      <w:r>
        <w:rPr>
          <w:rFonts w:ascii="Arial" w:cs="Arial" w:eastAsia="Arial" w:hAnsi="Arial"/>
          <w:sz w:val="21"/>
          <w:szCs w:val="21"/>
          <w:i w:val="1"/>
          <w:iCs w:val="1"/>
          <w:color w:val="auto"/>
        </w:rPr>
        <w:t>Senior Indebtedness</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The Loan Document Obligations constitute “Senior Indebtedness” (or any comparable term) under</w:t>
      </w:r>
      <w:r>
        <w:rPr>
          <w:rFonts w:ascii="Arial" w:cs="Arial" w:eastAsia="Arial" w:hAnsi="Arial"/>
          <w:sz w:val="21"/>
          <w:szCs w:val="21"/>
          <w:color w:val="auto"/>
        </w:rPr>
        <w:t xml:space="preserve"> </w:t>
      </w:r>
      <w:r>
        <w:rPr>
          <w:rFonts w:ascii="Arial" w:cs="Arial" w:eastAsia="Arial" w:hAnsi="Arial"/>
          <w:sz w:val="19"/>
          <w:szCs w:val="19"/>
          <w:color w:val="auto"/>
        </w:rPr>
        <w:t>and as defined in the documentation governing any Junior Financing.</w:t>
      </w:r>
    </w:p>
    <w:p>
      <w:pPr>
        <w:spacing w:after="0" w:line="181"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21"/>
          <w:szCs w:val="21"/>
          <w:i w:val="1"/>
          <w:iCs w:val="1"/>
          <w:color w:val="auto"/>
        </w:rPr>
        <w:t>Federal Reserve Regulations</w:t>
      </w:r>
      <w:r>
        <w:rPr>
          <w:rFonts w:ascii="Arial" w:cs="Arial" w:eastAsia="Arial" w:hAnsi="Arial"/>
          <w:sz w:val="19"/>
          <w:szCs w:val="19"/>
          <w:color w:val="auto"/>
        </w:rPr>
        <w:t>. No part of the proceeds of the Loans will be used, directly or indirectly, to purchase or</w:t>
      </w:r>
      <w:r>
        <w:rPr>
          <w:rFonts w:ascii="Arial" w:cs="Arial" w:eastAsia="Arial" w:hAnsi="Arial"/>
          <w:sz w:val="21"/>
          <w:szCs w:val="21"/>
          <w:color w:val="auto"/>
        </w:rPr>
        <w:t xml:space="preserve"> </w:t>
      </w:r>
      <w:r>
        <w:rPr>
          <w:rFonts w:ascii="Arial" w:cs="Arial" w:eastAsia="Arial" w:hAnsi="Arial"/>
          <w:sz w:val="19"/>
          <w:szCs w:val="19"/>
          <w:color w:val="auto"/>
        </w:rPr>
        <w:t>carry any margin stock or to refinance any Indebtedness originally incurred for such purpose, in each case, in a manner that entails a violation (including on the part of any Lender) of the provisions of Regulations U or X of the Board of Governors.</w:t>
      </w:r>
    </w:p>
    <w:p>
      <w:pPr>
        <w:spacing w:after="0" w:line="179"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3.17. </w:t>
      </w:r>
      <w:r>
        <w:rPr>
          <w:rFonts w:ascii="Arial" w:cs="Arial" w:eastAsia="Arial" w:hAnsi="Arial"/>
          <w:sz w:val="21"/>
          <w:szCs w:val="21"/>
          <w:i w:val="1"/>
          <w:iCs w:val="1"/>
          <w:color w:val="auto"/>
        </w:rPr>
        <w:t>Use of Proceeds</w:t>
      </w:r>
      <w:r>
        <w:rPr>
          <w:rFonts w:ascii="Arial" w:cs="Arial" w:eastAsia="Arial" w:hAnsi="Arial"/>
          <w:sz w:val="19"/>
          <w:szCs w:val="19"/>
          <w:i w:val="1"/>
          <w:iCs w:val="1"/>
          <w:color w:val="auto"/>
        </w:rPr>
        <w:t>.</w:t>
      </w:r>
      <w:r>
        <w:rPr>
          <w:rFonts w:ascii="Arial" w:cs="Arial" w:eastAsia="Arial" w:hAnsi="Arial"/>
          <w:sz w:val="21"/>
          <w:szCs w:val="21"/>
          <w:color w:val="auto"/>
        </w:rPr>
        <w:t xml:space="preserve"> (%3) </w:t>
      </w:r>
      <w:r>
        <w:rPr>
          <w:rFonts w:ascii="Arial" w:cs="Arial" w:eastAsia="Arial" w:hAnsi="Arial"/>
          <w:sz w:val="19"/>
          <w:szCs w:val="19"/>
          <w:color w:val="auto"/>
        </w:rPr>
        <w:t>The proceeds of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21"/>
          <w:szCs w:val="21"/>
          <w:color w:val="auto"/>
        </w:rPr>
        <w:t xml:space="preserve"> </w:t>
      </w:r>
      <w:r>
        <w:rPr>
          <w:rFonts w:ascii="Arial" w:cs="Arial" w:eastAsia="Arial" w:hAnsi="Arial"/>
          <w:sz w:val="19"/>
          <w:szCs w:val="19"/>
          <w:color w:val="auto"/>
        </w:rPr>
        <w:t>Loans received on the Amendment No.</w:t>
      </w:r>
      <w:r>
        <w:rPr>
          <w:rFonts w:ascii="Arial" w:cs="Arial" w:eastAsia="Arial" w:hAnsi="Arial"/>
          <w:sz w:val="21"/>
          <w:szCs w:val="21"/>
          <w:color w:val="auto"/>
        </w:rPr>
        <w:t xml:space="preserve">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21"/>
          <w:szCs w:val="21"/>
          <w:color w:val="auto"/>
        </w:rPr>
        <w:t xml:space="preserve"> </w:t>
      </w:r>
      <w:r>
        <w:rPr>
          <w:rFonts w:ascii="Arial" w:cs="Arial" w:eastAsia="Arial" w:hAnsi="Arial"/>
          <w:sz w:val="19"/>
          <w:szCs w:val="19"/>
          <w:color w:val="auto"/>
        </w:rPr>
        <w:t>Effective Date shall</w:t>
      </w:r>
      <w:r>
        <w:rPr>
          <w:rFonts w:ascii="Arial" w:cs="Arial" w:eastAsia="Arial" w:hAnsi="Arial"/>
          <w:sz w:val="21"/>
          <w:szCs w:val="21"/>
          <w:color w:val="auto"/>
        </w:rPr>
        <w:t xml:space="preserve"> </w:t>
      </w:r>
      <w:r>
        <w:rPr>
          <w:rFonts w:ascii="Arial" w:cs="Arial" w:eastAsia="Arial" w:hAnsi="Arial"/>
          <w:sz w:val="19"/>
          <w:szCs w:val="19"/>
          <w:color w:val="auto"/>
        </w:rPr>
        <w:t xml:space="preserve">not be used for any purpose other than to repay a portion of the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u w:val="single" w:color="auto"/>
          <w:color w:val="0000FF"/>
        </w:rPr>
        <w:t>B-1</w:t>
      </w:r>
      <w:r>
        <w:rPr>
          <w:rFonts w:ascii="Arial" w:cs="Arial" w:eastAsia="Arial" w:hAnsi="Arial"/>
          <w:sz w:val="19"/>
          <w:szCs w:val="19"/>
          <w:color w:val="auto"/>
        </w:rPr>
        <w:t xml:space="preserve"> Loans outstanding on the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Effective Date and to pay fees and expenses in connection therewith.</w:t>
      </w:r>
    </w:p>
    <w:p>
      <w:pPr>
        <w:spacing w:after="0" w:line="179" w:lineRule="exact"/>
        <w:rPr>
          <w:sz w:val="20"/>
          <w:szCs w:val="20"/>
          <w:color w:val="auto"/>
        </w:rPr>
      </w:pPr>
    </w:p>
    <w:p>
      <w:pPr>
        <w:jc w:val="both"/>
        <w:ind w:firstLine="819"/>
        <w:spacing w:after="0" w:line="267" w:lineRule="auto"/>
        <w:tabs>
          <w:tab w:leader="none" w:pos="1261"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Borrower and its Restricted Subsidiaries will use the proceeds of borrowings under the Revolving Facility and the Letters of Credit issued hereunder for working capital and other general corporate purposes, including the financing of Permitted Acquisitions</w:t>
      </w:r>
      <w:r>
        <w:rPr>
          <w:rFonts w:ascii="Arial" w:cs="Arial" w:eastAsia="Arial" w:hAnsi="Arial"/>
          <w:sz w:val="19"/>
          <w:szCs w:val="19"/>
          <w:color w:val="auto"/>
        </w:rPr>
        <w:t>.</w:t>
      </w:r>
    </w:p>
    <w:p>
      <w:pPr>
        <w:spacing w:after="0" w:line="178" w:lineRule="exact"/>
        <w:rPr>
          <w:sz w:val="20"/>
          <w:szCs w:val="20"/>
          <w:color w:val="auto"/>
        </w:rPr>
      </w:pPr>
    </w:p>
    <w:p>
      <w:pPr>
        <w:jc w:val="both"/>
        <w:ind w:firstLine="630"/>
        <w:spacing w:after="0" w:line="272" w:lineRule="auto"/>
        <w:rPr>
          <w:sz w:val="20"/>
          <w:szCs w:val="20"/>
          <w:color w:val="auto"/>
        </w:rPr>
      </w:pPr>
      <w:r>
        <w:rPr>
          <w:rFonts w:ascii="Arial" w:cs="Arial" w:eastAsia="Arial" w:hAnsi="Arial"/>
          <w:sz w:val="21"/>
          <w:szCs w:val="21"/>
          <w:color w:val="auto"/>
        </w:rPr>
        <w:t xml:space="preserve">Section 3.18. </w:t>
      </w:r>
      <w:r>
        <w:rPr>
          <w:rFonts w:ascii="Arial" w:cs="Arial" w:eastAsia="Arial" w:hAnsi="Arial"/>
          <w:sz w:val="21"/>
          <w:szCs w:val="21"/>
          <w:i w:val="1"/>
          <w:iCs w:val="1"/>
          <w:color w:val="auto"/>
        </w:rPr>
        <w:t>Regulatory Status and Memberships Held</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Except as set forth on Schedule 3.18(a), each Broker-Dealer</w:t>
      </w:r>
      <w:r>
        <w:rPr>
          <w:rFonts w:ascii="Arial" w:cs="Arial" w:eastAsia="Arial" w:hAnsi="Arial"/>
          <w:sz w:val="21"/>
          <w:szCs w:val="21"/>
          <w:color w:val="auto"/>
        </w:rPr>
        <w:t xml:space="preserve"> </w:t>
      </w:r>
      <w:r>
        <w:rPr>
          <w:rFonts w:ascii="Arial" w:cs="Arial" w:eastAsia="Arial" w:hAnsi="Arial"/>
          <w:sz w:val="19"/>
          <w:szCs w:val="19"/>
          <w:color w:val="auto"/>
        </w:rPr>
        <w:t>Subsidiary is duly (i) registered, licensed or qualified as a broker-dealer and is in compliance in all material respects with all Requirements of Law of all material jurisdictions in which it is required to be so registered, licensed or qualified and each such registration, license or qualification is in full force and effect and (ii) registered as a broker-dealer with the SEC under the Exchange Act and is in compliance in all material respects with the applicable provisions of the Exchange Act and all rules and regulations thereunder and applicable state securities laws, including the net capital requirements and customer protection requirements thereof.</w:t>
      </w:r>
    </w:p>
    <w:p>
      <w:pPr>
        <w:spacing w:after="0" w:line="181" w:lineRule="exact"/>
        <w:rPr>
          <w:sz w:val="20"/>
          <w:szCs w:val="20"/>
          <w:color w:val="auto"/>
        </w:rPr>
      </w:pPr>
    </w:p>
    <w:p>
      <w:pPr>
        <w:jc w:val="both"/>
        <w:ind w:firstLine="819"/>
        <w:spacing w:after="0" w:line="267" w:lineRule="auto"/>
        <w:tabs>
          <w:tab w:leader="none" w:pos="1313" w:val="left"/>
        </w:tabs>
        <w:numPr>
          <w:ilvl w:val="0"/>
          <w:numId w:val="117"/>
        </w:numPr>
        <w:rPr>
          <w:rFonts w:ascii="Arial" w:cs="Arial" w:eastAsia="Arial" w:hAnsi="Arial"/>
          <w:sz w:val="21"/>
          <w:szCs w:val="21"/>
          <w:color w:val="auto"/>
        </w:rPr>
      </w:pPr>
      <w:r>
        <w:rPr>
          <w:rFonts w:ascii="Arial" w:cs="Arial" w:eastAsia="Arial" w:hAnsi="Arial"/>
          <w:sz w:val="21"/>
          <w:szCs w:val="21"/>
          <w:color w:val="auto"/>
        </w:rPr>
        <w:t>Each Subsidiary of the Borrower listed on Schedule 3.18(b) is duly registered with, or a member of, the Regulatory Supervising Organization(s) indicated for such Subsidiary and is in compliance in all material respects with all applicable rules and regulations of such Regulatory Supervising Organization(s).</w:t>
      </w:r>
    </w:p>
    <w:p>
      <w:pPr>
        <w:spacing w:after="0" w:line="165"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3.19.</w:t>
      </w:r>
      <w:r>
        <w:rPr>
          <w:sz w:val="20"/>
          <w:szCs w:val="20"/>
          <w:color w:val="auto"/>
        </w:rPr>
        <w:tab/>
      </w:r>
      <w:r>
        <w:rPr>
          <w:rFonts w:ascii="Arial" w:cs="Arial" w:eastAsia="Arial" w:hAnsi="Arial"/>
          <w:sz w:val="18"/>
          <w:szCs w:val="18"/>
          <w:i w:val="1"/>
          <w:iCs w:val="1"/>
          <w:color w:val="auto"/>
        </w:rPr>
        <w:t>PATRIOT Act, OFAC and FCPA</w:t>
      </w:r>
      <w:r>
        <w:rPr>
          <w:rFonts w:ascii="Arial" w:cs="Arial" w:eastAsia="Arial" w:hAnsi="Arial"/>
          <w:sz w:val="16"/>
          <w:szCs w:val="16"/>
          <w:color w:val="auto"/>
        </w:rPr>
        <w:t>.</w:t>
      </w:r>
    </w:p>
    <w:p>
      <w:pPr>
        <w:spacing w:after="0" w:line="231" w:lineRule="exact"/>
        <w:rPr>
          <w:sz w:val="20"/>
          <w:szCs w:val="20"/>
          <w:color w:val="auto"/>
        </w:rPr>
      </w:pPr>
    </w:p>
    <w:p>
      <w:pPr>
        <w:jc w:val="both"/>
        <w:ind w:firstLine="819"/>
        <w:spacing w:after="0" w:line="257" w:lineRule="auto"/>
        <w:tabs>
          <w:tab w:leader="none" w:pos="1327" w:val="left"/>
        </w:tabs>
        <w:numPr>
          <w:ilvl w:val="1"/>
          <w:numId w:val="118"/>
        </w:numPr>
        <w:rPr>
          <w:rFonts w:ascii="Arial" w:cs="Arial" w:eastAsia="Arial" w:hAnsi="Arial"/>
          <w:sz w:val="21"/>
          <w:szCs w:val="21"/>
          <w:color w:val="auto"/>
        </w:rPr>
      </w:pPr>
      <w:r>
        <w:rPr>
          <w:rFonts w:ascii="Arial" w:cs="Arial" w:eastAsia="Arial" w:hAnsi="Arial"/>
          <w:sz w:val="21"/>
          <w:szCs w:val="21"/>
          <w:color w:val="auto"/>
        </w:rPr>
        <w:t>Holdings, the Borrower and the Subsidiaries will not, directly or indirectly, use the proceeds of the Loans, or lend, contribute or otherwise make available such proceeds to any Subsidiary, joint venture partner or other Person, for the purpose of funding (i) any activities of or business with any Person, or in any country or territory, that, at the time of such funding, is the subject of Sanctions, or (ii) any other transaction that will result in a violation by any Person (including any Person participating in the transaction, whether as underwriter, advisor, investor, lender or otherwise) of Sanctions.</w:t>
      </w:r>
    </w:p>
    <w:p>
      <w:pPr>
        <w:spacing w:after="0" w:line="176" w:lineRule="exact"/>
        <w:rPr>
          <w:rFonts w:ascii="Arial" w:cs="Arial" w:eastAsia="Arial" w:hAnsi="Arial"/>
          <w:sz w:val="21"/>
          <w:szCs w:val="21"/>
          <w:color w:val="auto"/>
        </w:rPr>
      </w:pPr>
    </w:p>
    <w:p>
      <w:pPr>
        <w:jc w:val="both"/>
        <w:ind w:firstLine="819"/>
        <w:spacing w:after="0" w:line="296" w:lineRule="auto"/>
        <w:tabs>
          <w:tab w:leader="none" w:pos="1365" w:val="left"/>
        </w:tabs>
        <w:numPr>
          <w:ilvl w:val="1"/>
          <w:numId w:val="118"/>
        </w:numPr>
        <w:rPr>
          <w:rFonts w:ascii="Arial" w:cs="Arial" w:eastAsia="Arial" w:hAnsi="Arial"/>
          <w:sz w:val="19"/>
          <w:szCs w:val="19"/>
          <w:color w:val="auto"/>
        </w:rPr>
      </w:pPr>
      <w:r>
        <w:rPr>
          <w:rFonts w:ascii="Arial" w:cs="Arial" w:eastAsia="Arial" w:hAnsi="Arial"/>
          <w:sz w:val="19"/>
          <w:szCs w:val="19"/>
          <w:color w:val="auto"/>
        </w:rPr>
        <w:t>Holdings, the Borrower and the Restricted Subsidiaries will not use the proceeds of the Loans directly, or, to the knowledge of Holdings,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Arial" w:cs="Arial" w:eastAsia="Arial" w:hAnsi="Arial"/>
          <w:sz w:val="19"/>
          <w:szCs w:val="19"/>
          <w:b w:val="1"/>
          <w:bCs w:val="1"/>
          <w:color w:val="auto"/>
        </w:rPr>
        <w:t>FCPA</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819"/>
        <w:spacing w:after="0" w:line="307" w:lineRule="auto"/>
        <w:tabs>
          <w:tab w:leader="none" w:pos="1222" w:val="left"/>
        </w:tabs>
        <w:numPr>
          <w:ilvl w:val="1"/>
          <w:numId w:val="118"/>
        </w:numPr>
        <w:rPr>
          <w:rFonts w:ascii="Arial" w:cs="Arial" w:eastAsia="Arial" w:hAnsi="Arial"/>
          <w:sz w:val="19"/>
          <w:szCs w:val="19"/>
          <w:color w:val="auto"/>
        </w:rPr>
      </w:pPr>
      <w:r>
        <w:rPr>
          <w:rFonts w:ascii="Arial" w:cs="Arial" w:eastAsia="Arial" w:hAnsi="Arial"/>
          <w:sz w:val="19"/>
          <w:szCs w:val="19"/>
          <w:color w:val="auto"/>
        </w:rPr>
        <w:t>Except as could not, individually or in the aggregate, reasonably be expected to result in a Material Adverse Effect, none of Holdings, the Borrower or any Subsidiary has, in the past three years, committed a violation of applicable regulations of the United States Department of the Treasury’s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Title III of the USA Patriot Act or the FCPA.</w:t>
      </w:r>
    </w:p>
    <w:p>
      <w:pPr>
        <w:spacing w:after="0" w:line="132" w:lineRule="exact"/>
        <w:rPr>
          <w:rFonts w:ascii="Arial" w:cs="Arial" w:eastAsia="Arial" w:hAnsi="Arial"/>
          <w:sz w:val="19"/>
          <w:szCs w:val="19"/>
          <w:color w:val="auto"/>
        </w:rPr>
      </w:pPr>
    </w:p>
    <w:p>
      <w:pPr>
        <w:jc w:val="both"/>
        <w:ind w:firstLine="819"/>
        <w:spacing w:after="0" w:line="290" w:lineRule="auto"/>
        <w:tabs>
          <w:tab w:leader="none" w:pos="1286" w:val="left"/>
        </w:tabs>
        <w:numPr>
          <w:ilvl w:val="1"/>
          <w:numId w:val="118"/>
        </w:numPr>
        <w:rPr>
          <w:rFonts w:ascii="Arial" w:cs="Arial" w:eastAsia="Arial" w:hAnsi="Arial"/>
          <w:sz w:val="19"/>
          <w:szCs w:val="19"/>
          <w:color w:val="auto"/>
        </w:rPr>
      </w:pPr>
      <w:r>
        <w:rPr>
          <w:rFonts w:ascii="Arial" w:cs="Arial" w:eastAsia="Arial" w:hAnsi="Arial"/>
          <w:sz w:val="19"/>
          <w:szCs w:val="19"/>
          <w:color w:val="auto"/>
        </w:rPr>
        <w:t>(i) None of the Loan Parties is an individual or entity currently on OFAC’s list of Specially Designated Nationals and Blocked Persons (the “</w:t>
      </w:r>
      <w:r>
        <w:rPr>
          <w:rFonts w:ascii="Arial" w:cs="Arial" w:eastAsia="Arial" w:hAnsi="Arial"/>
          <w:sz w:val="19"/>
          <w:szCs w:val="19"/>
          <w:b w:val="1"/>
          <w:bCs w:val="1"/>
          <w:color w:val="auto"/>
        </w:rPr>
        <w:t>SDN List</w:t>
      </w:r>
      <w:r>
        <w:rPr>
          <w:rFonts w:ascii="Arial" w:cs="Arial" w:eastAsia="Arial" w:hAnsi="Arial"/>
          <w:sz w:val="19"/>
          <w:szCs w:val="19"/>
          <w:color w:val="auto"/>
        </w:rPr>
        <w:t>”) or is owned 50% or more, directly or indirectly, by one or more parties on the SDN List and</w:t>
      </w:r>
    </w:p>
    <w:p>
      <w:pPr>
        <w:spacing w:after="0" w:line="1" w:lineRule="exact"/>
        <w:rPr>
          <w:rFonts w:ascii="Arial" w:cs="Arial" w:eastAsia="Arial" w:hAnsi="Arial"/>
          <w:sz w:val="19"/>
          <w:szCs w:val="19"/>
          <w:color w:val="auto"/>
        </w:rPr>
      </w:pPr>
    </w:p>
    <w:p>
      <w:pPr>
        <w:jc w:val="both"/>
        <w:ind w:firstLine="5"/>
        <w:spacing w:after="0" w:line="265" w:lineRule="auto"/>
        <w:tabs>
          <w:tab w:leader="none" w:pos="328" w:val="left"/>
        </w:tabs>
        <w:numPr>
          <w:ilvl w:val="0"/>
          <w:numId w:val="119"/>
        </w:numPr>
        <w:rPr>
          <w:rFonts w:ascii="Arial" w:cs="Arial" w:eastAsia="Arial" w:hAnsi="Arial"/>
          <w:sz w:val="20"/>
          <w:szCs w:val="20"/>
          <w:color w:val="auto"/>
        </w:rPr>
      </w:pPr>
      <w:r>
        <w:rPr>
          <w:rFonts w:ascii="Arial" w:cs="Arial" w:eastAsia="Arial" w:hAnsi="Arial"/>
          <w:sz w:val="20"/>
          <w:szCs w:val="20"/>
          <w:color w:val="auto"/>
        </w:rPr>
        <w:t>except as would not, individually or in the aggregate, reasonably be expected to result in a Material Adverse Effect, none of the Restricted Subsidiaries that are not Loan Parties or, to the knowledge of Holdings, any director, officer, employee or agent of any Loan Party or other Restricted Subsidiary, in each case, is an individual or entity currently on the SDN List or is owned 50% or more, directly or indirectly, by one or more parties on the SDN List, nor is Holdings, the Borrower or any Restricted Subsidiary located, organized or resident in a country or territory that is the subject of Sanctions.</w:t>
      </w:r>
    </w:p>
    <w:p>
      <w:pPr>
        <w:spacing w:after="0" w:line="169"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3.20.</w:t>
      </w:r>
      <w:r>
        <w:rPr>
          <w:sz w:val="20"/>
          <w:szCs w:val="20"/>
          <w:color w:val="auto"/>
        </w:rPr>
        <w:tab/>
      </w:r>
      <w:r>
        <w:rPr>
          <w:rFonts w:ascii="Arial" w:cs="Arial" w:eastAsia="Arial" w:hAnsi="Arial"/>
          <w:sz w:val="19"/>
          <w:szCs w:val="19"/>
          <w:i w:val="1"/>
          <w:iCs w:val="1"/>
          <w:color w:val="auto"/>
        </w:rPr>
        <w:t>EEA Financial Institutions</w:t>
      </w:r>
      <w:r>
        <w:rPr>
          <w:rFonts w:ascii="Arial" w:cs="Arial" w:eastAsia="Arial" w:hAnsi="Arial"/>
          <w:sz w:val="17"/>
          <w:szCs w:val="17"/>
          <w:color w:val="auto"/>
        </w:rPr>
        <w:t>. No Loan Party is an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ARTICLE 4</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Conditions</w:t>
      </w:r>
    </w:p>
    <w:p>
      <w:pPr>
        <w:spacing w:after="0" w:line="249" w:lineRule="exact"/>
        <w:rPr>
          <w:sz w:val="20"/>
          <w:szCs w:val="20"/>
          <w:color w:val="auto"/>
        </w:rPr>
      </w:pPr>
    </w:p>
    <w:p>
      <w:pPr>
        <w:ind w:firstLine="630"/>
        <w:spacing w:after="0" w:line="322"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Restatement Effective Date</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The obligations of the Lenders to make Loans hereunder on the Restatement Effective Date</w:t>
      </w:r>
      <w:r>
        <w:rPr>
          <w:rFonts w:ascii="Arial" w:cs="Arial" w:eastAsia="Arial" w:hAnsi="Arial"/>
          <w:sz w:val="19"/>
          <w:szCs w:val="19"/>
          <w:color w:val="auto"/>
        </w:rPr>
        <w:t xml:space="preserve"> </w:t>
      </w:r>
      <w:r>
        <w:rPr>
          <w:rFonts w:ascii="Arial" w:cs="Arial" w:eastAsia="Arial" w:hAnsi="Arial"/>
          <w:sz w:val="17"/>
          <w:szCs w:val="17"/>
          <w:color w:val="auto"/>
        </w:rPr>
        <w:t>shall not become effective until the date on which each of the following conditions shall be satisfied (or waived in accordance with Section 9.02):</w:t>
      </w:r>
    </w:p>
    <w:p>
      <w:pPr>
        <w:sectPr>
          <w:pgSz w:w="11900" w:h="16982" w:orient="portrait"/>
          <w:cols w:equalWidth="0" w:num="1">
            <w:col w:w="11420"/>
          </w:cols>
          <w:pgMar w:left="240" w:top="131" w:right="239" w:bottom="0" w:gutter="0" w:footer="0" w:header="0"/>
        </w:sectPr>
      </w:pPr>
    </w:p>
    <w:bookmarkStart w:id="150" w:name="page151"/>
    <w:bookmarkEnd w:id="150"/>
    <w:p>
      <w:pPr>
        <w:jc w:val="both"/>
        <w:ind w:firstLine="819"/>
        <w:spacing w:after="0" w:line="260" w:lineRule="auto"/>
        <w:tabs>
          <w:tab w:leader="none" w:pos="122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Administrative Agent (or its counsel) shall have received from each other party thereto either (i) a counterpart of the Restatement Agreement signed on behalf of such party or (ii) written evidence satisfactory to the Administrative Agent (which may include facsimile or other electronic transmission of a signed counterpart of this Agreement) that such party has signed a counterpart of the Restatement Agreement.</w:t>
      </w:r>
    </w:p>
    <w:p>
      <w:pPr>
        <w:spacing w:after="0" w:line="174" w:lineRule="exact"/>
        <w:rPr>
          <w:rFonts w:ascii="Arial" w:cs="Arial" w:eastAsia="Arial" w:hAnsi="Arial"/>
          <w:sz w:val="21"/>
          <w:szCs w:val="21"/>
          <w:color w:val="auto"/>
        </w:rPr>
      </w:pPr>
    </w:p>
    <w:p>
      <w:pPr>
        <w:jc w:val="both"/>
        <w:ind w:firstLine="819"/>
        <w:spacing w:after="0" w:line="257" w:lineRule="auto"/>
        <w:tabs>
          <w:tab w:leader="none" w:pos="12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Administrative Agent shall have received written opinions (addressed to the Administrative Agent and the Lenders and dated the Restatement Effective Date) of Paul, Weiss, Rifkind, Wharton &amp; Garrison LLP, New York counsel for the Loan Parties, and Schulte Roth &amp; Zabel LLP, special counsel for the Loan Parties, as to such matters as the Administrative Agent may reasonably request and in form and substance reasonably satisfactory to the Administrative Agent and the Lead Arranger. Each of Holdings and the Borrower hereby requests such counsels to deliver such opinions.</w:t>
      </w:r>
    </w:p>
    <w:p>
      <w:pPr>
        <w:spacing w:after="0" w:line="176" w:lineRule="exact"/>
        <w:rPr>
          <w:rFonts w:ascii="Arial" w:cs="Arial" w:eastAsia="Arial" w:hAnsi="Arial"/>
          <w:sz w:val="21"/>
          <w:szCs w:val="21"/>
          <w:color w:val="auto"/>
        </w:rPr>
      </w:pPr>
    </w:p>
    <w:p>
      <w:pPr>
        <w:jc w:val="both"/>
        <w:ind w:firstLine="819"/>
        <w:spacing w:after="0" w:line="267" w:lineRule="auto"/>
        <w:tabs>
          <w:tab w:leader="none" w:pos="1287"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each Loan Party, dated the Restatement Effective Date, substantially in the form of Exhibit G with appropriate insertions, executed by any Responsible Officer of such Loan Party, and including or attaching the documents referred to in paragraph (d) of this Section.</w:t>
      </w:r>
    </w:p>
    <w:p>
      <w:pPr>
        <w:spacing w:after="0" w:line="165" w:lineRule="exact"/>
        <w:rPr>
          <w:rFonts w:ascii="Arial" w:cs="Arial" w:eastAsia="Arial" w:hAnsi="Arial"/>
          <w:sz w:val="21"/>
          <w:szCs w:val="21"/>
          <w:color w:val="auto"/>
        </w:rPr>
      </w:pPr>
    </w:p>
    <w:p>
      <w:pPr>
        <w:jc w:val="both"/>
        <w:ind w:firstLine="819"/>
        <w:spacing w:after="0" w:line="253" w:lineRule="auto"/>
        <w:tabs>
          <w:tab w:leader="none" w:pos="1247"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Restatement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81" w:lineRule="exact"/>
        <w:rPr>
          <w:rFonts w:ascii="Arial" w:cs="Arial" w:eastAsia="Arial" w:hAnsi="Arial"/>
          <w:sz w:val="21"/>
          <w:szCs w:val="21"/>
          <w:color w:val="auto"/>
        </w:rPr>
      </w:pPr>
    </w:p>
    <w:p>
      <w:pPr>
        <w:ind w:firstLine="819"/>
        <w:spacing w:after="0" w:line="286" w:lineRule="auto"/>
        <w:tabs>
          <w:tab w:leader="none" w:pos="1248"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Administrative Agent shall have received upfront fees from the Borrower for the account of the Lenders providing Initial Term Loans in the amounts previously agreed between the Borrower and the Administrative Agent.</w:t>
      </w:r>
    </w:p>
    <w:p>
      <w:pPr>
        <w:spacing w:after="0" w:line="146" w:lineRule="exact"/>
        <w:rPr>
          <w:rFonts w:ascii="Arial" w:cs="Arial" w:eastAsia="Arial" w:hAnsi="Arial"/>
          <w:sz w:val="21"/>
          <w:szCs w:val="21"/>
          <w:color w:val="auto"/>
        </w:rPr>
      </w:pPr>
    </w:p>
    <w:p>
      <w:pPr>
        <w:jc w:val="both"/>
        <w:ind w:firstLine="819"/>
        <w:spacing w:after="0" w:line="260" w:lineRule="auto"/>
        <w:tabs>
          <w:tab w:leader="none" w:pos="134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Administrative Agent (or its counsel) shall have received from each Loan Party either (i) a counterpart of a Reaffirmation Agreement signed on behalf of such party or (ii) written evidence satisfactory to the Administrative Agent (which may include facsimile or other electronic transmission of a signed counterpart of a Reaffirmation Agreement) that such party has signed a counterpart of a Reaffirmation Agreement.</w:t>
      </w:r>
    </w:p>
    <w:p>
      <w:pPr>
        <w:spacing w:after="0" w:line="174" w:lineRule="exact"/>
        <w:rPr>
          <w:rFonts w:ascii="Arial" w:cs="Arial" w:eastAsia="Arial" w:hAnsi="Arial"/>
          <w:sz w:val="21"/>
          <w:szCs w:val="21"/>
          <w:color w:val="auto"/>
        </w:rPr>
      </w:pPr>
    </w:p>
    <w:p>
      <w:pPr>
        <w:jc w:val="both"/>
        <w:ind w:firstLine="819"/>
        <w:spacing w:after="0" w:line="260" w:lineRule="auto"/>
        <w:tabs>
          <w:tab w:leader="none" w:pos="127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from the chief financial officer or chief operating officer of the Borrower (x) in the form of Exhibit Q certifying as to the solvency of the Borrower and its Subsidiaries on a consolidated basis after giving effect to the Transactions to be consummated on or prior to the Restatement Effective Date and (y) as to the satisfaction of the conditions set forth in Section 4.02.</w:t>
      </w:r>
    </w:p>
    <w:p>
      <w:pPr>
        <w:spacing w:after="0" w:line="174" w:lineRule="exact"/>
        <w:rPr>
          <w:rFonts w:ascii="Arial" w:cs="Arial" w:eastAsia="Arial" w:hAnsi="Arial"/>
          <w:sz w:val="21"/>
          <w:szCs w:val="21"/>
          <w:color w:val="auto"/>
        </w:rPr>
      </w:pPr>
    </w:p>
    <w:p>
      <w:pPr>
        <w:jc w:val="both"/>
        <w:ind w:firstLine="819"/>
        <w:spacing w:after="0" w:line="273" w:lineRule="auto"/>
        <w:tabs>
          <w:tab w:leader="none" w:pos="1417"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Administrative Agent and the Lead Arranger shall have received, at least five Business Days prior to the Restatement Effective Date, all documentation and other information about the Loan Parties as shall have been reasonably requested in writing at least 10 Business Days prior to the Restatement Effective Date by the Administrative Agent or the Lead Arranger that they shall have reasonably determined is required by regulatory authorities under applicable “know your customer” and anti-money laundering rules and regulations, including without limitation the USA Patriot Act.</w:t>
      </w:r>
    </w:p>
    <w:p>
      <w:pPr>
        <w:spacing w:after="0" w:line="161" w:lineRule="exact"/>
        <w:rPr>
          <w:rFonts w:ascii="Arial" w:cs="Arial" w:eastAsia="Arial" w:hAnsi="Arial"/>
          <w:sz w:val="20"/>
          <w:szCs w:val="20"/>
          <w:color w:val="auto"/>
        </w:rPr>
      </w:pPr>
    </w:p>
    <w:p>
      <w:pPr>
        <w:ind w:left="1200" w:hanging="381"/>
        <w:spacing w:after="0"/>
        <w:tabs>
          <w:tab w:leader="none" w:pos="12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Administrative Agent shall have received a Borrowing Request requesting the borrowing of the Initial Term Loans.</w:t>
      </w:r>
    </w:p>
    <w:p>
      <w:pPr>
        <w:spacing w:after="0" w:line="254" w:lineRule="exact"/>
        <w:rPr>
          <w:sz w:val="20"/>
          <w:szCs w:val="20"/>
          <w:color w:val="auto"/>
        </w:rPr>
      </w:pPr>
    </w:p>
    <w:p>
      <w:pPr>
        <w:jc w:val="both"/>
        <w:ind w:firstLine="1260"/>
        <w:spacing w:after="0" w:line="273" w:lineRule="auto"/>
        <w:rPr>
          <w:sz w:val="20"/>
          <w:szCs w:val="20"/>
          <w:color w:val="auto"/>
        </w:rPr>
      </w:pPr>
      <w:r>
        <w:rPr>
          <w:rFonts w:ascii="Arial" w:cs="Arial" w:eastAsia="Arial" w:hAnsi="Arial"/>
          <w:sz w:val="21"/>
          <w:szCs w:val="21"/>
          <w:color w:val="auto"/>
        </w:rPr>
        <w:t>The Administrative Agent shall notify Holdings, the Borrower and the Lenders of the Restatement Effective Date, and such notice shall be conclusive and binding.</w:t>
      </w:r>
    </w:p>
    <w:p>
      <w:pPr>
        <w:spacing w:after="0" w:line="159"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i w:val="1"/>
          <w:iCs w:val="1"/>
          <w:color w:val="auto"/>
        </w:rPr>
        <w:t>Each Credit Event</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The obligation of each Lender to make a Loan on the occasion of any Borrowing (including any</w:t>
      </w:r>
      <w:r>
        <w:rPr>
          <w:rFonts w:ascii="Arial" w:cs="Arial" w:eastAsia="Arial" w:hAnsi="Arial"/>
          <w:sz w:val="21"/>
          <w:szCs w:val="21"/>
          <w:color w:val="auto"/>
        </w:rPr>
        <w:t xml:space="preserve"> </w:t>
      </w:r>
      <w:r>
        <w:rPr>
          <w:rFonts w:ascii="Arial" w:cs="Arial" w:eastAsia="Arial" w:hAnsi="Arial"/>
          <w:sz w:val="19"/>
          <w:szCs w:val="19"/>
          <w:color w:val="auto"/>
        </w:rPr>
        <w:t>Borrowing on the Restatement Effective Date but excluding, for the avoidance of doubt, the assumption of the Escrow Term Loans on the Escrow Assumption Date), and of each Issuing Bank to issue, amend, renew or extend any Letter of Credit, is subject to receipt of the request therefor in accordance herewith and to the satisfaction of the following conditions:</w:t>
      </w:r>
    </w:p>
    <w:p>
      <w:pPr>
        <w:spacing w:after="0" w:line="182" w:lineRule="exact"/>
        <w:rPr>
          <w:sz w:val="20"/>
          <w:szCs w:val="20"/>
          <w:color w:val="auto"/>
        </w:rPr>
      </w:pPr>
    </w:p>
    <w:p>
      <w:pPr>
        <w:jc w:val="both"/>
        <w:ind w:firstLine="819"/>
        <w:spacing w:after="0" w:line="270" w:lineRule="auto"/>
        <w:tabs>
          <w:tab w:leader="none" w:pos="1261"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as the case may be;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w:t>
      </w:r>
    </w:p>
    <w:p>
      <w:pPr>
        <w:spacing w:after="0" w:line="166" w:lineRule="exact"/>
        <w:rPr>
          <w:rFonts w:ascii="Arial" w:cs="Arial" w:eastAsia="Arial" w:hAnsi="Arial"/>
          <w:sz w:val="20"/>
          <w:szCs w:val="20"/>
          <w:color w:val="auto"/>
        </w:rPr>
      </w:pPr>
    </w:p>
    <w:p>
      <w:pPr>
        <w:ind w:firstLine="819"/>
        <w:spacing w:after="0" w:line="312" w:lineRule="auto"/>
        <w:tabs>
          <w:tab w:leader="none" w:pos="12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the issuance, amendment, renewal or extension of such Letter of Credit, as the case may be, no Default or Event of Default shall have occurred and be continuing.</w:t>
      </w:r>
    </w:p>
    <w:p>
      <w:pPr>
        <w:spacing w:after="0" w:line="123" w:lineRule="exact"/>
        <w:rPr>
          <w:rFonts w:ascii="Arial" w:cs="Arial" w:eastAsia="Arial" w:hAnsi="Arial"/>
          <w:sz w:val="20"/>
          <w:szCs w:val="20"/>
          <w:color w:val="auto"/>
        </w:rPr>
      </w:pPr>
    </w:p>
    <w:p>
      <w:pPr>
        <w:jc w:val="both"/>
        <w:ind w:firstLine="819"/>
        <w:spacing w:after="0" w:line="267" w:lineRule="auto"/>
        <w:tabs>
          <w:tab w:leader="none" w:pos="1327" w:val="left"/>
        </w:tabs>
        <w:numPr>
          <w:ilvl w:val="0"/>
          <w:numId w:val="121"/>
        </w:numPr>
        <w:rPr>
          <w:rFonts w:ascii="Arial" w:cs="Arial" w:eastAsia="Arial" w:hAnsi="Arial"/>
          <w:sz w:val="21"/>
          <w:szCs w:val="21"/>
          <w:color w:val="auto"/>
        </w:rPr>
      </w:pPr>
      <w:r>
        <w:rPr>
          <w:rFonts w:ascii="Arial" w:cs="Arial" w:eastAsia="Arial" w:hAnsi="Arial"/>
          <w:sz w:val="21"/>
          <w:szCs w:val="21"/>
          <w:color w:val="auto"/>
        </w:rPr>
        <w:t>Solely with respect to the obligations of each Revolving Lender to make a Revolving Loan on the occasion of any Borrowing and of each Issuing Bank to issue, amend, renew or extend any Letter of Credit, the Revolving Availability Date shall have occurred.</w:t>
      </w:r>
    </w:p>
    <w:p>
      <w:pPr>
        <w:sectPr>
          <w:pgSz w:w="11900" w:h="16838" w:orient="portrait"/>
          <w:cols w:equalWidth="0" w:num="1">
            <w:col w:w="11420"/>
          </w:cols>
          <w:pgMar w:left="240" w:top="341" w:right="239" w:bottom="0" w:gutter="0" w:footer="0" w:header="0"/>
        </w:sectPr>
      </w:pPr>
    </w:p>
    <w:bookmarkStart w:id="151" w:name="page152"/>
    <w:bookmarkEnd w:id="151"/>
    <w:p>
      <w:pPr>
        <w:jc w:val="both"/>
        <w:ind w:firstLine="630"/>
        <w:spacing w:after="0" w:line="305" w:lineRule="auto"/>
        <w:rPr>
          <w:sz w:val="20"/>
          <w:szCs w:val="20"/>
          <w:color w:val="auto"/>
        </w:rPr>
      </w:pPr>
      <w:r>
        <w:rPr>
          <w:rFonts w:ascii="Arial" w:cs="Arial" w:eastAsia="Arial" w:hAnsi="Arial"/>
          <w:sz w:val="17"/>
          <w:szCs w:val="17"/>
          <w:color w:val="auto"/>
        </w:rPr>
        <w:t>Each Borrowing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conversion or a continuation of a Borrowing shall not constitute a “Borrowing” for purposes of this Section) and each issuance, amendment, renewal or extension of a Letter of Credit shall be deemed to constitute a representation and warranty by Holdings and the Borrower on the date thereof as to the matters specified in paragraphs (a), (b) and, if applicable, (c) of this Section.</w:t>
      </w:r>
    </w:p>
    <w:p>
      <w:pPr>
        <w:spacing w:after="0" w:line="144"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4.03. </w:t>
      </w:r>
      <w:r>
        <w:rPr>
          <w:rFonts w:ascii="Arial" w:cs="Arial" w:eastAsia="Arial" w:hAnsi="Arial"/>
          <w:sz w:val="21"/>
          <w:szCs w:val="21"/>
          <w:i w:val="1"/>
          <w:iCs w:val="1"/>
          <w:color w:val="auto"/>
        </w:rPr>
        <w:t>Escrow Assumption Date</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The Escrow Term Loans incurred under the Escrow Term Loan Credit Agreement shall not be</w:t>
      </w:r>
      <w:r>
        <w:rPr>
          <w:rFonts w:ascii="Arial" w:cs="Arial" w:eastAsia="Arial" w:hAnsi="Arial"/>
          <w:sz w:val="21"/>
          <w:szCs w:val="21"/>
          <w:color w:val="auto"/>
        </w:rPr>
        <w:t xml:space="preserve"> </w:t>
      </w:r>
      <w:r>
        <w:rPr>
          <w:rFonts w:ascii="Arial" w:cs="Arial" w:eastAsia="Arial" w:hAnsi="Arial"/>
          <w:sz w:val="19"/>
          <w:szCs w:val="19"/>
          <w:color w:val="auto"/>
        </w:rPr>
        <w:t>assumed by the Borrower or deemed to be outstanding under this Agreement until the date on which each of the following conditions shall be satisfied (or waived in accordance with Section 9.02):</w:t>
      </w:r>
    </w:p>
    <w:p>
      <w:pPr>
        <w:spacing w:after="0" w:line="179" w:lineRule="exact"/>
        <w:rPr>
          <w:sz w:val="20"/>
          <w:szCs w:val="20"/>
          <w:color w:val="auto"/>
        </w:rPr>
      </w:pPr>
    </w:p>
    <w:p>
      <w:pPr>
        <w:jc w:val="both"/>
        <w:ind w:firstLine="819"/>
        <w:spacing w:after="0" w:line="273" w:lineRule="auto"/>
        <w:tabs>
          <w:tab w:leader="none" w:pos="130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Merger and Contribution shall have been, or substantially concurrently with the assumption of the Escrow Term Loans shall be, consummated in accordance with the terms of the Merger Agreement without giving effect to any amendment, change or supplement or waiver of any provision thereof (including any change in the purchase price) in any manner that is materially adverse to the interests of the Term Lenders or the Lead Arranger (in each case in their capacities as such) without the prior written consent (not to be unreasonably withheld or delayed) of JPMorgan Chase Bank, N.A.</w:t>
      </w:r>
    </w:p>
    <w:p>
      <w:pPr>
        <w:spacing w:after="0" w:line="161" w:lineRule="exact"/>
        <w:rPr>
          <w:rFonts w:ascii="Arial" w:cs="Arial" w:eastAsia="Arial" w:hAnsi="Arial"/>
          <w:sz w:val="20"/>
          <w:szCs w:val="20"/>
          <w:color w:val="auto"/>
        </w:rPr>
      </w:pPr>
    </w:p>
    <w:p>
      <w:pPr>
        <w:jc w:val="both"/>
        <w:ind w:firstLine="819"/>
        <w:spacing w:after="0" w:line="279" w:lineRule="auto"/>
        <w:tabs>
          <w:tab w:leader="none" w:pos="129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Acquisition Agreement Representations (as defined below) and the Specified Representations (as defined below) shall be true and correct in all material respects as of the Escrow Assumption Date. “</w:t>
      </w:r>
      <w:r>
        <w:rPr>
          <w:rFonts w:ascii="Arial" w:cs="Arial" w:eastAsia="Arial" w:hAnsi="Arial"/>
          <w:sz w:val="19"/>
          <w:szCs w:val="19"/>
          <w:b w:val="1"/>
          <w:bCs w:val="1"/>
          <w:color w:val="auto"/>
        </w:rPr>
        <w:t>Acquisition Agreement Representations</w:t>
      </w:r>
      <w:r>
        <w:rPr>
          <w:rFonts w:ascii="Arial" w:cs="Arial" w:eastAsia="Arial" w:hAnsi="Arial"/>
          <w:sz w:val="19"/>
          <w:szCs w:val="19"/>
          <w:color w:val="auto"/>
        </w:rPr>
        <w:t>” shall mean such of the representations made by KCG in the Merger Agreement as are material to the interests of the Term Lenders, but only to the extent that the breach of any such representation would result in (i) Virtu Financial, Inc. or any of its affiliates having the right to terminate its or their obligations under the Merger Agreement (after giving effect to any applicable notice and cure period) or (y) the failure of a condition precedent to Virtu Financial, Inc.’s obligation to consummate the Merger and Contribution pursuant to the Merger Agreement. “</w:t>
      </w:r>
      <w:r>
        <w:rPr>
          <w:rFonts w:ascii="Arial" w:cs="Arial" w:eastAsia="Arial" w:hAnsi="Arial"/>
          <w:sz w:val="19"/>
          <w:szCs w:val="19"/>
          <w:b w:val="1"/>
          <w:bCs w:val="1"/>
          <w:color w:val="auto"/>
        </w:rPr>
        <w:t>Specified Representations</w:t>
      </w:r>
      <w:r>
        <w:rPr>
          <w:rFonts w:ascii="Arial" w:cs="Arial" w:eastAsia="Arial" w:hAnsi="Arial"/>
          <w:sz w:val="19"/>
          <w:szCs w:val="19"/>
          <w:color w:val="auto"/>
        </w:rPr>
        <w:t>” shall mean the representations and warranties set forth in Section 3.01 (limited to the Loan Parties as to existence and corporate power and authority to enter into the Loan Documents), Section 3.02, Section 3.03(b)(i) (limited to the Organizational Documents of the Loan Parties), Section 3.08, Section 3.14(b), Section 3.16, Section 3.19(a), Section 3.19(b), Section 3.19(c) and Section 3.02(b) of the Collateral Agreement (other than with respect to any Collateral (other than to the extent a Lien on such Collateral may be perfected by the filing of a financing statement under the Uniform Commercial Code) that is not or cannot reasonably be provided or perfected on the Escrow Assumption Date after the use of the Loan Parties’ commercially reasonable efforts to do so without undue burden or expense).</w:t>
      </w:r>
    </w:p>
    <w:p>
      <w:pPr>
        <w:spacing w:after="0" w:line="162" w:lineRule="exact"/>
        <w:rPr>
          <w:rFonts w:ascii="Arial" w:cs="Arial" w:eastAsia="Arial" w:hAnsi="Arial"/>
          <w:sz w:val="19"/>
          <w:szCs w:val="19"/>
          <w:color w:val="auto"/>
        </w:rPr>
      </w:pPr>
    </w:p>
    <w:p>
      <w:pPr>
        <w:jc w:val="both"/>
        <w:ind w:firstLine="819"/>
        <w:spacing w:after="0" w:line="267" w:lineRule="auto"/>
        <w:tabs>
          <w:tab w:leader="none" w:pos="1274" w:val="left"/>
        </w:tabs>
        <w:numPr>
          <w:ilvl w:val="0"/>
          <w:numId w:val="122"/>
        </w:numPr>
        <w:rPr>
          <w:rFonts w:ascii="Arial" w:cs="Arial" w:eastAsia="Arial" w:hAnsi="Arial"/>
          <w:sz w:val="21"/>
          <w:szCs w:val="21"/>
          <w:color w:val="auto"/>
        </w:rPr>
      </w:pPr>
      <w:r>
        <w:rPr>
          <w:rFonts w:ascii="Arial" w:cs="Arial" w:eastAsia="Arial" w:hAnsi="Arial"/>
          <w:sz w:val="21"/>
          <w:szCs w:val="21"/>
          <w:color w:val="auto"/>
        </w:rPr>
        <w:t>Since April 20, 2017, there shall not have been any change, event or occurrence that, individually or in the aggregate, has resulted in or would reasonably be expected to have a Company Material Adverse Effect (as defined in the Merger Agreement as in effect on April 20, 2017).</w:t>
      </w:r>
    </w:p>
    <w:p>
      <w:pPr>
        <w:spacing w:after="0" w:line="165" w:lineRule="exact"/>
        <w:rPr>
          <w:rFonts w:ascii="Arial" w:cs="Arial" w:eastAsia="Arial" w:hAnsi="Arial"/>
          <w:sz w:val="21"/>
          <w:szCs w:val="21"/>
          <w:color w:val="auto"/>
        </w:rPr>
      </w:pPr>
    </w:p>
    <w:p>
      <w:pPr>
        <w:ind w:firstLine="819"/>
        <w:spacing w:after="0" w:line="286" w:lineRule="auto"/>
        <w:tabs>
          <w:tab w:leader="none" w:pos="1338"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Solvency Certificate from the Borrower’s chief financial officer in substantially the form attached as </w:t>
      </w:r>
      <w:r>
        <w:rPr>
          <w:rFonts w:ascii="Arial" w:cs="Arial" w:eastAsia="Arial" w:hAnsi="Arial"/>
          <w:sz w:val="21"/>
          <w:szCs w:val="21"/>
          <w:u w:val="single" w:color="auto"/>
          <w:color w:val="auto"/>
        </w:rPr>
        <w:t>Exhibit Q</w:t>
      </w:r>
      <w:r>
        <w:rPr>
          <w:rFonts w:ascii="Arial" w:cs="Arial" w:eastAsia="Arial" w:hAnsi="Arial"/>
          <w:sz w:val="21"/>
          <w:szCs w:val="21"/>
          <w:color w:val="auto"/>
        </w:rPr>
        <w:t xml:space="preserve"> hereto.</w:t>
      </w:r>
    </w:p>
    <w:p>
      <w:pPr>
        <w:spacing w:after="0" w:line="146" w:lineRule="exact"/>
        <w:rPr>
          <w:rFonts w:ascii="Arial" w:cs="Arial" w:eastAsia="Arial" w:hAnsi="Arial"/>
          <w:sz w:val="21"/>
          <w:szCs w:val="21"/>
          <w:color w:val="auto"/>
        </w:rPr>
      </w:pPr>
    </w:p>
    <w:p>
      <w:pPr>
        <w:jc w:val="both"/>
        <w:ind w:firstLine="819"/>
        <w:spacing w:after="0" w:line="257" w:lineRule="auto"/>
        <w:tabs>
          <w:tab w:leader="none" w:pos="1248"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Administrative Agent shall have received written opinions (addressed to the Administrative Agent and the Lenders and dated the Escrow Assumption Date) of Paul, Weiss, Rifkind, Wharton &amp; Garrison LLP, New York counsel for the Loan Parties, and Schulte Roth &amp; Zabel LLP, special counsel for the Loan Parties, consistent in form and scope with those opinions delivered pursuant to Section 4.01(b), with such changes as are necessary or appropriate to reflect the assumptions, reaffirmations and joinders occurring in respect of the Loan Documents on the Escrow Assumption Date.</w:t>
      </w:r>
    </w:p>
    <w:p>
      <w:pPr>
        <w:spacing w:after="0" w:line="176" w:lineRule="exact"/>
        <w:rPr>
          <w:rFonts w:ascii="Arial" w:cs="Arial" w:eastAsia="Arial" w:hAnsi="Arial"/>
          <w:sz w:val="21"/>
          <w:szCs w:val="21"/>
          <w:color w:val="auto"/>
        </w:rPr>
      </w:pPr>
    </w:p>
    <w:p>
      <w:pPr>
        <w:jc w:val="both"/>
        <w:ind w:firstLine="819"/>
        <w:spacing w:after="0" w:line="267" w:lineRule="auto"/>
        <w:tabs>
          <w:tab w:leader="none" w:pos="1303"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certificate of each Loan Party, dated the Escrow Assumption Date, substantially in the form of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with appropriate insertions, executed by any Responsible Officer of such Loan Party, and including or attaching the documents referred to in clause (g) below.</w:t>
      </w:r>
    </w:p>
    <w:p>
      <w:pPr>
        <w:spacing w:after="0" w:line="165" w:lineRule="exact"/>
        <w:rPr>
          <w:rFonts w:ascii="Arial" w:cs="Arial" w:eastAsia="Arial" w:hAnsi="Arial"/>
          <w:sz w:val="21"/>
          <w:szCs w:val="21"/>
          <w:color w:val="auto"/>
        </w:rPr>
      </w:pPr>
    </w:p>
    <w:p>
      <w:pPr>
        <w:jc w:val="both"/>
        <w:ind w:firstLine="819"/>
        <w:spacing w:after="0" w:line="253" w:lineRule="auto"/>
        <w:tabs>
          <w:tab w:leader="none" w:pos="1247"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Escrow Assumption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81" w:lineRule="exact"/>
        <w:rPr>
          <w:rFonts w:ascii="Arial" w:cs="Arial" w:eastAsia="Arial" w:hAnsi="Arial"/>
          <w:sz w:val="21"/>
          <w:szCs w:val="21"/>
          <w:color w:val="auto"/>
        </w:rPr>
      </w:pPr>
    </w:p>
    <w:p>
      <w:pPr>
        <w:jc w:val="both"/>
        <w:ind w:firstLine="819"/>
        <w:spacing w:after="0" w:line="290" w:lineRule="auto"/>
        <w:tabs>
          <w:tab w:leader="none" w:pos="133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Administrative Agent shall have received all fees and other amounts previously agreed in writing by the Lead Arranger and the Borrower to be due and payable on or prior to the Escrow Assumption Date, including, to the extent invoiced at least three Business Days prior to the Escrow Assumption Date (or such later day as the Borrower may reasonably agree), reimbursement or payment of all out-of-pocket expenses (including reasonable fees, charges and disbursements of counsel) required to be reimbursed or paid by any Loan Party under any Loan Document or as otherwise agreed in writing between the Lead Arranger and the Borrower.</w:t>
      </w:r>
    </w:p>
    <w:p>
      <w:pPr>
        <w:spacing w:after="0" w:line="149" w:lineRule="exact"/>
        <w:rPr>
          <w:rFonts w:ascii="Arial" w:cs="Arial" w:eastAsia="Arial" w:hAnsi="Arial"/>
          <w:sz w:val="19"/>
          <w:szCs w:val="19"/>
          <w:color w:val="auto"/>
        </w:rPr>
      </w:pPr>
    </w:p>
    <w:p>
      <w:pPr>
        <w:jc w:val="both"/>
        <w:ind w:firstLine="819"/>
        <w:spacing w:after="0" w:line="267" w:lineRule="auto"/>
        <w:tabs>
          <w:tab w:leader="none" w:pos="1187"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KCG Refinancing shall have been, or shall substantially concurrently with the assumption of the Escrow Term Loans be, consummated or arrangements for the KCG Refinancing (reasonably satisfactory to the Administrative Agent) shall have been established substantially concurrently with the assumption of the Escrow Term Loans.</w:t>
      </w:r>
    </w:p>
    <w:p>
      <w:pPr>
        <w:spacing w:after="0" w:line="165" w:lineRule="exact"/>
        <w:rPr>
          <w:rFonts w:ascii="Arial" w:cs="Arial" w:eastAsia="Arial" w:hAnsi="Arial"/>
          <w:sz w:val="21"/>
          <w:szCs w:val="21"/>
          <w:color w:val="auto"/>
        </w:rPr>
      </w:pPr>
    </w:p>
    <w:p>
      <w:pPr>
        <w:jc w:val="both"/>
        <w:ind w:firstLine="819"/>
        <w:spacing w:after="0" w:line="307" w:lineRule="auto"/>
        <w:tabs>
          <w:tab w:leader="none" w:pos="134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The Collateral and Guarantee Requirement shall have been, or shall be substantially concurrently on the Escrow Assumption Date, satisfied and the Administrative Agent shall have received a completed Perfection Certificate dated the Escrow Assumption Date and signed by a Responsible Officer of the Borrower, together with all attachments contemplated thereby; </w:t>
      </w:r>
      <w:r>
        <w:rPr>
          <w:rFonts w:ascii="Arial" w:cs="Arial" w:eastAsia="Arial" w:hAnsi="Arial"/>
          <w:sz w:val="19"/>
          <w:szCs w:val="19"/>
          <w:i w:val="1"/>
          <w:iCs w:val="1"/>
          <w:color w:val="auto"/>
        </w:rPr>
        <w:t>provided</w:t>
      </w:r>
    </w:p>
    <w:p>
      <w:pPr>
        <w:sectPr>
          <w:pgSz w:w="11900" w:h="16838" w:orient="portrait"/>
          <w:cols w:equalWidth="0" w:num="1">
            <w:col w:w="11420"/>
          </w:cols>
          <w:pgMar w:left="240" w:top="122" w:right="239" w:bottom="0" w:gutter="0" w:footer="0" w:header="0"/>
        </w:sectPr>
      </w:pPr>
    </w:p>
    <w:bookmarkStart w:id="152" w:name="page153"/>
    <w:bookmarkEnd w:id="152"/>
    <w:p>
      <w:pPr>
        <w:spacing w:after="0" w:line="3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that to the extent that any security interest in the Collateral (other than any Collateral the security interest in which may be perfected by the filing of a UCC financing statement or the delivery of certificates evidencing equity interests of the Borrower and its wholly-owned, material domestic Subsidiaries (in each case, to the extent certificated) evidencing the Equity Interests required to be pledged pursuant to the Collateral and Guarantee Requirement with respect to which a Lien may be perfected by the delivery of a stock or equivalent certificate, but, with respect to Subsidiaries of KCG, only to the extent received after use of commercially reasonably efforts to do so)) is not perfected on the Escrow Assumption Date after use of commercially reasonable efforts to do so without undue burden or expense, the perfection of such security interest shall not constitute a condition precedent to the Escrow Assumption Date but shall be required to be perfected not later than 90 days (subject to extensions as may be agreed to by the Administrative Agent in its sole discretion) after the Escrow Assumption Date.</w:t>
      </w:r>
    </w:p>
    <w:p>
      <w:pPr>
        <w:spacing w:after="0" w:line="169" w:lineRule="exact"/>
        <w:rPr>
          <w:sz w:val="20"/>
          <w:szCs w:val="20"/>
          <w:color w:val="auto"/>
        </w:rPr>
      </w:pPr>
    </w:p>
    <w:p>
      <w:pPr>
        <w:jc w:val="both"/>
        <w:ind w:firstLine="819"/>
        <w:spacing w:after="0" w:line="257" w:lineRule="auto"/>
        <w:tabs>
          <w:tab w:leader="none" w:pos="137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Administrative Agent (or its counsel) shall have received from each Loan Party (other than any Loan Party delivering a joinder to the Collateral Agreement and the Guarantee Agreement on the Escrow Assumption Date pursuant to clause (j) above) either (i) a counterpart to a Reaffirmation Agreement signed on behalf of such party or (ii) written evidence satisfactory to the Administrative Agent (which may include facsimile or other electronic submission of a signed counterpart of a Reaffirmation Agreement) that such party has signed a counterpart of a Reaffirmation Agreement.</w:t>
      </w:r>
    </w:p>
    <w:p>
      <w:pPr>
        <w:spacing w:after="0" w:line="176" w:lineRule="exact"/>
        <w:rPr>
          <w:rFonts w:ascii="Arial" w:cs="Arial" w:eastAsia="Arial" w:hAnsi="Arial"/>
          <w:sz w:val="21"/>
          <w:szCs w:val="21"/>
          <w:color w:val="auto"/>
        </w:rPr>
      </w:pPr>
    </w:p>
    <w:p>
      <w:pPr>
        <w:jc w:val="both"/>
        <w:ind w:firstLine="819"/>
        <w:spacing w:after="0" w:line="273" w:lineRule="auto"/>
        <w:tabs>
          <w:tab w:leader="none" w:pos="138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Administrative Agent and the Lead Arranger shall have received, at least five Business Days prior to the Restatement Effective Date, all documentation and other information about the Loan Parties as shall have been reasonably requested in writing at least 10 Business Days prior to the Restatement Effective Date by the Administrative Agent or the Lead Arranger that they shall have reasonably determined is required by regulatory authorities under applicable “know your customer” and anti-money laundering rules and regulations, including without limitation the USA Patriot Act.</w:t>
      </w:r>
    </w:p>
    <w:p>
      <w:pPr>
        <w:spacing w:after="0" w:line="161" w:lineRule="exact"/>
        <w:rPr>
          <w:rFonts w:ascii="Arial" w:cs="Arial" w:eastAsia="Arial" w:hAnsi="Arial"/>
          <w:sz w:val="20"/>
          <w:szCs w:val="20"/>
          <w:color w:val="auto"/>
        </w:rPr>
      </w:pPr>
    </w:p>
    <w:p>
      <w:pPr>
        <w:jc w:val="both"/>
        <w:ind w:firstLine="819"/>
        <w:spacing w:after="0" w:line="280" w:lineRule="auto"/>
        <w:tabs>
          <w:tab w:leader="none" w:pos="135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Administrative Agent and the Lead Arranger shall have received (i) the audited consolidated balance sheets and related consolidated statements of operations cash flows and shareholders’ equity of each of Holdings and KCG for the three most recently completed fiscal years of Holdings and KCG, respectively, ended at least 90 days before the Escrow Assumption Date, accompanied by a report thereon by their respective independent registered public accountants (without a “going concern” or like qualification or exception and qualification or exception as to scope of audit); (ii) the unaudited consolidated balance sheets and related statements of operations and cash flows of each of Holdings and KCG for each subsequent fiscal quarter of Holdings and KCG, respectively, ended at least 45 days before the Escrow Assumption Date (other than the fourth fiscal quarter of any fiscal year) (the “</w:t>
      </w:r>
      <w:r>
        <w:rPr>
          <w:rFonts w:ascii="Arial" w:cs="Arial" w:eastAsia="Arial" w:hAnsi="Arial"/>
          <w:sz w:val="19"/>
          <w:szCs w:val="19"/>
          <w:b w:val="1"/>
          <w:bCs w:val="1"/>
          <w:color w:val="auto"/>
        </w:rPr>
        <w:t>Quarterly Financial Statements</w:t>
      </w:r>
      <w:r>
        <w:rPr>
          <w:rFonts w:ascii="Arial" w:cs="Arial" w:eastAsia="Arial" w:hAnsi="Arial"/>
          <w:sz w:val="19"/>
          <w:szCs w:val="19"/>
          <w:color w:val="auto"/>
        </w:rPr>
        <w:t>”); and (iii) a pro forma balance sheet and related statement of operations of Holdings and its subsidiaries (including KCG and its Subsidiaries) as of and for the twelve-month period ending with the latest quarterly period of Holdings covered by the Quarterly Financial Statements, in each case after giving effect to the Transactions (the “</w:t>
      </w:r>
      <w:r>
        <w:rPr>
          <w:rFonts w:ascii="Arial" w:cs="Arial" w:eastAsia="Arial" w:hAnsi="Arial"/>
          <w:sz w:val="19"/>
          <w:szCs w:val="19"/>
          <w:b w:val="1"/>
          <w:bCs w:val="1"/>
          <w:color w:val="auto"/>
        </w:rPr>
        <w:t>Pro Forma</w:t>
      </w:r>
      <w:r>
        <w:rPr>
          <w:rFonts w:ascii="Arial" w:cs="Arial" w:eastAsia="Arial" w:hAnsi="Arial"/>
          <w:sz w:val="19"/>
          <w:szCs w:val="19"/>
          <w:color w:val="auto"/>
        </w:rPr>
        <w:t xml:space="preserve"> </w:t>
      </w:r>
      <w:r>
        <w:rPr>
          <w:rFonts w:ascii="Arial" w:cs="Arial" w:eastAsia="Arial" w:hAnsi="Arial"/>
          <w:sz w:val="19"/>
          <w:szCs w:val="19"/>
          <w:b w:val="1"/>
          <w:bCs w:val="1"/>
          <w:color w:val="auto"/>
        </w:rPr>
        <w:t>Financial Statements</w:t>
      </w:r>
      <w:r>
        <w:rPr>
          <w:rFonts w:ascii="Arial" w:cs="Arial" w:eastAsia="Arial" w:hAnsi="Arial"/>
          <w:sz w:val="19"/>
          <w:szCs w:val="19"/>
          <w:color w:val="auto"/>
        </w:rPr>
        <w:t>”), all of which financial statements shall be prepared in accordance with generally accepted accounting</w:t>
      </w:r>
      <w:r>
        <w:rPr>
          <w:rFonts w:ascii="Arial" w:cs="Arial" w:eastAsia="Arial" w:hAnsi="Arial"/>
          <w:sz w:val="19"/>
          <w:szCs w:val="19"/>
          <w:b w:val="1"/>
          <w:bCs w:val="1"/>
          <w:color w:val="auto"/>
        </w:rPr>
        <w:t xml:space="preserve"> </w:t>
      </w:r>
      <w:r>
        <w:rPr>
          <w:rFonts w:ascii="Arial" w:cs="Arial" w:eastAsia="Arial" w:hAnsi="Arial"/>
          <w:sz w:val="19"/>
          <w:szCs w:val="19"/>
          <w:color w:val="auto"/>
        </w:rPr>
        <w:t>principles in the United States and comply with in all material respects the requirements of Regulation S-X under the Securities Act.</w:t>
      </w:r>
    </w:p>
    <w:p>
      <w:pPr>
        <w:spacing w:after="0" w:line="156" w:lineRule="exact"/>
        <w:rPr>
          <w:rFonts w:ascii="Arial" w:cs="Arial" w:eastAsia="Arial" w:hAnsi="Arial"/>
          <w:sz w:val="19"/>
          <w:szCs w:val="19"/>
          <w:color w:val="auto"/>
        </w:rPr>
      </w:pPr>
    </w:p>
    <w:p>
      <w:pPr>
        <w:ind w:firstLine="819"/>
        <w:spacing w:after="0" w:line="286" w:lineRule="auto"/>
        <w:tabs>
          <w:tab w:leader="none" w:pos="1299"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Senior Representative for the Second Lien Notes and each Loan Party shall have delivered to the Administrative Agent an executed counterpart to a Junior Lien Intercreditor Agreement.</w:t>
      </w:r>
    </w:p>
    <w:p>
      <w:pPr>
        <w:spacing w:after="0" w:line="159"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ARTICLE 5</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Affirmative Covenants</w:t>
      </w:r>
    </w:p>
    <w:p>
      <w:pPr>
        <w:spacing w:after="0" w:line="241"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Until the Commitments shall have expired or been terminated, the principal of and interest on each Loan and all fees, expenses and other amounts (other than contingent amounts not yet due) payable under any Loan Document shall have been paid in full and all Letters of Credit shall have expired or been terminated and all LC Disbursements shall have been reimbursed, each of Holdings and the Borrower covenants and agrees with the Administrative Agent and each of the Lenders that:</w:t>
      </w:r>
    </w:p>
    <w:p>
      <w:pPr>
        <w:spacing w:after="0" w:line="186"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i w:val="1"/>
          <w:iCs w:val="1"/>
          <w:color w:val="auto"/>
        </w:rPr>
        <w:t>Financial Statements and Other Information</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Holdings or the Borrower will furnish to the Administrative Agent,</w:t>
      </w:r>
      <w:r>
        <w:rPr>
          <w:rFonts w:ascii="Arial" w:cs="Arial" w:eastAsia="Arial" w:hAnsi="Arial"/>
          <w:sz w:val="21"/>
          <w:szCs w:val="21"/>
          <w:color w:val="auto"/>
        </w:rPr>
        <w:t xml:space="preserve"> </w:t>
      </w:r>
      <w:r>
        <w:rPr>
          <w:rFonts w:ascii="Arial" w:cs="Arial" w:eastAsia="Arial" w:hAnsi="Arial"/>
          <w:sz w:val="19"/>
          <w:szCs w:val="19"/>
          <w:color w:val="auto"/>
        </w:rPr>
        <w:t>which will furnish to each Lender:</w:t>
      </w:r>
    </w:p>
    <w:p>
      <w:pPr>
        <w:spacing w:after="0" w:line="181" w:lineRule="exact"/>
        <w:rPr>
          <w:sz w:val="20"/>
          <w:szCs w:val="20"/>
          <w:color w:val="auto"/>
        </w:rPr>
      </w:pPr>
    </w:p>
    <w:p>
      <w:pPr>
        <w:jc w:val="both"/>
        <w:ind w:firstLine="819"/>
        <w:spacing w:after="0" w:line="278" w:lineRule="auto"/>
        <w:tabs>
          <w:tab w:leader="none" w:pos="126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on or before the date on which such financial statements are required or permitted to be filed with the SEC (or, if such financial statements are not required to be filed with the SEC, on or before the date that is 90 days after the end of each fiscal year of Holdings), audited consolidated balance sheet and audited consolidated statements of operations and comprehensive income, stockholders’ equity and cash flows of Holdings as of the end of and for such year (commencing with financial statements as of the end of and for the fiscal year ending December 31, 2017), and related notes thereto, setting forth in each case in comparative form the figures for the previous fiscal year, all reported on by KPMG LLP or any other independent registered public accounting firm of nationally recognized standing (without a “going concern” or like qualification or exception (other than with respect to, or resulting from, (i) any potential inability to satisfy the Financial Performance Covenants in a future date or period or (ii) an upcoming maturity date of any Indebtedness under this Agreement occurring within 12 months from the time such report is required to be delivered to the Administrative Agent) and without any qualification or exception as to the scope of such audit) to the effect that such consolidated financial statements present fairly in all material respects the financial condition as of the end of and for such year and results of operations and cash flows of Holdings and its Subsidiaries on a consolidated basis in accordance with GAAP consistently applied,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Holdings otherwise reasonably considers to be proprietary or highly sensitive);</w:t>
      </w:r>
    </w:p>
    <w:p>
      <w:pPr>
        <w:spacing w:after="0" w:line="167" w:lineRule="exact"/>
        <w:rPr>
          <w:rFonts w:ascii="Arial" w:cs="Arial" w:eastAsia="Arial" w:hAnsi="Arial"/>
          <w:sz w:val="19"/>
          <w:szCs w:val="19"/>
          <w:color w:val="auto"/>
        </w:rPr>
      </w:pPr>
    </w:p>
    <w:p>
      <w:pPr>
        <w:jc w:val="both"/>
        <w:ind w:firstLine="819"/>
        <w:spacing w:after="0" w:line="341" w:lineRule="auto"/>
        <w:tabs>
          <w:tab w:leader="none" w:pos="128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commencing with the financial statements for the fiscal quarter ending June 30, 2017, on or before the date on which such financial statements are required or permitted to be filed with the SEC with respect to each of the first three fiscal quarters of each</w:t>
      </w:r>
    </w:p>
    <w:p>
      <w:pPr>
        <w:sectPr>
          <w:pgSz w:w="11900" w:h="16872" w:orient="portrait"/>
          <w:cols w:equalWidth="0" w:num="1">
            <w:col w:w="11420"/>
          </w:cols>
          <w:pgMar w:left="240" w:top="131" w:right="239" w:bottom="0" w:gutter="0" w:footer="0" w:header="0"/>
        </w:sectPr>
      </w:pPr>
    </w:p>
    <w:bookmarkStart w:id="153" w:name="page154"/>
    <w:bookmarkEnd w:id="153"/>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fiscal year of Holdings (or, if such financial statements are not required to be filed with the SEC, on or before the date that is 30 days after the end of each such fiscal quarter), unaudited consolidated balance sheet and unaudited consolidated statements of operations and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Holdings and its Subsidiaries on a consolidated basis in accordance with GAAP consistently applied, subject to normal year-end audit adjustments and the absence of footnotes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the Borrower otherwise reasonably considers to be proprietary or highly sensitive);</w:t>
      </w:r>
    </w:p>
    <w:p>
      <w:pPr>
        <w:spacing w:after="0" w:line="170" w:lineRule="exact"/>
        <w:rPr>
          <w:sz w:val="20"/>
          <w:szCs w:val="20"/>
          <w:color w:val="auto"/>
        </w:rPr>
      </w:pPr>
    </w:p>
    <w:p>
      <w:pPr>
        <w:jc w:val="both"/>
        <w:ind w:firstLine="819"/>
        <w:spacing w:after="0" w:line="267" w:lineRule="auto"/>
        <w:tabs>
          <w:tab w:leader="none" w:pos="1235" w:val="left"/>
        </w:tabs>
        <w:numPr>
          <w:ilvl w:val="1"/>
          <w:numId w:val="125"/>
        </w:numPr>
        <w:rPr>
          <w:rFonts w:ascii="Arial" w:cs="Arial" w:eastAsia="Arial" w:hAnsi="Arial"/>
          <w:sz w:val="21"/>
          <w:szCs w:val="21"/>
          <w:color w:val="auto"/>
        </w:rPr>
      </w:pPr>
      <w:r>
        <w:rPr>
          <w:rFonts w:ascii="Arial" w:cs="Arial" w:eastAsia="Arial" w:hAnsi="Arial"/>
          <w:sz w:val="21"/>
          <w:szCs w:val="21"/>
          <w:color w:val="auto"/>
        </w:rPr>
        <w:t>simultaneously with the delivery of each set of consolidated financial statements referred to in clauses (a) and (b) above, the related consolidating financial statements reflecting adjustments necessary to eliminate the accounts of Unrestricted Subsidiaries (if any) from such consolidated financial statements;</w:t>
      </w:r>
    </w:p>
    <w:p>
      <w:pPr>
        <w:spacing w:after="0" w:line="165" w:lineRule="exact"/>
        <w:rPr>
          <w:rFonts w:ascii="Arial" w:cs="Arial" w:eastAsia="Arial" w:hAnsi="Arial"/>
          <w:sz w:val="21"/>
          <w:szCs w:val="21"/>
          <w:color w:val="auto"/>
        </w:rPr>
      </w:pPr>
    </w:p>
    <w:p>
      <w:pPr>
        <w:jc w:val="both"/>
        <w:ind w:firstLine="819"/>
        <w:spacing w:after="0" w:line="278" w:lineRule="auto"/>
        <w:tabs>
          <w:tab w:leader="none" w:pos="1233" w:val="left"/>
        </w:tabs>
        <w:numPr>
          <w:ilvl w:val="1"/>
          <w:numId w:val="125"/>
        </w:numPr>
        <w:rPr>
          <w:rFonts w:ascii="Arial" w:cs="Arial" w:eastAsia="Arial" w:hAnsi="Arial"/>
          <w:sz w:val="19"/>
          <w:szCs w:val="19"/>
          <w:color w:val="auto"/>
        </w:rPr>
      </w:pPr>
      <w:r>
        <w:rPr>
          <w:rFonts w:ascii="Arial" w:cs="Arial" w:eastAsia="Arial" w:hAnsi="Arial"/>
          <w:sz w:val="19"/>
          <w:szCs w:val="19"/>
          <w:color w:val="auto"/>
        </w:rPr>
        <w:t>not later than five days after any delivery of financial statements under paragraph (a) or (b) above (and, in any event, not later than five days after the date on which such financial statements were required to have been delivered), a certificate of a Financial Officer (i) certifying as to whether a Default has occurred and, if a Default has occurred, specifying the details thereof and any action taken or proposed to be taken with respect thereto, (ii) setting forth reasonably detailed calculations (A) demonstrating compliance with the Financial Performance Covenants and (B) beginning with the financial statements for the fiscal quarter ended June 30, 2017, of Excess Cash Flow for the fiscal quarter ended June 30, 2017 and, in the case of financial statements delivered with respect to any subsequent fiscal quarter, of Excess Cash Flow for such fiscal quarter (or in the case of financial statements delivered under paragraph</w:t>
      </w:r>
    </w:p>
    <w:p>
      <w:pPr>
        <w:spacing w:after="0" w:line="4" w:lineRule="exact"/>
        <w:rPr>
          <w:rFonts w:ascii="Arial" w:cs="Arial" w:eastAsia="Arial" w:hAnsi="Arial"/>
          <w:sz w:val="19"/>
          <w:szCs w:val="19"/>
          <w:color w:val="auto"/>
        </w:rPr>
      </w:pPr>
    </w:p>
    <w:p>
      <w:pPr>
        <w:ind w:left="300" w:hanging="295"/>
        <w:spacing w:after="0"/>
        <w:tabs>
          <w:tab w:leader="none" w:pos="3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above, for the fourth fiscal quarter of such fiscal year) and (iii) in the case of financial statements delivered under paragraph (a) or</w:t>
      </w:r>
    </w:p>
    <w:p>
      <w:pPr>
        <w:spacing w:after="0" w:line="30" w:lineRule="exact"/>
        <w:rPr>
          <w:rFonts w:ascii="Arial" w:cs="Arial" w:eastAsia="Arial" w:hAnsi="Arial"/>
          <w:sz w:val="19"/>
          <w:szCs w:val="19"/>
          <w:color w:val="auto"/>
        </w:rPr>
      </w:pPr>
    </w:p>
    <w:p>
      <w:pPr>
        <w:jc w:val="both"/>
        <w:ind w:firstLine="5"/>
        <w:spacing w:after="0" w:line="250" w:lineRule="auto"/>
        <w:tabs>
          <w:tab w:leader="none" w:pos="30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2.09(b);</w:t>
      </w:r>
    </w:p>
    <w:p>
      <w:pPr>
        <w:spacing w:after="0" w:line="183" w:lineRule="exact"/>
        <w:rPr>
          <w:rFonts w:ascii="Arial" w:cs="Arial" w:eastAsia="Arial" w:hAnsi="Arial"/>
          <w:sz w:val="21"/>
          <w:szCs w:val="21"/>
          <w:color w:val="auto"/>
        </w:rPr>
      </w:pPr>
    </w:p>
    <w:p>
      <w:pPr>
        <w:jc w:val="both"/>
        <w:ind w:firstLine="819"/>
        <w:spacing w:after="0" w:line="296" w:lineRule="auto"/>
        <w:tabs>
          <w:tab w:leader="none" w:pos="1379" w:val="left"/>
        </w:tabs>
        <w:numPr>
          <w:ilvl w:val="1"/>
          <w:numId w:val="126"/>
        </w:numPr>
        <w:rPr>
          <w:rFonts w:ascii="Arial" w:cs="Arial" w:eastAsia="Arial" w:hAnsi="Arial"/>
          <w:sz w:val="19"/>
          <w:szCs w:val="19"/>
          <w:color w:val="auto"/>
        </w:rPr>
      </w:pPr>
      <w:r>
        <w:rPr>
          <w:rFonts w:ascii="Arial" w:cs="Arial" w:eastAsia="Arial" w:hAnsi="Arial"/>
          <w:sz w:val="19"/>
          <w:szCs w:val="19"/>
          <w:color w:val="auto"/>
        </w:rPr>
        <w:t>not later than five days after any delivery of financial statements under paragraph (a) above, a certificate of the accounting firm that reported on such financial statements stating whether it obtained knowledge during the course of its examination of such financial statements of any Default relating to the Financial Performance Covenants and, if such knowledge has been obtained, describing such Default (which certificate may be limited to the extent required by accounting rules or guidelines);</w:t>
      </w:r>
    </w:p>
    <w:p>
      <w:pPr>
        <w:spacing w:after="0" w:line="142" w:lineRule="exact"/>
        <w:rPr>
          <w:rFonts w:ascii="Arial" w:cs="Arial" w:eastAsia="Arial" w:hAnsi="Arial"/>
          <w:sz w:val="19"/>
          <w:szCs w:val="19"/>
          <w:color w:val="auto"/>
        </w:rPr>
      </w:pPr>
    </w:p>
    <w:p>
      <w:pPr>
        <w:jc w:val="both"/>
        <w:ind w:firstLine="819"/>
        <w:spacing w:after="0" w:line="277" w:lineRule="auto"/>
        <w:tabs>
          <w:tab w:leader="none" w:pos="1264" w:val="left"/>
        </w:tabs>
        <w:numPr>
          <w:ilvl w:val="1"/>
          <w:numId w:val="126"/>
        </w:numPr>
        <w:rPr>
          <w:rFonts w:ascii="Arial" w:cs="Arial" w:eastAsia="Arial" w:hAnsi="Arial"/>
          <w:sz w:val="20"/>
          <w:szCs w:val="20"/>
          <w:color w:val="auto"/>
        </w:rPr>
      </w:pPr>
      <w:r>
        <w:rPr>
          <w:rFonts w:ascii="Arial" w:cs="Arial" w:eastAsia="Arial" w:hAnsi="Arial"/>
          <w:sz w:val="20"/>
          <w:szCs w:val="20"/>
          <w:color w:val="auto"/>
        </w:rPr>
        <w:t>not later than 90 days after the commencement of each fiscal year of Holdings, a detailed consolidated budget for the Borrower and its Subsidiaries for such fiscal year (consisting of projected net revenue by asset class and geography, projected expenses, projected GAAP EBITDA (i.e., earnings before interest, taxes, depreciation and amortization) and projected capital expenditures for such fiscal year and setting forth the material assumptions used for purposes of preparing such budget);</w:t>
      </w:r>
    </w:p>
    <w:p>
      <w:pPr>
        <w:spacing w:after="0" w:line="158" w:lineRule="exact"/>
        <w:rPr>
          <w:rFonts w:ascii="Arial" w:cs="Arial" w:eastAsia="Arial" w:hAnsi="Arial"/>
          <w:sz w:val="20"/>
          <w:szCs w:val="20"/>
          <w:color w:val="auto"/>
        </w:rPr>
      </w:pPr>
    </w:p>
    <w:p>
      <w:pPr>
        <w:jc w:val="both"/>
        <w:ind w:firstLine="819"/>
        <w:spacing w:after="0" w:line="255" w:lineRule="auto"/>
        <w:tabs>
          <w:tab w:leader="none" w:pos="1233" w:val="left"/>
        </w:tabs>
        <w:numPr>
          <w:ilvl w:val="1"/>
          <w:numId w:val="126"/>
        </w:numPr>
        <w:rPr>
          <w:rFonts w:ascii="Arial" w:cs="Arial" w:eastAsia="Arial" w:hAnsi="Arial"/>
          <w:sz w:val="21"/>
          <w:szCs w:val="21"/>
          <w:color w:val="auto"/>
        </w:rPr>
      </w:pPr>
      <w:r>
        <w:rPr>
          <w:rFonts w:ascii="Arial" w:cs="Arial" w:eastAsia="Arial" w:hAnsi="Arial"/>
          <w:sz w:val="21"/>
          <w:szCs w:val="21"/>
          <w:color w:val="auto"/>
        </w:rPr>
        <w:t>promptly after the same become publicly available, copies of all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the Borrower or any of its Restricted Subsidiaries with the SEC or with any national securities exchange, or distributed by Holdings, any Intermediate Parent, the Borrower or any of its Restricted Subsidiaries to the holders of its Equity Interests generally, as the case may be;</w:t>
      </w:r>
    </w:p>
    <w:p>
      <w:pPr>
        <w:spacing w:after="0" w:line="179" w:lineRule="exact"/>
        <w:rPr>
          <w:rFonts w:ascii="Arial" w:cs="Arial" w:eastAsia="Arial" w:hAnsi="Arial"/>
          <w:sz w:val="21"/>
          <w:szCs w:val="21"/>
          <w:color w:val="auto"/>
        </w:rPr>
      </w:pPr>
    </w:p>
    <w:p>
      <w:pPr>
        <w:ind w:firstLine="819"/>
        <w:spacing w:after="0" w:line="286" w:lineRule="auto"/>
        <w:tabs>
          <w:tab w:leader="none" w:pos="1247" w:val="left"/>
        </w:tabs>
        <w:numPr>
          <w:ilvl w:val="1"/>
          <w:numId w:val="126"/>
        </w:numPr>
        <w:rPr>
          <w:rFonts w:ascii="Arial" w:cs="Arial" w:eastAsia="Arial" w:hAnsi="Arial"/>
          <w:sz w:val="21"/>
          <w:szCs w:val="21"/>
          <w:color w:val="auto"/>
        </w:rPr>
      </w:pPr>
      <w:r>
        <w:rPr>
          <w:rFonts w:ascii="Arial" w:cs="Arial" w:eastAsia="Arial" w:hAnsi="Arial"/>
          <w:sz w:val="21"/>
          <w:szCs w:val="21"/>
          <w:color w:val="auto"/>
        </w:rPr>
        <w:t>promptly upon filing with any applicable Regulatory Supervising Organization, a copy of each FOCUS report or similar report relating to the regulatory capital or similar requirements applicable to the Subsidiary filing such report;</w:t>
      </w:r>
    </w:p>
    <w:p>
      <w:pPr>
        <w:spacing w:after="0" w:line="146" w:lineRule="exact"/>
        <w:rPr>
          <w:rFonts w:ascii="Arial" w:cs="Arial" w:eastAsia="Arial" w:hAnsi="Arial"/>
          <w:sz w:val="21"/>
          <w:szCs w:val="21"/>
          <w:color w:val="auto"/>
        </w:rPr>
      </w:pPr>
    </w:p>
    <w:p>
      <w:pPr>
        <w:jc w:val="both"/>
        <w:ind w:firstLine="819"/>
        <w:spacing w:after="0" w:line="260" w:lineRule="auto"/>
        <w:tabs>
          <w:tab w:leader="none" w:pos="1331"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promptly after the request by the Administrative Agent on the behalf of any Lender, all documentation and other information that such Lender reasonably requests in order to comply with its ongoing obligations under applicable “know your customer” and anti-money laundering rules and regulations, including the USA Patriot Act </w:t>
      </w:r>
      <w:r>
        <w:rPr>
          <w:rFonts w:ascii="Arial" w:cs="Arial" w:eastAsia="Arial" w:hAnsi="Arial"/>
          <w:sz w:val="21"/>
          <w:szCs w:val="21"/>
          <w:u w:val="single" w:color="auto"/>
          <w:color w:val="0000FF"/>
        </w:rPr>
        <w:t>and the Beneficial Ownership Regulation</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and</w:t>
      </w:r>
    </w:p>
    <w:p>
      <w:pPr>
        <w:spacing w:after="0" w:line="174" w:lineRule="exact"/>
        <w:rPr>
          <w:rFonts w:ascii="Arial" w:cs="Arial" w:eastAsia="Arial" w:hAnsi="Arial"/>
          <w:sz w:val="21"/>
          <w:szCs w:val="21"/>
          <w:color w:val="auto"/>
        </w:rPr>
      </w:pPr>
    </w:p>
    <w:p>
      <w:pPr>
        <w:jc w:val="both"/>
        <w:ind w:firstLine="819"/>
        <w:spacing w:after="0" w:line="307" w:lineRule="auto"/>
        <w:tabs>
          <w:tab w:leader="none" w:pos="1226" w:val="left"/>
        </w:tabs>
        <w:numPr>
          <w:ilvl w:val="1"/>
          <w:numId w:val="126"/>
        </w:numPr>
        <w:rPr>
          <w:rFonts w:ascii="Arial" w:cs="Arial" w:eastAsia="Arial" w:hAnsi="Arial"/>
          <w:sz w:val="19"/>
          <w:szCs w:val="19"/>
          <w:color w:val="auto"/>
        </w:rPr>
      </w:pPr>
      <w:r>
        <w:rPr>
          <w:rFonts w:ascii="Arial" w:cs="Arial" w:eastAsia="Arial" w:hAnsi="Arial"/>
          <w:sz w:val="19"/>
          <w:szCs w:val="19"/>
          <w:color w:val="auto"/>
        </w:rPr>
        <w:t>promptly following any request therefor, such other information regarding the operations, business affairs and financial condition of Holdings, any Intermediate Parent, the Borrower or any of its Restricted Subsidiaries, or compliance with the terms of any Loan Document, as the Administrative Agent on its own behalf or on behalf of any Lender may reasonably request in writing</w:t>
      </w:r>
      <w:r>
        <w:rPr>
          <w:rFonts w:ascii="Arial" w:cs="Arial" w:eastAsia="Arial" w:hAnsi="Arial"/>
          <w:sz w:val="19"/>
          <w:szCs w:val="19"/>
          <w:color w:val="FF0000"/>
          <w:strike w:val="1"/>
        </w:rPr>
        <w:t>; and</w:t>
      </w:r>
      <w:r>
        <w:rPr>
          <w:rFonts w:ascii="Arial" w:cs="Arial" w:eastAsia="Arial" w:hAnsi="Arial"/>
          <w:sz w:val="19"/>
          <w:szCs w:val="19"/>
          <w:u w:val="single" w:color="auto"/>
          <w:color w:val="0000FF"/>
        </w:rPr>
        <w:t>.</w:t>
      </w:r>
    </w:p>
    <w:p>
      <w:pPr>
        <w:spacing w:after="0" w:line="132" w:lineRule="exact"/>
        <w:rPr>
          <w:rFonts w:ascii="Arial" w:cs="Arial" w:eastAsia="Arial" w:hAnsi="Arial"/>
          <w:sz w:val="19"/>
          <w:szCs w:val="19"/>
          <w:color w:val="auto"/>
        </w:rPr>
      </w:pPr>
    </w:p>
    <w:p>
      <w:pPr>
        <w:ind w:right="20" w:firstLine="819"/>
        <w:spacing w:after="0" w:line="256" w:lineRule="auto"/>
        <w:tabs>
          <w:tab w:leader="none" w:pos="1111" w:val="left"/>
        </w:tabs>
        <w:numPr>
          <w:ilvl w:val="1"/>
          <w:numId w:val="126"/>
        </w:numPr>
        <w:rPr>
          <w:rFonts w:ascii="Arial" w:cs="Arial" w:eastAsia="Arial" w:hAnsi="Arial"/>
          <w:sz w:val="21"/>
          <w:szCs w:val="21"/>
          <w:color w:val="FF0000"/>
          <w:strike w:val="1"/>
        </w:rPr>
      </w:pPr>
      <w:r>
        <w:rPr>
          <w:rFonts w:ascii="Arial" w:cs="Arial" w:eastAsia="Arial" w:hAnsi="Arial"/>
          <w:sz w:val="21"/>
          <w:szCs w:val="21"/>
          <w:color w:val="FF0000"/>
          <w:strike w:val="1"/>
        </w:rPr>
        <w:t>within 15 days after the end of each calendar month, a statement of the consolidated net trading revenue of Holdings and its Restricted Subsidiaries for such calendar month and for the then elapsed portion of the fiscal year, all certified by a Financial Officer as fairly presenting the net trading revenue of Holdings and its Restricted Subsidiaries as described in Holdings’ internal books and records (which statement need not be prepared in accordance with GAAP).</w:t>
      </w:r>
    </w:p>
    <w:p>
      <w:pPr>
        <w:spacing w:after="0" w:line="169"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17"/>
          <w:szCs w:val="17"/>
          <w:color w:val="auto"/>
        </w:rPr>
        <w:t xml:space="preserve">Notwithstanding the foregoing, the obligations in paragraphs (a) and (b) of this Section 5.01 may be satisfied with respect to financial information of Holdings and its Subsidiaries by furnishing the Form 10-K or 10-Q (or the equivalent), as applicable, of Holdings (or a parent company thereof) filed with the SEC or any national securities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to the extent such information relates to a parent of Holdings, such information is accompanied by consolidating information, which may be unaudited, that explains in reasonable detail the differences between the information relating to such parent, on the one hand, and the information relating to Holdings and its Subsidiaries on a standalone</w:t>
      </w:r>
    </w:p>
    <w:p>
      <w:pPr>
        <w:sectPr>
          <w:pgSz w:w="11900" w:h="16921" w:orient="portrait"/>
          <w:cols w:equalWidth="0" w:num="1">
            <w:col w:w="11420"/>
          </w:cols>
          <w:pgMar w:left="240" w:top="131" w:right="239" w:bottom="0" w:gutter="0" w:footer="0" w:header="0"/>
        </w:sectPr>
      </w:pPr>
    </w:p>
    <w:bookmarkStart w:id="154" w:name="page155"/>
    <w:bookmarkEnd w:id="154"/>
    <w:p>
      <w:pPr>
        <w:spacing w:after="0" w:line="7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basis, on the other hand, and (ii) to the extent such information is in lieu of information required to be provided under Section 5.01(a), such materials are accompanied by a report and opinion of KPMG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(other than with respect to, or resulting from, (i) any potential inability to satisfy the Financial Performance Covenants in a future date or period or (ii) an upcoming maturity date of any Indebtedness under this Agreement occurring within 12 months from the time such report is required to be delivered to the Administrative Agent) or any qualification or exception as to the scope of such audit.</w:t>
      </w:r>
    </w:p>
    <w:p>
      <w:pPr>
        <w:spacing w:after="0" w:line="180"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 xml:space="preserve">Documents required to be delivered pursuant to Section 5.01(a), (b) or (f) (to the extent any such documents are included in materials otherwise filed with the SEC) may be delivered electronically and, if so delivered, shall be deemed to have been delivered on the date (i) on which Holdings posts such documents, or provides a link thereto, on the Internet at the website address listed on Schedule 9.01 (or otherwise notified pursuant to Section 9.01(e)); or (ii) on which such documents are posted on Holdings’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Borrower shall deliver paper copies of such documents to the Administrative Agent upon its reasonable request until a written notice to cease delivering paper copies is given by the Administrative Agent and (ii) the Borrower shall notify the Administrative Agent (by telecopier or electronic mail) of the posting of any such documents and, upon its reasonable request, provide to the Administrative Agent by electronic mail electronic versions (i.e.,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69" w:lineRule="exact"/>
        <w:rPr>
          <w:sz w:val="20"/>
          <w:szCs w:val="20"/>
          <w:color w:val="auto"/>
        </w:rPr>
      </w:pPr>
    </w:p>
    <w:p>
      <w:pPr>
        <w:jc w:val="both"/>
        <w:ind w:firstLine="630"/>
        <w:spacing w:after="0" w:line="277" w:lineRule="auto"/>
        <w:rPr>
          <w:sz w:val="20"/>
          <w:szCs w:val="20"/>
          <w:color w:val="auto"/>
        </w:rPr>
      </w:pPr>
      <w:r>
        <w:rPr>
          <w:rFonts w:ascii="Arial" w:cs="Arial" w:eastAsia="Arial" w:hAnsi="Arial"/>
          <w:sz w:val="17"/>
          <w:szCs w:val="17"/>
          <w:color w:val="auto"/>
        </w:rPr>
        <w:t>The Borrower hereby acknowledges that (a) the Administrative Agent and/or the Lead Arranger will make available to the Lenders materials and/or information provided by or on behalf of the Borrower hereunder (collectively, “</w:t>
      </w:r>
      <w:r>
        <w:rPr>
          <w:rFonts w:ascii="Arial" w:cs="Arial" w:eastAsia="Arial" w:hAnsi="Arial"/>
          <w:sz w:val="17"/>
          <w:szCs w:val="17"/>
          <w:b w:val="1"/>
          <w:bCs w:val="1"/>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b w:val="1"/>
          <w:bCs w:val="1"/>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b w:val="1"/>
          <w:bCs w:val="1"/>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Lead Arranger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to the extent such Borrower Materials constitute Information, they shall be treated as set forth in Section 9.12); (y) 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Borrower Materials may be marked “PUBLIC” unless the Borrower, after receiving notice from the Administrative Agent within a reasonable period of time prior to the intended distribution of such Borrower Materials, notifies the Administrative Agent that such Borrower Materials contain material non-public information: (1) the Loan Documents and (2) any notification of changes in the terms of the facilities provided hereunder.</w:t>
      </w:r>
    </w:p>
    <w:p>
      <w:pPr>
        <w:spacing w:after="0" w:line="165" w:lineRule="exact"/>
        <w:rPr>
          <w:sz w:val="20"/>
          <w:szCs w:val="20"/>
          <w:color w:val="auto"/>
        </w:rPr>
      </w:pPr>
    </w:p>
    <w:p>
      <w:pPr>
        <w:jc w:val="both"/>
        <w:ind w:firstLine="630"/>
        <w:spacing w:after="0" w:line="264" w:lineRule="auto"/>
        <w:rPr>
          <w:sz w:val="20"/>
          <w:szCs w:val="20"/>
          <w:color w:val="auto"/>
        </w:rPr>
      </w:pPr>
      <w:r>
        <w:rPr>
          <w:rFonts w:ascii="Arial" w:cs="Arial" w:eastAsia="Arial" w:hAnsi="Arial"/>
          <w:sz w:val="18"/>
          <w:szCs w:val="18"/>
          <w:color w:val="auto"/>
        </w:rPr>
        <w:t>The Borrower hereby represents and warrants that each of the Borrower, its controlling Person and each of its subsidiaries, either (i) has no registered or publicly traded securities outstanding, or (ii) files its financial statements with the SEC and/or makes its financial statements available to potential holders of its 144A securities, and, accordingly, the Borrower hereby (i) authorizes the Administrative Agent to make the financial statements to be provided under Section 5.01(a)(i) and (ii) above, along with the Loan Documents, available to Public Lenders and (ii) agrees that at the time such financial statements are provided hereunder, they shall already have been made available to holders of its securities. The Borrower will not request that any other material be posted to Public Lenders without expressly representing and warranting to the Administrative Agent in writing that such materials do not constitute material non-public information within the meaning of the federal securities laws or that the Borrower has no outstanding publicly traded securities, including 144A securities. In no event shall the Administrative Agent post compliance certificates or budgets to Public Lenders.</w:t>
      </w:r>
    </w:p>
    <w:p>
      <w:pPr>
        <w:spacing w:after="0" w:line="177"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i w:val="1"/>
          <w:iCs w:val="1"/>
          <w:color w:val="auto"/>
        </w:rPr>
        <w:t>Notices of Material Events</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Promptly after any Responsible Officer of Holdings or the Borrower obtains actual</w:t>
      </w:r>
      <w:r>
        <w:rPr>
          <w:rFonts w:ascii="Arial" w:cs="Arial" w:eastAsia="Arial" w:hAnsi="Arial"/>
          <w:sz w:val="21"/>
          <w:szCs w:val="21"/>
          <w:color w:val="auto"/>
        </w:rPr>
        <w:t xml:space="preserve"> </w:t>
      </w:r>
      <w:r>
        <w:rPr>
          <w:rFonts w:ascii="Arial" w:cs="Arial" w:eastAsia="Arial" w:hAnsi="Arial"/>
          <w:sz w:val="19"/>
          <w:szCs w:val="19"/>
          <w:color w:val="auto"/>
        </w:rPr>
        <w:t>knowledge thereof, Holdings or the Borrower will furnish to the Administrative Agent (for distribution to each Lender through the Administrative Agent) written notice of the following:</w:t>
      </w:r>
    </w:p>
    <w:p>
      <w:pPr>
        <w:spacing w:after="0" w:line="179" w:lineRule="exact"/>
        <w:rPr>
          <w:sz w:val="20"/>
          <w:szCs w:val="20"/>
          <w:color w:val="auto"/>
        </w:rPr>
      </w:pPr>
    </w:p>
    <w:p>
      <w:pPr>
        <w:ind w:left="1220" w:hanging="401"/>
        <w:spacing w:after="0"/>
        <w:tabs>
          <w:tab w:leader="none" w:pos="122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occurrence of any Default;</w:t>
      </w:r>
    </w:p>
    <w:p>
      <w:pPr>
        <w:spacing w:after="0" w:line="230" w:lineRule="exact"/>
        <w:rPr>
          <w:rFonts w:ascii="Arial" w:cs="Arial" w:eastAsia="Arial" w:hAnsi="Arial"/>
          <w:sz w:val="21"/>
          <w:szCs w:val="21"/>
          <w:color w:val="auto"/>
        </w:rPr>
      </w:pPr>
    </w:p>
    <w:p>
      <w:pPr>
        <w:jc w:val="both"/>
        <w:ind w:firstLine="819"/>
        <w:spacing w:after="0" w:line="296" w:lineRule="auto"/>
        <w:tabs>
          <w:tab w:leader="none" w:pos="129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filing or commencement of any action, suit or proceeding by or before any arbitrator, Governmental Authority or Regulatory Supervising Organization against or, to the knowledge of a Financial Officer or another executive officer of Holdings, any Intermediate Parent, the Borrower or any Subsidiary, affecting Holdings, any Intermediate Parent, the Borrower or any Subsidiary or the receipt of a notice of an Environmental Liability that could reasonably be expected to result in a Material Adverse Effect;</w:t>
      </w:r>
    </w:p>
    <w:p>
      <w:pPr>
        <w:spacing w:after="0" w:line="142" w:lineRule="exact"/>
        <w:rPr>
          <w:rFonts w:ascii="Arial" w:cs="Arial" w:eastAsia="Arial" w:hAnsi="Arial"/>
          <w:sz w:val="19"/>
          <w:szCs w:val="19"/>
          <w:color w:val="auto"/>
        </w:rPr>
      </w:pPr>
    </w:p>
    <w:p>
      <w:pPr>
        <w:ind w:firstLine="819"/>
        <w:spacing w:after="0" w:line="286" w:lineRule="auto"/>
        <w:tabs>
          <w:tab w:leader="none" w:pos="1261"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commencement of any investigation by any Governmental Authority of or affecting Holdings, the Borrower or any Subsidiary that could reasonably be expected to result in a Material Adverse Effect;</w:t>
      </w:r>
    </w:p>
    <w:p>
      <w:pPr>
        <w:spacing w:after="0" w:line="146" w:lineRule="exact"/>
        <w:rPr>
          <w:rFonts w:ascii="Arial" w:cs="Arial" w:eastAsia="Arial" w:hAnsi="Arial"/>
          <w:sz w:val="21"/>
          <w:szCs w:val="21"/>
          <w:color w:val="auto"/>
        </w:rPr>
      </w:pPr>
    </w:p>
    <w:p>
      <w:pPr>
        <w:ind w:firstLine="819"/>
        <w:spacing w:after="0" w:line="286" w:lineRule="auto"/>
        <w:tabs>
          <w:tab w:leader="none" w:pos="1299"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the occurrence of any ERISA Event that could reasonably be expected, individually or in the aggregate, to result in a Material Adverse Effect; </w:t>
      </w:r>
      <w:r>
        <w:rPr>
          <w:rFonts w:ascii="Arial" w:cs="Arial" w:eastAsia="Arial" w:hAnsi="Arial"/>
          <w:sz w:val="21"/>
          <w:szCs w:val="21"/>
          <w:color w:val="FF0000"/>
          <w:strike w:val="1"/>
        </w:rPr>
        <w:t>and</w:t>
      </w:r>
    </w:p>
    <w:p>
      <w:pPr>
        <w:spacing w:after="0" w:line="146" w:lineRule="exact"/>
        <w:rPr>
          <w:rFonts w:ascii="Arial" w:cs="Arial" w:eastAsia="Arial" w:hAnsi="Arial"/>
          <w:sz w:val="21"/>
          <w:szCs w:val="21"/>
          <w:color w:val="auto"/>
        </w:rPr>
      </w:pPr>
    </w:p>
    <w:p>
      <w:pPr>
        <w:jc w:val="both"/>
        <w:ind w:firstLine="819"/>
        <w:spacing w:after="0" w:line="267" w:lineRule="auto"/>
        <w:tabs>
          <w:tab w:leader="none" w:pos="123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appearance of Holdings, the Borrower or any Subsidiary or Vincent Viola on the Specially Designated Nationals and Blocked Person List or other similar lists maintained by OFAC and/or the United States Department of Treasury, or identified in any related executive orders issued by the President of the United States</w:t>
      </w:r>
      <w:r>
        <w:rPr>
          <w:rFonts w:ascii="Arial" w:cs="Arial" w:eastAsia="Arial" w:hAnsi="Arial"/>
          <w:sz w:val="21"/>
          <w:szCs w:val="21"/>
          <w:color w:val="FF0000"/>
          <w:strike w:val="1"/>
        </w:rPr>
        <w:t>.</w:t>
      </w:r>
      <w:r>
        <w:rPr>
          <w:rFonts w:ascii="Arial" w:cs="Arial" w:eastAsia="Arial" w:hAnsi="Arial"/>
          <w:sz w:val="21"/>
          <w:szCs w:val="21"/>
          <w:u w:val="single" w:color="auto"/>
          <w:color w:val="0000FF"/>
        </w:rPr>
        <w:t>; and</w:t>
      </w:r>
    </w:p>
    <w:p>
      <w:pPr>
        <w:spacing w:after="0" w:line="165" w:lineRule="exact"/>
        <w:rPr>
          <w:rFonts w:ascii="Arial" w:cs="Arial" w:eastAsia="Arial" w:hAnsi="Arial"/>
          <w:sz w:val="21"/>
          <w:szCs w:val="21"/>
          <w:color w:val="auto"/>
        </w:rPr>
      </w:pPr>
    </w:p>
    <w:p>
      <w:pPr>
        <w:jc w:val="both"/>
        <w:ind w:firstLine="819"/>
        <w:spacing w:after="0" w:line="341" w:lineRule="auto"/>
        <w:tabs>
          <w:tab w:leader="none" w:pos="129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0000FF"/>
        </w:rPr>
        <w:t>if the Borrower has previously provided a Beneficial Ownership Certification to any Lender in connection with this Agreement, any change in the information provided in such Beneficial Ownership Certification that would result in a change to the list</w:t>
      </w:r>
    </w:p>
    <w:p>
      <w:pPr>
        <w:sectPr>
          <w:pgSz w:w="11900" w:h="16912" w:orient="portrait"/>
          <w:cols w:equalWidth="0" w:num="1">
            <w:col w:w="11420"/>
          </w:cols>
          <w:pgMar w:left="240" w:top="121" w:right="239" w:bottom="0" w:gutter="0" w:footer="0" w:header="0"/>
        </w:sectPr>
      </w:pPr>
    </w:p>
    <w:bookmarkStart w:id="155" w:name="page156"/>
    <w:bookmarkEnd w:id="155"/>
    <w:p>
      <w:pPr>
        <w:spacing w:after="0"/>
        <w:rPr>
          <w:sz w:val="20"/>
          <w:szCs w:val="20"/>
          <w:color w:val="auto"/>
        </w:rPr>
      </w:pPr>
      <w:r>
        <w:rPr>
          <w:rFonts w:ascii="Arial" w:cs="Arial" w:eastAsia="Arial" w:hAnsi="Arial"/>
          <w:sz w:val="21"/>
          <w:szCs w:val="21"/>
          <w:u w:val="single" w:color="auto"/>
          <w:color w:val="0000FF"/>
        </w:rPr>
        <w:t>of beneficial owners identified in such certification.</w:t>
      </w:r>
    </w:p>
    <w:p>
      <w:pPr>
        <w:spacing w:after="0" w:line="20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142"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i w:val="1"/>
          <w:iCs w:val="1"/>
          <w:color w:val="auto"/>
        </w:rPr>
        <w:t>Information Regarding Collateral</w:t>
      </w:r>
      <w:r>
        <w:rPr>
          <w:rFonts w:ascii="Arial" w:cs="Arial" w:eastAsia="Arial" w:hAnsi="Arial"/>
          <w:sz w:val="18"/>
          <w:szCs w:val="18"/>
          <w:color w:val="auto"/>
        </w:rPr>
        <w:t>.</w:t>
      </w:r>
      <w:r>
        <w:rPr>
          <w:rFonts w:ascii="Arial" w:cs="Arial" w:eastAsia="Arial" w:hAnsi="Arial"/>
          <w:sz w:val="20"/>
          <w:szCs w:val="20"/>
          <w:color w:val="auto"/>
        </w:rPr>
        <w:t xml:space="preserve"> (%3) </w:t>
      </w:r>
      <w:r>
        <w:rPr>
          <w:rFonts w:ascii="Arial" w:cs="Arial" w:eastAsia="Arial" w:hAnsi="Arial"/>
          <w:sz w:val="18"/>
          <w:szCs w:val="18"/>
          <w:color w:val="auto"/>
        </w:rPr>
        <w:t>Holdings or the Borrower will furnish to the Administrative Agent prompt</w:t>
      </w:r>
      <w:r>
        <w:rPr>
          <w:rFonts w:ascii="Arial" w:cs="Arial" w:eastAsia="Arial" w:hAnsi="Arial"/>
          <w:sz w:val="20"/>
          <w:szCs w:val="20"/>
          <w:color w:val="auto"/>
        </w:rPr>
        <w:t xml:space="preserve"> </w:t>
      </w:r>
      <w:r>
        <w:rPr>
          <w:rFonts w:ascii="Arial" w:cs="Arial" w:eastAsia="Arial" w:hAnsi="Arial"/>
          <w:sz w:val="18"/>
          <w:szCs w:val="18"/>
          <w:color w:val="auto"/>
        </w:rPr>
        <w:t>(and in any event within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w:t>
      </w:r>
    </w:p>
    <w:p>
      <w:pPr>
        <w:spacing w:after="0" w:line="168" w:lineRule="exact"/>
        <w:rPr>
          <w:sz w:val="20"/>
          <w:szCs w:val="20"/>
          <w:color w:val="auto"/>
        </w:rPr>
      </w:pPr>
    </w:p>
    <w:p>
      <w:pPr>
        <w:jc w:val="both"/>
        <w:ind w:firstLine="819"/>
        <w:spacing w:after="0" w:line="283" w:lineRule="auto"/>
        <w:tabs>
          <w:tab w:leader="none" w:pos="126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Not later than five days after delivery of financial statements pursuant to Section 5.01(a) or (b) (and, in any event, not later than five days after the date on which such financial statements were required to have been delivered), Holdings or the Borrower shall deliver to the Administrative Agent a certificate executed by a Responsible Officer of Holdings or the Borrower (i) setting forth the information required pursuant to Sections 1(a)(i), 1(b), 2, 5, 6 and 8 (other than 8(f)) of the Perfection Certificate or confirming that there has been no change in such information since the date of the Perfection Certificate delivered prior to the Restatement Effective Date or the date of the most recent certificate delivered pursuant to this Section or Section 4.03(j), (ii) identifying any Wholly Owned Subsidiary that has become, or ceased to be, a Material Subsidiary during the most recently ended fiscal quarter and (iii) certifying that all notices required to be given prior to the date of such certificate by Section 5.03 have been given.</w:t>
      </w:r>
    </w:p>
    <w:p>
      <w:pPr>
        <w:spacing w:after="0" w:line="157" w:lineRule="exact"/>
        <w:rPr>
          <w:sz w:val="20"/>
          <w:szCs w:val="20"/>
          <w:color w:val="auto"/>
        </w:rPr>
      </w:pPr>
    </w:p>
    <w:p>
      <w:pPr>
        <w:jc w:val="both"/>
        <w:ind w:firstLine="630"/>
        <w:spacing w:after="0" w:line="272"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i w:val="1"/>
          <w:iCs w:val="1"/>
          <w:color w:val="auto"/>
        </w:rPr>
        <w:t>Existence; Conduct of Business</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Each of Holdings and the Borrower will, and will cause each Intermediate Parent and</w:t>
      </w:r>
      <w:r>
        <w:rPr>
          <w:rFonts w:ascii="Arial" w:cs="Arial" w:eastAsia="Arial" w:hAnsi="Arial"/>
          <w:sz w:val="21"/>
          <w:szCs w:val="21"/>
          <w:color w:val="auto"/>
        </w:rPr>
        <w:t xml:space="preserve"> </w:t>
      </w:r>
      <w:r>
        <w:rPr>
          <w:rFonts w:ascii="Arial" w:cs="Arial" w:eastAsia="Arial" w:hAnsi="Arial"/>
          <w:sz w:val="19"/>
          <w:szCs w:val="19"/>
          <w:color w:val="auto"/>
        </w:rPr>
        <w:t xml:space="preserve">Restricted Subsidiary to, do or cause to be done all things necessary to obtain, preserve, renew and keep in full force and effect its legal existence and the rights, licenses, permits, privileges, franchises (including exchange memberships), patents, copyrights, trademarks, trade names and Governmental Approvals material to the conduct of its business, except to the extent (other than with respect to the preservation of the existence of Holdings and the Borrower) that the failure to do so, individually or in the aggregate, could not reasonably be expected to have a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prohibit any merger, consolidation, liquidation or dissolution permitted under Section 6.03 or any Disposition permitted by Section 6.05.</w:t>
      </w:r>
    </w:p>
    <w:p>
      <w:pPr>
        <w:spacing w:after="0" w:line="183"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i w:val="1"/>
          <w:iCs w:val="1"/>
          <w:color w:val="auto"/>
        </w:rPr>
        <w:t>Payment of Taxes, Etc</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Each of Holdings and the Borrower will, and will cause each Intermediate Parent and Restricted</w:t>
      </w:r>
      <w:r>
        <w:rPr>
          <w:rFonts w:ascii="Arial" w:cs="Arial" w:eastAsia="Arial" w:hAnsi="Arial"/>
          <w:sz w:val="21"/>
          <w:szCs w:val="21"/>
          <w:color w:val="auto"/>
        </w:rPr>
        <w:t xml:space="preserve"> </w:t>
      </w:r>
      <w:r>
        <w:rPr>
          <w:rFonts w:ascii="Arial" w:cs="Arial" w:eastAsia="Arial" w:hAnsi="Arial"/>
          <w:sz w:val="19"/>
          <w:szCs w:val="19"/>
          <w:color w:val="auto"/>
        </w:rPr>
        <w:t>Subsidiary to, pay its obligations in respect of Tax liabilities, assessments and governmental charges, before the same shall become delinquent or in default, except where the failure to make such payment could not reasonably be expected, individually or in the aggregate, to result in a Material Adverse Effect.</w:t>
      </w:r>
    </w:p>
    <w:p>
      <w:pPr>
        <w:spacing w:after="0" w:line="182" w:lineRule="exact"/>
        <w:rPr>
          <w:sz w:val="20"/>
          <w:szCs w:val="20"/>
          <w:color w:val="auto"/>
        </w:rPr>
      </w:pPr>
    </w:p>
    <w:p>
      <w:pPr>
        <w:jc w:val="both"/>
        <w:ind w:firstLine="630"/>
        <w:spacing w:after="0" w:line="292" w:lineRule="auto"/>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i w:val="1"/>
          <w:iCs w:val="1"/>
          <w:color w:val="auto"/>
        </w:rPr>
        <w:t>Maintenance of Properties</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Each of Holdings and the Borrower will, and will cause each Restricted Subsidiary to, keep</w:t>
      </w:r>
      <w:r>
        <w:rPr>
          <w:rFonts w:ascii="Arial" w:cs="Arial" w:eastAsia="Arial" w:hAnsi="Arial"/>
          <w:sz w:val="20"/>
          <w:szCs w:val="20"/>
          <w:color w:val="auto"/>
        </w:rPr>
        <w:t xml:space="preserve"> </w:t>
      </w:r>
      <w:r>
        <w:rPr>
          <w:rFonts w:ascii="Arial" w:cs="Arial" w:eastAsia="Arial" w:hAnsi="Arial"/>
          <w:sz w:val="18"/>
          <w:szCs w:val="18"/>
          <w:color w:val="auto"/>
        </w:rPr>
        <w:t>and maintain all property material to the conduct of its business in good working order and condition, ordinary wear and tear excepted, except where the failure to do so could not reasonably be expected to have, individually or in the aggregate, a Material Adverse Effect.</w:t>
      </w:r>
    </w:p>
    <w:p>
      <w:pPr>
        <w:spacing w:after="0" w:line="160" w:lineRule="exact"/>
        <w:rPr>
          <w:sz w:val="20"/>
          <w:szCs w:val="20"/>
          <w:color w:val="auto"/>
        </w:rPr>
      </w:pPr>
    </w:p>
    <w:p>
      <w:pPr>
        <w:jc w:val="both"/>
        <w:ind w:firstLine="630"/>
        <w:spacing w:after="0" w:line="307"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i w:val="1"/>
          <w:iCs w:val="1"/>
          <w:color w:val="auto"/>
        </w:rPr>
        <w:t>Insurance</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Each of Holdings and the Borrower will, and will cause each Restricted Subsidiary to, maintain, with insurance</w:t>
      </w:r>
      <w:r>
        <w:rPr>
          <w:rFonts w:ascii="Arial" w:cs="Arial" w:eastAsia="Arial" w:hAnsi="Arial"/>
          <w:sz w:val="19"/>
          <w:szCs w:val="19"/>
          <w:color w:val="auto"/>
        </w:rPr>
        <w:t xml:space="preserve"> </w:t>
      </w:r>
      <w:r>
        <w:rPr>
          <w:rFonts w:ascii="Arial" w:cs="Arial" w:eastAsia="Arial" w:hAnsi="Arial"/>
          <w:sz w:val="17"/>
          <w:szCs w:val="17"/>
          <w:color w:val="auto"/>
        </w:rPr>
        <w:t>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of the management of Holdings) are reasonable and prudent in light of the size and nature of its business, and will furnish to the Lenders, upon written request from the Administrative Agent, information presented in reasonable detail as to the insurance so carried. Each such policy of insurance shall (a) name the Administrative Agent, on behalf of the Lenders, as an additional insured thereunder as its interests may appear and (b) in the case of each casualty insurance policy, contain a loss payable clause or endorsement that names the Administrative Agent, on behalf of the Lenders, as the loss payee thereunder.</w:t>
      </w:r>
    </w:p>
    <w:p>
      <w:pPr>
        <w:spacing w:after="0" w:line="158"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i w:val="1"/>
          <w:iCs w:val="1"/>
          <w:color w:val="auto"/>
        </w:rPr>
        <w:t>Books and Records; Inspection and Audit Rights; Quarterly Teleconferences</w:t>
      </w:r>
      <w:r>
        <w:rPr>
          <w:rFonts w:ascii="Arial" w:cs="Arial" w:eastAsia="Arial" w:hAnsi="Arial"/>
          <w:sz w:val="18"/>
          <w:szCs w:val="18"/>
          <w:color w:val="auto"/>
        </w:rPr>
        <w:t>.</w:t>
      </w:r>
      <w:r>
        <w:rPr>
          <w:rFonts w:ascii="Arial" w:cs="Arial" w:eastAsia="Arial" w:hAnsi="Arial"/>
          <w:sz w:val="20"/>
          <w:szCs w:val="20"/>
          <w:color w:val="auto"/>
        </w:rPr>
        <w:t xml:space="preserve"> (%3) </w:t>
      </w:r>
      <w:r>
        <w:rPr>
          <w:rFonts w:ascii="Arial" w:cs="Arial" w:eastAsia="Arial" w:hAnsi="Arial"/>
          <w:sz w:val="18"/>
          <w:szCs w:val="18"/>
          <w:color w:val="auto"/>
        </w:rPr>
        <w:t>Each of Holdings and the</w:t>
      </w:r>
      <w:r>
        <w:rPr>
          <w:rFonts w:ascii="Arial" w:cs="Arial" w:eastAsia="Arial" w:hAnsi="Arial"/>
          <w:sz w:val="20"/>
          <w:szCs w:val="20"/>
          <w:color w:val="auto"/>
        </w:rPr>
        <w:t xml:space="preserve"> </w:t>
      </w:r>
      <w:r>
        <w:rPr>
          <w:rFonts w:ascii="Arial" w:cs="Arial" w:eastAsia="Arial" w:hAnsi="Arial"/>
          <w:sz w:val="18"/>
          <w:szCs w:val="18"/>
          <w:color w:val="auto"/>
        </w:rPr>
        <w:t xml:space="preserve">Borrower will, and will cause each Intermediate Parent and Restricted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the Borrower, such Intermediate Parent or such Restricted Subsidiary, as the case may be. Each of Holdings and the Borrower will, and will cause each Intermediate Parent and Restricted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excluding any such visits and inspections during the continuation of an Event of Default, only the Administrative Agent on behalf of the Lenders may exercise visitation and inspection rights of the Administrative Agent and the Lenders under this Section 5.08 and the Administrative Agent shall not exercise such rights more often than two times during any calendar year absent the existence of an Event of Default and only one such time shall be at the Borrower’s expense;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 when an Event of Default exists, the Administrative Agent or any Lender (or any of their respective representatives or independent contractors) may do any of the foregoing at the expense of the Borrower at any time during normal business hours and upon reasonable advance notice and (ii) the Administrative Agent and the Lenders shall give Holdings and the Borrower the opportunity to participate in any discussions with Holdings’ or the Borrower’s independent public accountants.</w:t>
      </w:r>
    </w:p>
    <w:p>
      <w:pPr>
        <w:spacing w:after="0" w:line="169" w:lineRule="exact"/>
        <w:rPr>
          <w:sz w:val="20"/>
          <w:szCs w:val="20"/>
          <w:color w:val="auto"/>
        </w:rPr>
      </w:pPr>
    </w:p>
    <w:p>
      <w:pPr>
        <w:jc w:val="both"/>
        <w:ind w:firstLine="819"/>
        <w:spacing w:after="0" w:line="260" w:lineRule="auto"/>
        <w:tabs>
          <w:tab w:leader="none" w:pos="130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Within 10 Business Days of the earlier of (x) the delivery of any financial statements required to be delivered under Section 5.01(a) or (b) and (y) the date on which such financial statements were required to have been delivered, the Borrower shall host a teleconference meeting with the Lenders to discuss the results presented therein or for the applicable period, as applicable, and such other matters reasonably related thereto.</w:t>
      </w:r>
    </w:p>
    <w:p>
      <w:pPr>
        <w:sectPr>
          <w:pgSz w:w="11900" w:h="16838" w:orient="portrait"/>
          <w:cols w:equalWidth="0" w:num="1">
            <w:col w:w="11420"/>
          </w:cols>
          <w:pgMar w:left="240" w:top="131" w:right="239" w:bottom="0" w:gutter="0" w:footer="0" w:header="0"/>
        </w:sectPr>
      </w:pPr>
    </w:p>
    <w:bookmarkStart w:id="156" w:name="page157"/>
    <w:bookmarkEnd w:id="156"/>
    <w:p>
      <w:pPr>
        <w:jc w:val="both"/>
        <w:ind w:firstLine="630"/>
        <w:spacing w:after="0" w:line="271" w:lineRule="auto"/>
        <w:rPr>
          <w:sz w:val="20"/>
          <w:szCs w:val="20"/>
          <w:color w:val="auto"/>
        </w:rPr>
      </w:pPr>
      <w:r>
        <w:rPr>
          <w:rFonts w:ascii="Arial" w:cs="Arial" w:eastAsia="Arial" w:hAnsi="Arial"/>
          <w:sz w:val="21"/>
          <w:szCs w:val="21"/>
          <w:color w:val="auto"/>
        </w:rPr>
        <w:t xml:space="preserve">Section 5.09. </w:t>
      </w:r>
      <w:r>
        <w:rPr>
          <w:rFonts w:ascii="Arial" w:cs="Arial" w:eastAsia="Arial" w:hAnsi="Arial"/>
          <w:sz w:val="21"/>
          <w:szCs w:val="21"/>
          <w:i w:val="1"/>
          <w:iCs w:val="1"/>
          <w:color w:val="auto"/>
        </w:rPr>
        <w:t>Compliance with Laws</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Each of Holdings and the Borrower will, and will cause each Intermediate Parent and Restricted</w:t>
      </w:r>
      <w:r>
        <w:rPr>
          <w:rFonts w:ascii="Arial" w:cs="Arial" w:eastAsia="Arial" w:hAnsi="Arial"/>
          <w:sz w:val="21"/>
          <w:szCs w:val="21"/>
          <w:color w:val="auto"/>
        </w:rPr>
        <w:t xml:space="preserve"> </w:t>
      </w:r>
      <w:r>
        <w:rPr>
          <w:rFonts w:ascii="Arial" w:cs="Arial" w:eastAsia="Arial" w:hAnsi="Arial"/>
          <w:sz w:val="19"/>
          <w:szCs w:val="19"/>
          <w:color w:val="auto"/>
        </w:rPr>
        <w:t>Subsidiary to, comply with its Organizational Documents and all Requirements of Law (including Environmental Laws, ERISA and the USA Patriot Act) with respect to it, its property and operations, except where the failure to do so, individually or in the aggregate, could not reasonably be expected to result in a Material Adverse Effect.</w:t>
      </w:r>
    </w:p>
    <w:p>
      <w:pPr>
        <w:spacing w:after="0" w:line="182"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5.10. </w:t>
      </w:r>
      <w:r>
        <w:rPr>
          <w:rFonts w:ascii="Arial" w:cs="Arial" w:eastAsia="Arial" w:hAnsi="Arial"/>
          <w:sz w:val="21"/>
          <w:szCs w:val="21"/>
          <w:i w:val="1"/>
          <w:iCs w:val="1"/>
          <w:color w:val="auto"/>
        </w:rPr>
        <w:t>Use of Proceeds</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The proceeds of the Term B-</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21"/>
          <w:szCs w:val="21"/>
          <w:color w:val="auto"/>
        </w:rPr>
        <w:t xml:space="preserve"> </w:t>
      </w:r>
      <w:r>
        <w:rPr>
          <w:rFonts w:ascii="Arial" w:cs="Arial" w:eastAsia="Arial" w:hAnsi="Arial"/>
          <w:sz w:val="19"/>
          <w:szCs w:val="19"/>
          <w:color w:val="auto"/>
        </w:rPr>
        <w:t>Loans received on the Amendment No.</w:t>
      </w:r>
      <w:r>
        <w:rPr>
          <w:rFonts w:ascii="Arial" w:cs="Arial" w:eastAsia="Arial" w:hAnsi="Arial"/>
          <w:sz w:val="21"/>
          <w:szCs w:val="21"/>
          <w:color w:val="auto"/>
        </w:rPr>
        <w:t xml:space="preserve">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21"/>
          <w:szCs w:val="21"/>
          <w:color w:val="auto"/>
        </w:rPr>
        <w:t xml:space="preserve"> </w:t>
      </w:r>
      <w:r>
        <w:rPr>
          <w:rFonts w:ascii="Arial" w:cs="Arial" w:eastAsia="Arial" w:hAnsi="Arial"/>
          <w:sz w:val="19"/>
          <w:szCs w:val="19"/>
          <w:color w:val="auto"/>
        </w:rPr>
        <w:t>Effective Date shall be</w:t>
      </w:r>
      <w:r>
        <w:rPr>
          <w:rFonts w:ascii="Arial" w:cs="Arial" w:eastAsia="Arial" w:hAnsi="Arial"/>
          <w:sz w:val="21"/>
          <w:szCs w:val="21"/>
          <w:color w:val="auto"/>
        </w:rPr>
        <w:t xml:space="preserve"> </w:t>
      </w:r>
      <w:r>
        <w:rPr>
          <w:rFonts w:ascii="Arial" w:cs="Arial" w:eastAsia="Arial" w:hAnsi="Arial"/>
          <w:sz w:val="19"/>
          <w:szCs w:val="19"/>
          <w:color w:val="auto"/>
        </w:rPr>
        <w:t xml:space="preserve">used solely to repay a portion of the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u w:val="single" w:color="auto"/>
          <w:color w:val="0000FF"/>
        </w:rPr>
        <w:t>B-1</w:t>
      </w:r>
      <w:r>
        <w:rPr>
          <w:rFonts w:ascii="Arial" w:cs="Arial" w:eastAsia="Arial" w:hAnsi="Arial"/>
          <w:sz w:val="19"/>
          <w:szCs w:val="19"/>
          <w:color w:val="auto"/>
        </w:rPr>
        <w:t xml:space="preserve"> Loans outstanding on the Amendment No. </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Effective Date and to pay fees and expenses in connection therewith.</w:t>
      </w:r>
    </w:p>
    <w:p>
      <w:pPr>
        <w:spacing w:after="0" w:line="179" w:lineRule="exact"/>
        <w:rPr>
          <w:sz w:val="20"/>
          <w:szCs w:val="20"/>
          <w:color w:val="auto"/>
        </w:rPr>
      </w:pPr>
    </w:p>
    <w:p>
      <w:pPr>
        <w:jc w:val="both"/>
        <w:ind w:firstLine="819"/>
        <w:spacing w:after="0" w:line="267" w:lineRule="auto"/>
        <w:tabs>
          <w:tab w:leader="none" w:pos="1248"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Borrower and its Restricted Subsidiaries will use the proceeds of borrowings under the Revolving Facility and any Incremental Revolving Facility or pursuant to any Incremental Term Facility for working capital and other general corporate purposes, including the financing of Permitted Acquisitions.</w:t>
      </w:r>
    </w:p>
    <w:p>
      <w:pPr>
        <w:spacing w:after="0" w:line="165" w:lineRule="exact"/>
        <w:rPr>
          <w:sz w:val="20"/>
          <w:szCs w:val="20"/>
          <w:color w:val="auto"/>
        </w:rPr>
      </w:pPr>
    </w:p>
    <w:p>
      <w:pPr>
        <w:jc w:val="both"/>
        <w:ind w:firstLine="630"/>
        <w:spacing w:after="0" w:line="311"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i w:val="1"/>
          <w:iCs w:val="1"/>
          <w:color w:val="auto"/>
        </w:rPr>
        <w:t>Additional Subsidiaries</w:t>
      </w:r>
      <w:r>
        <w:rPr>
          <w:rFonts w:ascii="Arial" w:cs="Arial" w:eastAsia="Arial" w:hAnsi="Arial"/>
          <w:sz w:val="17"/>
          <w:szCs w:val="17"/>
          <w:color w:val="auto"/>
        </w:rPr>
        <w:t>.</w:t>
      </w:r>
      <w:r>
        <w:rPr>
          <w:rFonts w:ascii="Arial" w:cs="Arial" w:eastAsia="Arial" w:hAnsi="Arial"/>
          <w:sz w:val="19"/>
          <w:szCs w:val="19"/>
          <w:color w:val="auto"/>
        </w:rPr>
        <w:t xml:space="preserve"> (%3) </w:t>
      </w:r>
      <w:r>
        <w:rPr>
          <w:rFonts w:ascii="Arial" w:cs="Arial" w:eastAsia="Arial" w:hAnsi="Arial"/>
          <w:sz w:val="17"/>
          <w:szCs w:val="17"/>
          <w:color w:val="auto"/>
        </w:rPr>
        <w:t>If (i) any additional Restricted Subsidiary is formed or acquired after the Restatement</w:t>
      </w:r>
      <w:r>
        <w:rPr>
          <w:rFonts w:ascii="Arial" w:cs="Arial" w:eastAsia="Arial" w:hAnsi="Arial"/>
          <w:sz w:val="19"/>
          <w:szCs w:val="19"/>
          <w:color w:val="auto"/>
        </w:rPr>
        <w:t xml:space="preserve"> </w:t>
      </w:r>
      <w:r>
        <w:rPr>
          <w:rFonts w:ascii="Arial" w:cs="Arial" w:eastAsia="Arial" w:hAnsi="Arial"/>
          <w:sz w:val="17"/>
          <w:szCs w:val="17"/>
          <w:color w:val="auto"/>
        </w:rPr>
        <w:t>Effective Date or (ii) if any Restricted Subsidiary ceases to be an Excluded Subsidiary, an Immaterial Subsidiary, a Foreign Subsidiary, a Regulated Subsidiary or an Excluded Domestic Subsidiary, Holdings or the Borrower will, within 30 days after such formation, acquisition or cessation, notify the Administrative Agent thereof, and will cause (x) such Restricted Subsidiary (unless such Restricted Subsidiary is an Excluded Subsidiary, a Foreign Subsidiary, a Regulated Subsidiary or an Excluded Domestic Subsidiary) to satisfy the Collateral and Guarantee Requirement with respect to such Restricted Subsidiary and (y) any Loan Party that owns any Equity Interests in or Indebtedness of any such Restricted Subsidiary to satisfy the Collateral and Guarantee Requirement with respect to such Equity Interests and Indebtedness, in each case within 30 days after such notice (or such longer period as the Administrative Agent shall reasonably agree and the Administrative Agent shall have received a completed Perfection Certificate with respect to such Restricted Subsidiary signed by a Responsible Officer, together with all attachments contemplated thereby).</w:t>
      </w:r>
    </w:p>
    <w:p>
      <w:pPr>
        <w:spacing w:after="0" w:line="158" w:lineRule="exact"/>
        <w:rPr>
          <w:sz w:val="20"/>
          <w:szCs w:val="20"/>
          <w:color w:val="auto"/>
        </w:rPr>
      </w:pPr>
    </w:p>
    <w:p>
      <w:pPr>
        <w:jc w:val="both"/>
        <w:ind w:firstLine="819"/>
        <w:spacing w:after="0" w:line="307" w:lineRule="auto"/>
        <w:tabs>
          <w:tab w:leader="none" w:pos="137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Within 30 days (or such longer period as the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w:t>
      </w:r>
    </w:p>
    <w:p>
      <w:pPr>
        <w:spacing w:after="0" w:line="133"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5.12. </w:t>
      </w:r>
      <w:r>
        <w:rPr>
          <w:rFonts w:ascii="Arial" w:cs="Arial" w:eastAsia="Arial" w:hAnsi="Arial"/>
          <w:sz w:val="21"/>
          <w:szCs w:val="21"/>
          <w:i w:val="1"/>
          <w:iCs w:val="1"/>
          <w:color w:val="auto"/>
        </w:rPr>
        <w:t>Further Assurances</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Each of Holdings and the Borrower will, and will cause each Loan Party to, execute any and</w:t>
      </w:r>
      <w:r>
        <w:rPr>
          <w:rFonts w:ascii="Arial" w:cs="Arial" w:eastAsia="Arial" w:hAnsi="Arial"/>
          <w:sz w:val="21"/>
          <w:szCs w:val="21"/>
          <w:color w:val="auto"/>
        </w:rPr>
        <w:t xml:space="preserve"> </w:t>
      </w:r>
      <w:r>
        <w:rPr>
          <w:rFonts w:ascii="Arial" w:cs="Arial" w:eastAsia="Arial" w:hAnsi="Arial"/>
          <w:sz w:val="19"/>
          <w:szCs w:val="19"/>
          <w:color w:val="auto"/>
        </w:rPr>
        <w:t>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or the Required Lenders may reasonably request, to cause the Collateral and Guarantee Requirement to be and remain satisfied, all at the expense of the Loan Parties.</w:t>
      </w:r>
    </w:p>
    <w:p>
      <w:pPr>
        <w:spacing w:after="0" w:line="184" w:lineRule="exact"/>
        <w:rPr>
          <w:sz w:val="20"/>
          <w:szCs w:val="20"/>
          <w:color w:val="auto"/>
        </w:rPr>
      </w:pPr>
    </w:p>
    <w:p>
      <w:pPr>
        <w:jc w:val="both"/>
        <w:ind w:firstLine="819"/>
        <w:spacing w:after="0" w:line="282" w:lineRule="auto"/>
        <w:tabs>
          <w:tab w:leader="none" w:pos="132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If, after the Restatement Effective Date, any material assets (including any owned (but not leased) real property or improvements thereto or any interest therein with a fair market value in excess of $5,000,000)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and reasonably requested by the Administrative Agent to grant and perfect such Liens, including actions described in paragraph (a) of this Section, all at the expense of the Loan Parties and subject to the last paragraph of the definition of the term “Collateral and Guarantee Requirement.”</w:t>
      </w:r>
    </w:p>
    <w:p>
      <w:pPr>
        <w:spacing w:after="0" w:line="157" w:lineRule="exact"/>
        <w:rPr>
          <w:sz w:val="20"/>
          <w:szCs w:val="20"/>
          <w:color w:val="auto"/>
        </w:rPr>
      </w:pPr>
    </w:p>
    <w:p>
      <w:pPr>
        <w:jc w:val="both"/>
        <w:ind w:firstLine="630"/>
        <w:spacing w:after="0" w:line="303"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i w:val="1"/>
          <w:iCs w:val="1"/>
          <w:color w:val="auto"/>
        </w:rPr>
        <w:t>Designation of Subsidiaries</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The Borrower may at any time after the Restatement Effective Date designate any</w:t>
      </w:r>
      <w:r>
        <w:rPr>
          <w:rFonts w:ascii="Arial" w:cs="Arial" w:eastAsia="Arial" w:hAnsi="Arial"/>
          <w:sz w:val="19"/>
          <w:szCs w:val="19"/>
          <w:color w:val="auto"/>
        </w:rPr>
        <w:t xml:space="preserve"> </w:t>
      </w:r>
      <w:r>
        <w:rPr>
          <w:rFonts w:ascii="Arial" w:cs="Arial" w:eastAsia="Arial" w:hAnsi="Arial"/>
          <w:sz w:val="17"/>
          <w:szCs w:val="17"/>
          <w:color w:val="auto"/>
        </w:rPr>
        <w:t xml:space="preserve">Restricted Subsidiary (other than the Borrower or any Intermediate Parent) as an Unrestricted Subsidiary or any Unrestricted Subsidiary as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immediately before and after such designation on a Pro Forma Basis, no Event of Default shall have occurred and be continuing, (b) immediately after giving effect to such designation, the Borrower shall be in compliance, on a Pro Forma Basis, with the Financial Performance Covenants recomputed as of the last day of the most recent Test Period for which financial statements are available,</w:t>
      </w:r>
    </w:p>
    <w:p>
      <w:pPr>
        <w:spacing w:after="0" w:line="1" w:lineRule="exact"/>
        <w:rPr>
          <w:sz w:val="20"/>
          <w:szCs w:val="20"/>
          <w:color w:val="auto"/>
        </w:rPr>
      </w:pPr>
    </w:p>
    <w:p>
      <w:pPr>
        <w:jc w:val="both"/>
        <w:ind w:firstLine="5"/>
        <w:spacing w:after="0" w:line="312" w:lineRule="auto"/>
        <w:tabs>
          <w:tab w:leader="none" w:pos="26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 Subsidiary may be designated as an Unrestricted Subsidiary or continue as an Unrestricted Subsidiary if it is a “Restricted Subsidiary” for the purpose of any other Indebtedness of Holdings or the Borrower and (d) if a Restricted Subsidiary is being designated as an Unrestricted Subsidiary hereunder, the sum of (A) the fair market value of assets of such Restricted Subsidiary as of such date of designation (the “</w:t>
      </w:r>
      <w:r>
        <w:rPr>
          <w:rFonts w:ascii="Arial" w:cs="Arial" w:eastAsia="Arial" w:hAnsi="Arial"/>
          <w:sz w:val="17"/>
          <w:szCs w:val="17"/>
          <w:b w:val="1"/>
          <w:bCs w:val="1"/>
          <w:color w:val="auto"/>
        </w:rPr>
        <w:t>Designation Date</w:t>
      </w:r>
      <w:r>
        <w:rPr>
          <w:rFonts w:ascii="Arial" w:cs="Arial" w:eastAsia="Arial" w:hAnsi="Arial"/>
          <w:sz w:val="17"/>
          <w:szCs w:val="17"/>
          <w:color w:val="auto"/>
        </w:rPr>
        <w:t>”), plus (B) the aggregate fair market value of assets of all Unrestricted Subsidiaries (in each case measured as of the date of each such Unrestricted Subsidiary’s designation as an Unrestricted Subsidiary) shall not exceed 5.0% of the Consolidated Total Assets of the Borrower and its Subsidiaries as of such Designation Date pro forma for such designation. The designation of any Subsidiary as an Unrestricted Subsidiary after the Restatement Effective Date shall constitute an Investment by the Borrower therein at the date of designation in an amount equal to the fair market value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Subsidiary’s (as applicable) Investment in such Subsidiary.</w:t>
      </w:r>
    </w:p>
    <w:p>
      <w:pPr>
        <w:spacing w:after="0" w:line="145" w:lineRule="exact"/>
        <w:rPr>
          <w:sz w:val="20"/>
          <w:szCs w:val="20"/>
          <w:color w:val="auto"/>
        </w:rPr>
      </w:pPr>
    </w:p>
    <w:p>
      <w:pPr>
        <w:ind w:firstLine="630"/>
        <w:spacing w:after="0" w:line="274" w:lineRule="auto"/>
        <w:rPr>
          <w:sz w:val="20"/>
          <w:szCs w:val="20"/>
          <w:color w:val="auto"/>
        </w:rPr>
      </w:pPr>
      <w:r>
        <w:rPr>
          <w:rFonts w:ascii="Arial" w:cs="Arial" w:eastAsia="Arial" w:hAnsi="Arial"/>
          <w:sz w:val="19"/>
          <w:szCs w:val="19"/>
          <w:color w:val="auto"/>
        </w:rPr>
        <w:t>Notwithstanding the foregoing, any Unrestricted Subsidiary that has been re-designated a Restricted Subsidiary may not be subsequently re-designated as an Unrestricted Subsidiary.</w:t>
      </w:r>
    </w:p>
    <w:p>
      <w:pPr>
        <w:spacing w:after="0" w:line="166"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5.14.</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31" w:lineRule="exact"/>
        <w:rPr>
          <w:sz w:val="20"/>
          <w:szCs w:val="20"/>
          <w:color w:val="auto"/>
        </w:rPr>
      </w:pPr>
    </w:p>
    <w:p>
      <w:pPr>
        <w:ind w:firstLine="630"/>
        <w:spacing w:after="0" w:line="360"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i w:val="1"/>
          <w:iCs w:val="1"/>
          <w:color w:val="auto"/>
        </w:rPr>
        <w:t>Maintenance of Ratings</w:t>
      </w:r>
      <w:r>
        <w:rPr>
          <w:rFonts w:ascii="Arial" w:cs="Arial" w:eastAsia="Arial" w:hAnsi="Arial"/>
          <w:sz w:val="17"/>
          <w:szCs w:val="17"/>
          <w:color w:val="auto"/>
        </w:rPr>
        <w:t>. The Borrower will use commercially reasonable efforts to maintain a corporate credit rating</w:t>
      </w:r>
      <w:r>
        <w:rPr>
          <w:rFonts w:ascii="Arial" w:cs="Arial" w:eastAsia="Arial" w:hAnsi="Arial"/>
          <w:sz w:val="19"/>
          <w:szCs w:val="19"/>
          <w:color w:val="auto"/>
        </w:rPr>
        <w:t xml:space="preserve"> </w:t>
      </w:r>
      <w:r>
        <w:rPr>
          <w:rFonts w:ascii="Arial" w:cs="Arial" w:eastAsia="Arial" w:hAnsi="Arial"/>
          <w:sz w:val="17"/>
          <w:szCs w:val="17"/>
          <w:color w:val="auto"/>
        </w:rPr>
        <w:t>from S&amp;P and a corporate family rating from Moody’s, in each case with respect to the Borrower, and a rating of the Term Loans and (prior to the</w:t>
      </w:r>
    </w:p>
    <w:p>
      <w:pPr>
        <w:sectPr>
          <w:pgSz w:w="11900" w:h="16838" w:orient="portrait"/>
          <w:cols w:equalWidth="0" w:num="1">
            <w:col w:w="11420"/>
          </w:cols>
          <w:pgMar w:left="240" w:top="131" w:right="239" w:bottom="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Revolving Maturity Date) the Revolving Facility by each of S&amp;P and Moody’s.</w:t>
      </w:r>
    </w:p>
    <w:p>
      <w:pPr>
        <w:spacing w:after="0" w:line="236"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5.16.</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31" w:lineRule="exact"/>
        <w:rPr>
          <w:sz w:val="20"/>
          <w:szCs w:val="20"/>
          <w:color w:val="auto"/>
        </w:rPr>
      </w:pPr>
    </w:p>
    <w:p>
      <w:pPr>
        <w:jc w:val="both"/>
        <w:ind w:firstLine="630"/>
        <w:spacing w:after="0" w:line="317" w:lineRule="auto"/>
        <w:rPr>
          <w:sz w:val="20"/>
          <w:szCs w:val="20"/>
          <w:color w:val="auto"/>
        </w:rPr>
      </w:pPr>
      <w:r>
        <w:rPr>
          <w:rFonts w:ascii="Arial" w:cs="Arial" w:eastAsia="Arial" w:hAnsi="Arial"/>
          <w:sz w:val="19"/>
          <w:szCs w:val="19"/>
          <w:color w:val="auto"/>
        </w:rPr>
        <w:t xml:space="preserve">Section 5.17. </w:t>
      </w:r>
      <w:r>
        <w:rPr>
          <w:rFonts w:ascii="Arial" w:cs="Arial" w:eastAsia="Arial" w:hAnsi="Arial"/>
          <w:sz w:val="19"/>
          <w:szCs w:val="19"/>
          <w:i w:val="1"/>
          <w:iCs w:val="1"/>
          <w:color w:val="auto"/>
        </w:rPr>
        <w:t>Regulatory Matters</w:t>
      </w:r>
      <w:r>
        <w:rPr>
          <w:rFonts w:ascii="Arial" w:cs="Arial" w:eastAsia="Arial" w:hAnsi="Arial"/>
          <w:sz w:val="17"/>
          <w:szCs w:val="17"/>
          <w:color w:val="auto"/>
        </w:rPr>
        <w:t>. The Borrower will, and will cause each of its Regulated Subsidiaries to, comply in all material</w:t>
      </w:r>
      <w:r>
        <w:rPr>
          <w:rFonts w:ascii="Arial" w:cs="Arial" w:eastAsia="Arial" w:hAnsi="Arial"/>
          <w:sz w:val="19"/>
          <w:szCs w:val="19"/>
          <w:color w:val="auto"/>
        </w:rPr>
        <w:t xml:space="preserve"> </w:t>
      </w:r>
      <w:r>
        <w:rPr>
          <w:rFonts w:ascii="Arial" w:cs="Arial" w:eastAsia="Arial" w:hAnsi="Arial"/>
          <w:sz w:val="17"/>
          <w:szCs w:val="17"/>
          <w:color w:val="auto"/>
        </w:rPr>
        <w:t>respects with all material rules and regulations, as applicable, of the SEC, FINRA or any other applicable domestic or foreign Governmental Authority or Regulatory Supervising Organization (including such rules and regulations dealing with net capital or other applicable requirements), except, with respect to all such matters, other than noncompliance by such Regulated Subsidiaries with minimum capital requirements, to the extent that failure to comply therewith would not, in the aggregate, reasonably be expected to have a Material Adverse Effect.</w:t>
      </w:r>
    </w:p>
    <w:p>
      <w:pPr>
        <w:spacing w:after="0" w:line="162"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ARTICLE 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Negative Covenants</w:t>
      </w:r>
    </w:p>
    <w:p>
      <w:pPr>
        <w:spacing w:after="0" w:line="241"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Until the Commitments have expired or been terminated and the principal of and interest on each Loan and all fees, expenses and other amounts payable (other than contingent amounts not yet due) under any Loan Document have been paid in full and all Letters of Credit have expired or been terminated and all LC Disbursements shall have been reimbursed, each of Holdings and the Borrower covenants and agrees with the Administrative Agent and each of the Lenders that:</w:t>
      </w:r>
    </w:p>
    <w:p>
      <w:pPr>
        <w:spacing w:after="0" w:line="186"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i w:val="1"/>
          <w:iCs w:val="1"/>
          <w:color w:val="auto"/>
        </w:rPr>
        <w:t>Indebtedness; Certain Equity Securities</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Holdings and the Borrower will not, and will not permit any Restricted</w:t>
      </w:r>
      <w:r>
        <w:rPr>
          <w:rFonts w:ascii="Arial" w:cs="Arial" w:eastAsia="Arial" w:hAnsi="Arial"/>
          <w:sz w:val="21"/>
          <w:szCs w:val="21"/>
          <w:color w:val="auto"/>
        </w:rPr>
        <w:t xml:space="preserve"> </w:t>
      </w:r>
      <w:r>
        <w:rPr>
          <w:rFonts w:ascii="Arial" w:cs="Arial" w:eastAsia="Arial" w:hAnsi="Arial"/>
          <w:sz w:val="19"/>
          <w:szCs w:val="19"/>
          <w:color w:val="auto"/>
        </w:rPr>
        <w:t>Subsidiary to, create, incur, assume or permit to exist any Indebtedness, except:</w:t>
      </w:r>
    </w:p>
    <w:p>
      <w:pPr>
        <w:spacing w:after="0" w:line="181" w:lineRule="exact"/>
        <w:rPr>
          <w:sz w:val="20"/>
          <w:szCs w:val="20"/>
          <w:color w:val="auto"/>
        </w:rPr>
      </w:pPr>
    </w:p>
    <w:p>
      <w:pPr>
        <w:ind w:left="640" w:firstLine="940"/>
        <w:spacing w:after="0" w:line="286" w:lineRule="auto"/>
        <w:tabs>
          <w:tab w:leader="none" w:pos="207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Indebtedness of Holdings, the Borrower and any of the Restricted Subsidiaries under the Loan Documents (including any Indebtedness incurred pursuant to Section </w:t>
      </w:r>
      <w:r>
        <w:rPr>
          <w:rFonts w:ascii="Arial" w:cs="Arial" w:eastAsia="Arial" w:hAnsi="Arial"/>
          <w:sz w:val="21"/>
          <w:szCs w:val="21"/>
          <w:color w:val="FF0000"/>
          <w:strike w:val="1"/>
        </w:rPr>
        <w:t>2.01(d),</w:t>
      </w:r>
      <w:r>
        <w:rPr>
          <w:rFonts w:ascii="Arial" w:cs="Arial" w:eastAsia="Arial" w:hAnsi="Arial"/>
          <w:sz w:val="21"/>
          <w:szCs w:val="21"/>
          <w:color w:val="auto"/>
        </w:rPr>
        <w:t xml:space="preserve"> 2.18 or 2.19);</w:t>
      </w:r>
    </w:p>
    <w:p>
      <w:pPr>
        <w:spacing w:after="0" w:line="146" w:lineRule="exact"/>
        <w:rPr>
          <w:rFonts w:ascii="Arial" w:cs="Arial" w:eastAsia="Arial" w:hAnsi="Arial"/>
          <w:sz w:val="21"/>
          <w:szCs w:val="21"/>
          <w:color w:val="auto"/>
        </w:rPr>
      </w:pPr>
    </w:p>
    <w:p>
      <w:pPr>
        <w:jc w:val="both"/>
        <w:ind w:left="640" w:firstLine="940"/>
        <w:spacing w:after="0" w:line="296" w:lineRule="auto"/>
        <w:tabs>
          <w:tab w:leader="none" w:pos="201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 Indebtedness outstanding on the Restatement Effective Date and listed on Schedule 6.01 and any Permitted Refinancing thereof, (B) intercompany Indebtedness outstanding on the Restatement Effective Date and listed on Schedule 6.01, (C) if the Escrow Assumption occurs, Indebtedness in respect of the Second Lien Notes outstanding on the Escrow Assumption Date and any Permitted Refinancing thereof and (D) Indebtedness in respect of the Existing Yen Bonds;</w:t>
      </w:r>
    </w:p>
    <w:p>
      <w:pPr>
        <w:spacing w:after="0" w:line="142" w:lineRule="exact"/>
        <w:rPr>
          <w:rFonts w:ascii="Arial" w:cs="Arial" w:eastAsia="Arial" w:hAnsi="Arial"/>
          <w:sz w:val="19"/>
          <w:szCs w:val="19"/>
          <w:color w:val="auto"/>
        </w:rPr>
      </w:pPr>
    </w:p>
    <w:p>
      <w:pPr>
        <w:jc w:val="both"/>
        <w:ind w:left="640" w:firstLine="940"/>
        <w:spacing w:after="0" w:line="265" w:lineRule="auto"/>
        <w:tabs>
          <w:tab w:leader="none" w:pos="2219"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Guarantees by Holdings, the Borrower and the Restricted Subsidiaries in respect of Indebtedness of the Borrower or any Restricted Subsidiary otherwise permitted 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Guarantee is otherwise permitted by Section 6.04;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 no Guarantee by any Restricted Subsidiary of any Junior Financing shall be permitted unless such Restricted Subsidiary shall have also provided a Guarantee of the Loan Document Obligations pursuant to the Guarantee Agreement, (B)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 (C) no Guarantee by a Regulated Subsidiary of any Trading Debt of a non-Regulated Subsidiary shall be permitted unless such non-Regulated Subsidiary is consolidated with such Regulated Subsidiary for regulatory capital purposes, (D) no Guarantee by a Domestic Subsidiary that is not a Regulated Subsidiary of any Trading Debt shall be permitted unless such Domestic Subsidiary is a Subsidiary Loan Party and (E) any such Guarantee of Trading Debt shall be unsecured;</w:t>
      </w:r>
    </w:p>
    <w:p>
      <w:pPr>
        <w:spacing w:after="0" w:line="172" w:lineRule="exact"/>
        <w:rPr>
          <w:rFonts w:ascii="Arial" w:cs="Arial" w:eastAsia="Arial" w:hAnsi="Arial"/>
          <w:sz w:val="20"/>
          <w:szCs w:val="20"/>
          <w:color w:val="auto"/>
        </w:rPr>
      </w:pPr>
    </w:p>
    <w:p>
      <w:pPr>
        <w:jc w:val="both"/>
        <w:ind w:left="640" w:firstLine="940"/>
        <w:spacing w:after="0" w:line="253" w:lineRule="auto"/>
        <w:tabs>
          <w:tab w:leader="none" w:pos="2063"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Indebtedness of the Borrower owing to any Restricted Subsidiary or of any Restricted Subsidiary owing to any other Restricted Subsidiary or the Borrower or Holdings to the extent permitted by Section 6.04;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all such Indebtedness of any Loan Party owing to any Restricted Subsidiary that is not a Loan Party shall be subordinated to the Loan Document Obligations (to the extent any such Indebtedness is outstanding at any time after the date that is 30 days after the Restatement Effective Date or such later date as the Administrative Agent may reasonably agree) (but only to the extent permitted by applicable law and not giving rise to adverse tax consequences) on terms (i) at least as favorable to the Lenders as those set forth in the form of intercompany note attached as Exhibit H or (ii) otherwise reasonably satisfactory to the Administrative Agent;</w:t>
      </w:r>
    </w:p>
    <w:p>
      <w:pPr>
        <w:spacing w:after="0" w:line="181" w:lineRule="exact"/>
        <w:rPr>
          <w:rFonts w:ascii="Arial" w:cs="Arial" w:eastAsia="Arial" w:hAnsi="Arial"/>
          <w:sz w:val="21"/>
          <w:szCs w:val="21"/>
          <w:color w:val="auto"/>
        </w:rPr>
      </w:pPr>
    </w:p>
    <w:p>
      <w:pPr>
        <w:jc w:val="both"/>
        <w:ind w:left="640" w:firstLine="940"/>
        <w:spacing w:after="0" w:line="267" w:lineRule="auto"/>
        <w:tabs>
          <w:tab w:leader="none" w:pos="220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(A) Indebtedness (including Capital Lease Obligations) of the Borrower or any Restricted Subsidiaries financing the acquisition, construction, repair, replacement or improvement of fixed or capital assets, other than software; provided that such Indebtedness is incurred concurrently with or within 270 days after the applicable acquisition, construction, repair, replacement or improvement, and (B) any Permitted Refinancing of any Indebtedness set forth in the immediately preceding clause (A);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$50,000,000 and 15% of Consolidated EBITDA for the most recently ended Test Period for which financial statements are available as of such time;</w:t>
      </w:r>
    </w:p>
    <w:p>
      <w:pPr>
        <w:spacing w:after="0" w:line="171" w:lineRule="exact"/>
        <w:rPr>
          <w:rFonts w:ascii="Arial" w:cs="Arial" w:eastAsia="Arial" w:hAnsi="Arial"/>
          <w:sz w:val="20"/>
          <w:szCs w:val="20"/>
          <w:color w:val="auto"/>
        </w:rPr>
      </w:pPr>
    </w:p>
    <w:p>
      <w:pPr>
        <w:ind w:left="2060" w:hanging="480"/>
        <w:spacing w:after="0"/>
        <w:tabs>
          <w:tab w:leader="none" w:pos="206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Indebtedness in respect of Swap Agreements permitted by Section 6.07;</w:t>
      </w:r>
    </w:p>
    <w:p>
      <w:pPr>
        <w:spacing w:after="0" w:line="230" w:lineRule="exact"/>
        <w:rPr>
          <w:rFonts w:ascii="Arial" w:cs="Arial" w:eastAsia="Arial" w:hAnsi="Arial"/>
          <w:sz w:val="21"/>
          <w:szCs w:val="21"/>
          <w:color w:val="auto"/>
        </w:rPr>
      </w:pPr>
    </w:p>
    <w:p>
      <w:pPr>
        <w:jc w:val="both"/>
        <w:ind w:left="640" w:firstLine="940"/>
        <w:spacing w:after="0" w:line="287" w:lineRule="auto"/>
        <w:tabs>
          <w:tab w:leader="none" w:pos="212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Indebtedness of any Person that becomes a Restricted Subsidiary (or of any Person not previously a Restricted Subsidiary that is merged or consolidated with or into Holdings or a Restricted Subsidiary) after the Restatement Effective Date as a result of a Permitted Acquisition or the Merger and Contribution, or Indebtedness of any Person that is assumed by Holdings or any Restricted Subsidiary in connection with an acquisition of assets by Holdings or such Restricted Subsidiary in a Permitted Acquisition, and Permitted Refinancings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Indebtedness is not incurred in contemplation of or in connection with such Permitted Acquisition or the Merger and Contribution, (B) the Borrower will be in</w:t>
      </w:r>
    </w:p>
    <w:p>
      <w:pPr>
        <w:sectPr>
          <w:pgSz w:w="11900" w:h="16838" w:orient="portrait"/>
          <w:cols w:equalWidth="0" w:num="1">
            <w:col w:w="11420"/>
          </w:cols>
          <w:pgMar w:left="240" w:top="136" w:right="239" w:bottom="0" w:gutter="0" w:footer="0" w:header="0"/>
        </w:sectPr>
      </w:pPr>
    </w:p>
    <w:bookmarkStart w:id="158" w:name="page159"/>
    <w:bookmarkEnd w:id="158"/>
    <w:p>
      <w:pPr>
        <w:ind w:left="5"/>
        <w:spacing w:after="0" w:line="327" w:lineRule="auto"/>
        <w:rPr>
          <w:sz w:val="20"/>
          <w:szCs w:val="20"/>
          <w:color w:val="auto"/>
        </w:rPr>
      </w:pPr>
      <w:r>
        <w:rPr>
          <w:rFonts w:ascii="Arial" w:cs="Arial" w:eastAsia="Arial" w:hAnsi="Arial"/>
          <w:sz w:val="19"/>
          <w:szCs w:val="19"/>
          <w:color w:val="auto"/>
        </w:rPr>
        <w:t>Pro Forma Compliance with the Financial Performance Covenants for, or as of the last day of, the most recently ended Test Period for which financial statements are available and (C) no Default or Event of Default shall exist or result therefrom;</w:t>
      </w:r>
    </w:p>
    <w:p>
      <w:pPr>
        <w:spacing w:after="0" w:line="113" w:lineRule="exact"/>
        <w:rPr>
          <w:sz w:val="20"/>
          <w:szCs w:val="20"/>
          <w:color w:val="auto"/>
        </w:rPr>
      </w:pPr>
    </w:p>
    <w:p>
      <w:pPr>
        <w:jc w:val="both"/>
        <w:ind w:left="5" w:firstLine="940"/>
        <w:spacing w:after="0" w:line="276" w:lineRule="auto"/>
        <w:tabs>
          <w:tab w:leader="none" w:pos="1571" w:val="left"/>
        </w:tabs>
        <w:numPr>
          <w:ilvl w:val="1"/>
          <w:numId w:val="135"/>
        </w:numPr>
        <w:rPr>
          <w:rFonts w:ascii="Arial" w:cs="Arial" w:eastAsia="Arial" w:hAnsi="Arial"/>
          <w:sz w:val="19"/>
          <w:szCs w:val="19"/>
          <w:color w:val="auto"/>
        </w:rPr>
      </w:pPr>
      <w:r>
        <w:rPr>
          <w:rFonts w:ascii="Arial" w:cs="Arial" w:eastAsia="Arial" w:hAnsi="Arial"/>
          <w:sz w:val="19"/>
          <w:szCs w:val="19"/>
          <w:color w:val="auto"/>
        </w:rPr>
        <w:t xml:space="preserve">Indebtedness of the Loan Parties incurred to finance a Permitted Acquisition and any Permitted Refinancing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primary obligor in respect of, and any Person that Guarantees, such Indebtedness shall be a Loan Party and no other Person shall be an obligor in respect of such Indebtedness, (B) such Indebtedness is (x) unsecured and has terms and conditions (other than pricing, optional prepayment, redemption premiums and subordination terms), taken as a whole, that are not materially less favorable to Holdings and its Restricted Subsidiaries as the terms and conditions of this Agreement or (y) so long as there is availability under the Incremental Cap, secured by the Collateral (and no other assets) on a pari passu or junior basis with the Secured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such secured debt shall reduce availability under the Incremental Cap on a dollar-for-dollar basis, (2) such secured debt shall not have a Weighted Average Life to Maturity shorter than the Weighted Average Life to Maturity of the Term Loans, (3) such secured debt shall not have any mandatory prepayment provisions (other than provisions related to customary asset sale and change of control offers) that could result in prepayments of such Indebtedness prior to the Term Loans, (4) such secured debt has terms and conditions (other than pricing, optional prepayment, redemption premiums and subordination terms), taken as a whole, that are substantially identical to or no more favorable to the investors providing such debt than the terms and conditions of this Agreement (except for covenants or other provisions applicable only to periods after the Latest Maturity Date), (5) the security agreements relating to such Indebtedness shall be substantially the same as the Security Documents (with such differences as are reasonably satisfactory to the Administrative Agent) and (6) such Indebtedness and any agent or trustee under the agreements or indenture governing such Indebtedness shall be subject to the First Lien Intercreditor Agreement or Junior Lien Intercreditor Agreement, as applicable;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such Indebtedness is issued pursuant to an agreement or indenture that has not previously been made subject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thereto, then the Loan Parties, the Administrative Agent and the Senior Representative for such Indebtedness shall have executed and delivered the First Lien Intercreditor Agreement or the Junior Lien Intercreditor Agreement, as applicable, (C) such Indebtedness does not mature prior to the date that is 180 days after the Latest Maturity Date, (D) such Indebtedness has no scheduled amortization or payments, repurchases or redemptions of principal prior to the date that is 180 days after the Latest Maturity Date and (E) immediately after giving effect thereto and the use of the proceeds thereof, (x) no Default or Event of Default shall exist or result therefrom and (y) the Borrower will be in Pro Forma Compliance with the Financial Performance Covenants for, or as of the last day of, the most recently ended Test Period for which financial statements are available;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Borrower shall have delivered a certificate of a Responsible Officer to the Administrative Agent at least five</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requirements;</w:t>
      </w:r>
    </w:p>
    <w:p>
      <w:pPr>
        <w:spacing w:after="0" w:line="167" w:lineRule="exact"/>
        <w:rPr>
          <w:rFonts w:ascii="Arial" w:cs="Arial" w:eastAsia="Arial" w:hAnsi="Arial"/>
          <w:sz w:val="19"/>
          <w:szCs w:val="19"/>
          <w:color w:val="auto"/>
        </w:rPr>
      </w:pPr>
    </w:p>
    <w:p>
      <w:pPr>
        <w:jc w:val="both"/>
        <w:ind w:left="5" w:firstLine="940"/>
        <w:spacing w:after="0" w:line="280" w:lineRule="auto"/>
        <w:tabs>
          <w:tab w:leader="none" w:pos="148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 xml:space="preserve">Indebtedness incurred by a Restricted Subsidiary that is not a Loan Party to finance a Permitted Acquisition and any Permitted Refinancing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immediately after giving effect thereto and the use of the proceeds thereof, (x) no Default or Event of Default shall exist or result therefrom and (y) the Borrower will be in Pro Forma Compliance with the Financial Performance Covenants for, or as of the last day of, the most recently ended Test Period for which financial statements are available and (B) the aggregate principal amount of outstanding Indebtedness incurred in reliance on this clause</w:t>
      </w:r>
    </w:p>
    <w:p>
      <w:pPr>
        <w:spacing w:after="0" w:line="3" w:lineRule="exact"/>
        <w:rPr>
          <w:rFonts w:ascii="Arial" w:cs="Arial" w:eastAsia="Arial" w:hAnsi="Arial"/>
          <w:sz w:val="19"/>
          <w:szCs w:val="19"/>
          <w:color w:val="auto"/>
        </w:rPr>
      </w:pPr>
    </w:p>
    <w:p>
      <w:pPr>
        <w:ind w:left="365" w:hanging="365"/>
        <w:spacing w:after="0"/>
        <w:tabs>
          <w:tab w:leader="none" w:pos="365" w:val="left"/>
        </w:tabs>
        <w:numPr>
          <w:ilvl w:val="0"/>
          <w:numId w:val="136"/>
        </w:numPr>
        <w:rPr>
          <w:rFonts w:ascii="Arial" w:cs="Arial" w:eastAsia="Arial" w:hAnsi="Arial"/>
          <w:sz w:val="21"/>
          <w:szCs w:val="21"/>
          <w:color w:val="auto"/>
        </w:rPr>
      </w:pPr>
      <w:r>
        <w:rPr>
          <w:rFonts w:ascii="Arial" w:cs="Arial" w:eastAsia="Arial" w:hAnsi="Arial"/>
          <w:sz w:val="21"/>
          <w:szCs w:val="21"/>
          <w:color w:val="auto"/>
        </w:rPr>
        <w:t>shall not exceed $10,000,000 at any time;</w:t>
      </w:r>
    </w:p>
    <w:p>
      <w:pPr>
        <w:spacing w:after="0" w:line="200" w:lineRule="exact"/>
        <w:rPr>
          <w:rFonts w:ascii="Arial" w:cs="Arial" w:eastAsia="Arial" w:hAnsi="Arial"/>
          <w:sz w:val="21"/>
          <w:szCs w:val="21"/>
          <w:color w:val="auto"/>
        </w:rPr>
      </w:pPr>
    </w:p>
    <w:p>
      <w:pPr>
        <w:ind w:left="5" w:firstLine="940"/>
        <w:spacing w:after="0" w:line="286" w:lineRule="auto"/>
        <w:tabs>
          <w:tab w:leader="none" w:pos="1488" w:val="left"/>
        </w:tabs>
        <w:numPr>
          <w:ilvl w:val="1"/>
          <w:numId w:val="136"/>
        </w:numPr>
        <w:rPr>
          <w:rFonts w:ascii="Arial" w:cs="Arial" w:eastAsia="Arial" w:hAnsi="Arial"/>
          <w:sz w:val="21"/>
          <w:szCs w:val="21"/>
          <w:color w:val="auto"/>
        </w:rPr>
      </w:pPr>
      <w:r>
        <w:rPr>
          <w:rFonts w:ascii="Arial" w:cs="Arial" w:eastAsia="Arial" w:hAnsi="Arial"/>
          <w:sz w:val="21"/>
          <w:szCs w:val="21"/>
          <w:color w:val="auto"/>
        </w:rPr>
        <w:t>Indebtedness representing deferred compensation to employees of Holdings and its Restricted Subsidiaries incurred in the ordinary course of business;</w:t>
      </w:r>
    </w:p>
    <w:p>
      <w:pPr>
        <w:spacing w:after="0" w:line="146" w:lineRule="exact"/>
        <w:rPr>
          <w:rFonts w:ascii="Arial" w:cs="Arial" w:eastAsia="Arial" w:hAnsi="Arial"/>
          <w:sz w:val="21"/>
          <w:szCs w:val="21"/>
          <w:color w:val="auto"/>
        </w:rPr>
      </w:pPr>
    </w:p>
    <w:p>
      <w:pPr>
        <w:jc w:val="both"/>
        <w:ind w:left="5" w:firstLine="940"/>
        <w:spacing w:after="0" w:line="260" w:lineRule="auto"/>
        <w:tabs>
          <w:tab w:leader="none" w:pos="1441" w:val="left"/>
        </w:tabs>
        <w:numPr>
          <w:ilvl w:val="1"/>
          <w:numId w:val="136"/>
        </w:numPr>
        <w:rPr>
          <w:rFonts w:ascii="Arial" w:cs="Arial" w:eastAsia="Arial" w:hAnsi="Arial"/>
          <w:sz w:val="21"/>
          <w:szCs w:val="21"/>
          <w:color w:val="auto"/>
        </w:rPr>
      </w:pPr>
      <w:r>
        <w:rPr>
          <w:rFonts w:ascii="Arial" w:cs="Arial" w:eastAsia="Arial" w:hAnsi="Arial"/>
          <w:sz w:val="21"/>
          <w:szCs w:val="21"/>
          <w:color w:val="auto"/>
        </w:rPr>
        <w:t>Indebtedness consisting of unsecured promissory notes issued by any Loan Party to current or former officers, directors and employees, their permitted transferees, or their respective estates, executors, trustees, administrators, heirs, legatees or distributees to finance the purchase or redemption of Equity Interests of Holdings (or any direct or indirect parent thereof or any Employee Holding Vehicle) permitted by Section 6.08(a);</w:t>
      </w:r>
    </w:p>
    <w:p>
      <w:pPr>
        <w:spacing w:after="0" w:line="174" w:lineRule="exact"/>
        <w:rPr>
          <w:rFonts w:ascii="Arial" w:cs="Arial" w:eastAsia="Arial" w:hAnsi="Arial"/>
          <w:sz w:val="21"/>
          <w:szCs w:val="21"/>
          <w:color w:val="auto"/>
        </w:rPr>
      </w:pPr>
    </w:p>
    <w:p>
      <w:pPr>
        <w:jc w:val="both"/>
        <w:ind w:left="5" w:firstLine="940"/>
        <w:spacing w:after="0" w:line="267" w:lineRule="auto"/>
        <w:tabs>
          <w:tab w:leader="none" w:pos="1604" w:val="left"/>
        </w:tabs>
        <w:numPr>
          <w:ilvl w:val="1"/>
          <w:numId w:val="136"/>
        </w:numPr>
        <w:rPr>
          <w:rFonts w:ascii="Arial" w:cs="Arial" w:eastAsia="Arial" w:hAnsi="Arial"/>
          <w:sz w:val="21"/>
          <w:szCs w:val="21"/>
          <w:color w:val="auto"/>
        </w:rPr>
      </w:pPr>
      <w:r>
        <w:rPr>
          <w:rFonts w:ascii="Arial" w:cs="Arial" w:eastAsia="Arial" w:hAnsi="Arial"/>
          <w:sz w:val="21"/>
          <w:szCs w:val="21"/>
          <w:color w:val="auto"/>
        </w:rPr>
        <w:t>Indebtedness constituting indemnification obligations or obligations in respect of purchase price or other similar adjustments incurred in a Permitted Acquisition, any other Investment or any Disposition, in each case permitted under this Agreement;</w:t>
      </w:r>
    </w:p>
    <w:p>
      <w:pPr>
        <w:spacing w:after="0" w:line="165" w:lineRule="exact"/>
        <w:rPr>
          <w:rFonts w:ascii="Arial" w:cs="Arial" w:eastAsia="Arial" w:hAnsi="Arial"/>
          <w:sz w:val="21"/>
          <w:szCs w:val="21"/>
          <w:color w:val="auto"/>
        </w:rPr>
      </w:pPr>
    </w:p>
    <w:p>
      <w:pPr>
        <w:ind w:left="5" w:firstLine="940"/>
        <w:spacing w:after="0" w:line="286" w:lineRule="auto"/>
        <w:tabs>
          <w:tab w:leader="none" w:pos="1545" w:val="left"/>
        </w:tabs>
        <w:numPr>
          <w:ilvl w:val="1"/>
          <w:numId w:val="136"/>
        </w:numPr>
        <w:rPr>
          <w:rFonts w:ascii="Arial" w:cs="Arial" w:eastAsia="Arial" w:hAnsi="Arial"/>
          <w:sz w:val="21"/>
          <w:szCs w:val="21"/>
          <w:color w:val="auto"/>
        </w:rPr>
      </w:pPr>
      <w:r>
        <w:rPr>
          <w:rFonts w:ascii="Arial" w:cs="Arial" w:eastAsia="Arial" w:hAnsi="Arial"/>
          <w:sz w:val="21"/>
          <w:szCs w:val="21"/>
          <w:color w:val="auto"/>
        </w:rPr>
        <w:t>Indebtedness consisting of obligations under deferred compensation or other similar arrangements incurred in connection with any Permitted Acquisition or other Investment permitted hereunder;</w:t>
      </w:r>
    </w:p>
    <w:p>
      <w:pPr>
        <w:spacing w:after="0" w:line="146" w:lineRule="exact"/>
        <w:rPr>
          <w:rFonts w:ascii="Arial" w:cs="Arial" w:eastAsia="Arial" w:hAnsi="Arial"/>
          <w:sz w:val="21"/>
          <w:szCs w:val="21"/>
          <w:color w:val="auto"/>
        </w:rPr>
      </w:pPr>
    </w:p>
    <w:p>
      <w:pPr>
        <w:ind w:left="5" w:firstLine="940"/>
        <w:spacing w:after="0" w:line="341" w:lineRule="auto"/>
        <w:tabs>
          <w:tab w:leader="none" w:pos="1533" w:val="left"/>
        </w:tabs>
        <w:numPr>
          <w:ilvl w:val="1"/>
          <w:numId w:val="136"/>
        </w:numPr>
        <w:rPr>
          <w:rFonts w:ascii="Arial" w:cs="Arial" w:eastAsia="Arial" w:hAnsi="Arial"/>
          <w:sz w:val="19"/>
          <w:szCs w:val="19"/>
          <w:color w:val="auto"/>
        </w:rPr>
      </w:pPr>
      <w:r>
        <w:rPr>
          <w:rFonts w:ascii="Arial" w:cs="Arial" w:eastAsia="Arial" w:hAnsi="Arial"/>
          <w:sz w:val="19"/>
          <w:szCs w:val="19"/>
          <w:color w:val="auto"/>
        </w:rPr>
        <w:t>Cash Management Obligations and other Indebtedness in respect of netting services, overdraft protections and similar arrangements, in each case, incurred in the ordinary course of business in connection with deposit accounts;</w:t>
      </w:r>
    </w:p>
    <w:p>
      <w:pPr>
        <w:spacing w:after="0" w:line="100" w:lineRule="exact"/>
        <w:rPr>
          <w:rFonts w:ascii="Arial" w:cs="Arial" w:eastAsia="Arial" w:hAnsi="Arial"/>
          <w:sz w:val="19"/>
          <w:szCs w:val="19"/>
          <w:color w:val="auto"/>
        </w:rPr>
      </w:pPr>
    </w:p>
    <w:p>
      <w:pPr>
        <w:jc w:val="both"/>
        <w:ind w:left="5" w:firstLine="940"/>
        <w:spacing w:after="0" w:line="257" w:lineRule="auto"/>
        <w:tabs>
          <w:tab w:leader="none" w:pos="1527" w:val="left"/>
        </w:tabs>
        <w:numPr>
          <w:ilvl w:val="1"/>
          <w:numId w:val="136"/>
        </w:numPr>
        <w:rPr>
          <w:rFonts w:ascii="Arial" w:cs="Arial" w:eastAsia="Arial" w:hAnsi="Arial"/>
          <w:sz w:val="21"/>
          <w:szCs w:val="21"/>
          <w:color w:val="auto"/>
        </w:rPr>
      </w:pPr>
      <w:r>
        <w:rPr>
          <w:rFonts w:ascii="Arial" w:cs="Arial" w:eastAsia="Arial" w:hAnsi="Arial"/>
          <w:sz w:val="21"/>
          <w:szCs w:val="21"/>
          <w:color w:val="auto"/>
        </w:rPr>
        <w:t xml:space="preserve">Indebtedness of Holdings and its Restricted Subsidiaries;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at the time of the incurrence thereof and after giving Pro Forma Effect thereto and the use of the proceeds thereof, (A) the aggregate principal amount of Indebtedness outstanding in reliance on this clause (xv) shall not exceed $50,000,000 and (B) the aggregate principal amount of Indebtedness outstanding in reliance on this clause (xv) in respect of which the primary obligor or a guarantor is a Restricted Subsidiary that is not a Loan Party shall not exceed $20,000,000;</w:t>
      </w:r>
    </w:p>
    <w:p>
      <w:pPr>
        <w:spacing w:after="0" w:line="176" w:lineRule="exact"/>
        <w:rPr>
          <w:rFonts w:ascii="Arial" w:cs="Arial" w:eastAsia="Arial" w:hAnsi="Arial"/>
          <w:sz w:val="21"/>
          <w:szCs w:val="21"/>
          <w:color w:val="auto"/>
        </w:rPr>
      </w:pPr>
    </w:p>
    <w:p>
      <w:pPr>
        <w:ind w:left="5" w:firstLine="940"/>
        <w:spacing w:after="0" w:line="286" w:lineRule="auto"/>
        <w:tabs>
          <w:tab w:leader="none" w:pos="1559" w:val="left"/>
        </w:tabs>
        <w:numPr>
          <w:ilvl w:val="1"/>
          <w:numId w:val="136"/>
        </w:numPr>
        <w:rPr>
          <w:rFonts w:ascii="Arial" w:cs="Arial" w:eastAsia="Arial" w:hAnsi="Arial"/>
          <w:sz w:val="21"/>
          <w:szCs w:val="21"/>
          <w:color w:val="auto"/>
        </w:rPr>
      </w:pPr>
      <w:r>
        <w:rPr>
          <w:rFonts w:ascii="Arial" w:cs="Arial" w:eastAsia="Arial" w:hAnsi="Arial"/>
          <w:sz w:val="21"/>
          <w:szCs w:val="21"/>
          <w:color w:val="auto"/>
        </w:rPr>
        <w:t>Indebtedness consisting of (A) the financing of insurance premiums or (B) take-or-pay obligations contained in supply arrangements, in each case in the ordinary course of business;</w:t>
      </w:r>
    </w:p>
    <w:p>
      <w:pPr>
        <w:sectPr>
          <w:pgSz w:w="11900" w:h="16838" w:orient="portrait"/>
          <w:cols w:equalWidth="0" w:num="1">
            <w:col w:w="10785"/>
          </w:cols>
          <w:pgMar w:left="875" w:top="131" w:right="239" w:bottom="0" w:gutter="0" w:footer="0" w:header="0"/>
        </w:sectPr>
      </w:pPr>
    </w:p>
    <w:bookmarkStart w:id="159" w:name="page160"/>
    <w:bookmarkEnd w:id="159"/>
    <w:p>
      <w:pPr>
        <w:jc w:val="both"/>
        <w:ind w:left="640" w:firstLine="940"/>
        <w:spacing w:after="0" w:line="296" w:lineRule="auto"/>
        <w:tabs>
          <w:tab w:leader="none" w:pos="2292" w:val="left"/>
        </w:tabs>
        <w:numPr>
          <w:ilvl w:val="1"/>
          <w:numId w:val="137"/>
        </w:numPr>
        <w:rPr>
          <w:rFonts w:ascii="Arial" w:cs="Arial" w:eastAsia="Arial" w:hAnsi="Arial"/>
          <w:sz w:val="19"/>
          <w:szCs w:val="19"/>
          <w:color w:val="auto"/>
        </w:rPr>
      </w:pPr>
      <w:r>
        <w:rPr>
          <w:rFonts w:ascii="Arial" w:cs="Arial" w:eastAsia="Arial" w:hAnsi="Arial"/>
          <w:sz w:val="19"/>
          <w:szCs w:val="19"/>
          <w:color w:val="auto"/>
        </w:rPr>
        <w:t>Indebtedness incurred by the Borrower or any of the Restricted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reimbursement-type obligations regarding workers compensation claims;</w:t>
      </w:r>
    </w:p>
    <w:p>
      <w:pPr>
        <w:spacing w:after="0" w:line="142" w:lineRule="exact"/>
        <w:rPr>
          <w:rFonts w:ascii="Arial" w:cs="Arial" w:eastAsia="Arial" w:hAnsi="Arial"/>
          <w:sz w:val="19"/>
          <w:szCs w:val="19"/>
          <w:color w:val="auto"/>
        </w:rPr>
      </w:pPr>
    </w:p>
    <w:p>
      <w:pPr>
        <w:jc w:val="both"/>
        <w:ind w:left="640" w:firstLine="940"/>
        <w:spacing w:after="0" w:line="260" w:lineRule="auto"/>
        <w:tabs>
          <w:tab w:leader="none" w:pos="2442" w:val="left"/>
        </w:tabs>
        <w:numPr>
          <w:ilvl w:val="1"/>
          <w:numId w:val="137"/>
        </w:numPr>
        <w:rPr>
          <w:rFonts w:ascii="Arial" w:cs="Arial" w:eastAsia="Arial" w:hAnsi="Arial"/>
          <w:sz w:val="21"/>
          <w:szCs w:val="21"/>
          <w:color w:val="auto"/>
        </w:rPr>
      </w:pPr>
      <w:r>
        <w:rPr>
          <w:rFonts w:ascii="Arial" w:cs="Arial" w:eastAsia="Arial" w:hAnsi="Arial"/>
          <w:sz w:val="21"/>
          <w:szCs w:val="21"/>
          <w:color w:val="auto"/>
        </w:rPr>
        <w:t>obligations in respect of performance, bid, appeal and surety bonds and performance and completion guarantees and similar obligations provided by Holdings or any of its Restricted Subsidiaries or obligations in respect of letters of credit, bank guarantees or similar instruments related thereto, in each case in the ordinary course of business or consistent with past practice;</w:t>
      </w:r>
    </w:p>
    <w:p>
      <w:pPr>
        <w:spacing w:after="0" w:line="174" w:lineRule="exact"/>
        <w:rPr>
          <w:rFonts w:ascii="Arial" w:cs="Arial" w:eastAsia="Arial" w:hAnsi="Arial"/>
          <w:sz w:val="21"/>
          <w:szCs w:val="21"/>
          <w:color w:val="auto"/>
        </w:rPr>
      </w:pPr>
    </w:p>
    <w:p>
      <w:pPr>
        <w:ind w:left="2160" w:hanging="580"/>
        <w:spacing w:after="0"/>
        <w:tabs>
          <w:tab w:leader="none" w:pos="2160" w:val="left"/>
        </w:tabs>
        <w:numPr>
          <w:ilvl w:val="1"/>
          <w:numId w:val="137"/>
        </w:numPr>
        <w:rPr>
          <w:rFonts w:ascii="Arial" w:cs="Arial" w:eastAsia="Arial" w:hAnsi="Arial"/>
          <w:sz w:val="21"/>
          <w:szCs w:val="21"/>
          <w:color w:val="auto"/>
        </w:rPr>
      </w:pPr>
      <w:r>
        <w:rPr>
          <w:rFonts w:ascii="Arial" w:cs="Arial" w:eastAsia="Arial" w:hAnsi="Arial"/>
          <w:sz w:val="21"/>
          <w:szCs w:val="21"/>
          <w:color w:val="auto"/>
        </w:rPr>
        <w:t>[reserved];</w:t>
      </w:r>
    </w:p>
    <w:p>
      <w:pPr>
        <w:spacing w:after="0" w:line="230" w:lineRule="exact"/>
        <w:rPr>
          <w:rFonts w:ascii="Arial" w:cs="Arial" w:eastAsia="Arial" w:hAnsi="Arial"/>
          <w:sz w:val="21"/>
          <w:szCs w:val="21"/>
          <w:color w:val="auto"/>
        </w:rPr>
      </w:pPr>
    </w:p>
    <w:p>
      <w:pPr>
        <w:ind w:left="2100" w:hanging="520"/>
        <w:spacing w:after="0"/>
        <w:tabs>
          <w:tab w:leader="none" w:pos="2100" w:val="left"/>
        </w:tabs>
        <w:numPr>
          <w:ilvl w:val="1"/>
          <w:numId w:val="137"/>
        </w:numPr>
        <w:rPr>
          <w:rFonts w:ascii="Arial" w:cs="Arial" w:eastAsia="Arial" w:hAnsi="Arial"/>
          <w:sz w:val="21"/>
          <w:szCs w:val="21"/>
          <w:color w:val="auto"/>
        </w:rPr>
      </w:pPr>
      <w:r>
        <w:rPr>
          <w:rFonts w:ascii="Arial" w:cs="Arial" w:eastAsia="Arial" w:hAnsi="Arial"/>
          <w:sz w:val="21"/>
          <w:szCs w:val="21"/>
          <w:color w:val="auto"/>
        </w:rPr>
        <w:t>Permitted Unsecured Refinancing Debt, and any Permitted Refinancing thereof;</w:t>
      </w:r>
    </w:p>
    <w:p>
      <w:pPr>
        <w:spacing w:after="0" w:line="230" w:lineRule="exact"/>
        <w:rPr>
          <w:rFonts w:ascii="Arial" w:cs="Arial" w:eastAsia="Arial" w:hAnsi="Arial"/>
          <w:sz w:val="21"/>
          <w:szCs w:val="21"/>
          <w:color w:val="auto"/>
        </w:rPr>
      </w:pPr>
    </w:p>
    <w:p>
      <w:pPr>
        <w:ind w:left="640" w:firstLine="940"/>
        <w:spacing w:after="0" w:line="286" w:lineRule="auto"/>
        <w:tabs>
          <w:tab w:leader="none" w:pos="2247" w:val="left"/>
        </w:tabs>
        <w:numPr>
          <w:ilvl w:val="1"/>
          <w:numId w:val="137"/>
        </w:numPr>
        <w:rPr>
          <w:rFonts w:ascii="Arial" w:cs="Arial" w:eastAsia="Arial" w:hAnsi="Arial"/>
          <w:sz w:val="21"/>
          <w:szCs w:val="21"/>
          <w:color w:val="auto"/>
        </w:rPr>
      </w:pPr>
      <w:r>
        <w:rPr>
          <w:rFonts w:ascii="Arial" w:cs="Arial" w:eastAsia="Arial" w:hAnsi="Arial"/>
          <w:sz w:val="21"/>
          <w:szCs w:val="21"/>
          <w:color w:val="auto"/>
        </w:rPr>
        <w:t>Permitted First Priority Refinancing Debt and Permitted Junior Lien Refinancing Debt, and any Permitted Refinancing thereof;</w:t>
      </w:r>
    </w:p>
    <w:p>
      <w:pPr>
        <w:spacing w:after="0" w:line="146" w:lineRule="exact"/>
        <w:rPr>
          <w:rFonts w:ascii="Arial" w:cs="Arial" w:eastAsia="Arial" w:hAnsi="Arial"/>
          <w:sz w:val="21"/>
          <w:szCs w:val="21"/>
          <w:color w:val="auto"/>
        </w:rPr>
      </w:pPr>
    </w:p>
    <w:p>
      <w:pPr>
        <w:jc w:val="both"/>
        <w:ind w:left="640" w:firstLine="940"/>
        <w:spacing w:after="0" w:line="276" w:lineRule="auto"/>
        <w:tabs>
          <w:tab w:leader="none" w:pos="2292" w:val="left"/>
        </w:tabs>
        <w:numPr>
          <w:ilvl w:val="1"/>
          <w:numId w:val="137"/>
        </w:numPr>
        <w:rPr>
          <w:rFonts w:ascii="Arial" w:cs="Arial" w:eastAsia="Arial" w:hAnsi="Arial"/>
          <w:sz w:val="19"/>
          <w:szCs w:val="19"/>
          <w:color w:val="auto"/>
        </w:rPr>
      </w:pPr>
      <w:r>
        <w:rPr>
          <w:rFonts w:ascii="Arial" w:cs="Arial" w:eastAsia="Arial" w:hAnsi="Arial"/>
          <w:sz w:val="19"/>
          <w:szCs w:val="19"/>
          <w:color w:val="auto"/>
        </w:rPr>
        <w:t>Indebtedness of the Borrower in respect of one or more series of senior unsecured notes or senior secured notes that will be secured by the Collateral on a pari passu or junior basis with the Secured Obligations, that are issued or made in lieu of Incremental Revolving Facilities and/or Incremental Term Facilities pursuant to an indenture or a note purchase agreement or otherwise and any extensions, renewals, refinancings and replacements thereof (the “</w:t>
      </w:r>
      <w:r>
        <w:rPr>
          <w:rFonts w:ascii="Arial" w:cs="Arial" w:eastAsia="Arial" w:hAnsi="Arial"/>
          <w:sz w:val="19"/>
          <w:szCs w:val="19"/>
          <w:b w:val="1"/>
          <w:bCs w:val="1"/>
          <w:color w:val="auto"/>
        </w:rPr>
        <w:t>Additional Notes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 such Additional Notes are not scheduled to mature prior to the date that is 91 days after the Latest Maturity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Date then in effect and such Additional Notes shall not have a Weighted Average Life to Maturity shorter than the Weighted Average Life to Maturity of the Term Loans then in effect, (ii) such Additional Notes shall not have any mandatory prepayment provisions (other than provisions related to customary asset sale and change of control offers) that could result in prepayments of such Additional Notes prior to the Term Loans then in effect, (iii) such Additional Notes have terms and conditions (other than pricing, optional prepayment, redemption premiums and subordination terms), taken as a whole, that are substantially identical to or no more favorable to the investors providing such Additional Notes than the terms and conditions of this Agreement (except for covenants or other provisions applicable only to periods after the Latest Maturity Date), (iv) the aggregate principal amount of all Additional Notes issued pursuant to this paragraph (xxii) shall not exceed (x) the Incremental Cap less (y) the amount of all Incremental Revolving Facilities and Incremental Term Facilities and the aggregate principal amount of all secured Indebtedness incurred after the Restatement Effective Date pursuant to Section 6.01(a)(viii), and such Additional Notes shall reduce availability under the Incremental Cap on a dollar-for-dollar basis, (v) such Additional Notes shall not be Guaranteed by any Person other than a Loan Party, (vi) in the case of Additional Notes that are secured, the obligations in respect thereof shall not be secured by any Lien on any asset of the Holdings or any Restricted Subsidiary other than any asset constituting Collateral, (vii) at the time of such incurrence (except in the case of any extension, renewal, refinancing or replacement thereof that does not exceed the principal amount (or accreted value, if applicable) of the Indebtedness so extended, renewed, refinanced or replaced) and immediately after giving effect thereto, the Borrower shall be in compliance with the Financial Performance Covenants on a Pro Forma Basis as of the end of the most recent Test Period for which financial statements are available, (viii) no Default or Event of Default shall have occurred and be continuing or would exist immediately after giving effect to such incurrence, (ix) if such Additional Notes are secured, the security agreements relating to such Additional Notes shall be substantially the same as the Security Documents (with such differences as are reasonably satisfactory to the Administrative Agent) and (x) if such Additional Notes are secured, such Additional Notes and the trustee or other representative under the indenture or other agreement governing such Additional Notes shall be subject to the First Lien Intercreditor Agreement or Junior Lien Intercreditor Agreement,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Additional Notes are issued pursuant to an indenture or other agreement that has not previously been made subject thereto, then Holdings, the Borrower, the Subsidiary Loan Parties, the Administrative Agent and the Senior Representative for such Additional Notes shall have executed and delivered the First Lien Intercreditor Agreement or the Junior Lien Intercreditor Agreement, as applicable;</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2280" w:hanging="700"/>
        <w:spacing w:after="0"/>
        <w:tabs>
          <w:tab w:leader="none" w:pos="228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Trading Debt incurred in the ordinary course of business or in a manner consistent with past practices; and</w:t>
      </w:r>
    </w:p>
    <w:p>
      <w:pPr>
        <w:spacing w:after="0" w:line="253" w:lineRule="exact"/>
        <w:rPr>
          <w:rFonts w:ascii="Arial" w:cs="Arial" w:eastAsia="Arial" w:hAnsi="Arial"/>
          <w:sz w:val="19"/>
          <w:szCs w:val="19"/>
          <w:color w:val="auto"/>
        </w:rPr>
      </w:pPr>
    </w:p>
    <w:p>
      <w:pPr>
        <w:ind w:left="640" w:firstLine="940"/>
        <w:spacing w:after="0" w:line="312" w:lineRule="auto"/>
        <w:tabs>
          <w:tab w:leader="none" w:pos="2286" w:val="left"/>
        </w:tabs>
        <w:numPr>
          <w:ilvl w:val="1"/>
          <w:numId w:val="137"/>
        </w:numPr>
        <w:rPr>
          <w:rFonts w:ascii="Arial" w:cs="Arial" w:eastAsia="Arial" w:hAnsi="Arial"/>
          <w:sz w:val="20"/>
          <w:szCs w:val="20"/>
          <w:color w:val="auto"/>
        </w:rPr>
      </w:pPr>
      <w:r>
        <w:rPr>
          <w:rFonts w:ascii="Arial" w:cs="Arial" w:eastAsia="Arial" w:hAnsi="Arial"/>
          <w:sz w:val="20"/>
          <w:szCs w:val="20"/>
          <w:color w:val="auto"/>
        </w:rPr>
        <w:t>all premiums (if any), interest (including post-petition interest and capitalized or paid in kind interest), fees, expenses, charges and additional or contingent interest on obligations described in clauses (i) through (xxiii) above.</w:t>
      </w:r>
    </w:p>
    <w:p>
      <w:pPr>
        <w:spacing w:after="0" w:line="123" w:lineRule="exact"/>
        <w:rPr>
          <w:rFonts w:ascii="Arial" w:cs="Arial" w:eastAsia="Arial" w:hAnsi="Arial"/>
          <w:sz w:val="20"/>
          <w:szCs w:val="20"/>
          <w:color w:val="auto"/>
        </w:rPr>
      </w:pPr>
    </w:p>
    <w:p>
      <w:pPr>
        <w:ind w:left="1240" w:hanging="421"/>
        <w:spacing w:after="0"/>
        <w:tabs>
          <w:tab w:leader="none" w:pos="124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[Reserved].</w:t>
      </w:r>
    </w:p>
    <w:p>
      <w:pPr>
        <w:spacing w:after="0" w:line="230" w:lineRule="exact"/>
        <w:rPr>
          <w:rFonts w:ascii="Arial" w:cs="Arial" w:eastAsia="Arial" w:hAnsi="Arial"/>
          <w:sz w:val="21"/>
          <w:szCs w:val="21"/>
          <w:color w:val="auto"/>
        </w:rPr>
      </w:pPr>
    </w:p>
    <w:p>
      <w:pPr>
        <w:jc w:val="both"/>
        <w:ind w:firstLine="819"/>
        <w:spacing w:after="0" w:line="260" w:lineRule="auto"/>
        <w:tabs>
          <w:tab w:leader="none" w:pos="1287" w:val="left"/>
        </w:tabs>
        <w:numPr>
          <w:ilvl w:val="0"/>
          <w:numId w:val="138"/>
        </w:numPr>
        <w:rPr>
          <w:rFonts w:ascii="Arial" w:cs="Arial" w:eastAsia="Arial" w:hAnsi="Arial"/>
          <w:sz w:val="21"/>
          <w:szCs w:val="21"/>
          <w:color w:val="auto"/>
        </w:rPr>
      </w:pPr>
      <w:r>
        <w:rPr>
          <w:rFonts w:ascii="Arial" w:cs="Arial" w:eastAsia="Arial" w:hAnsi="Arial"/>
          <w:sz w:val="21"/>
          <w:szCs w:val="21"/>
          <w:color w:val="auto"/>
        </w:rPr>
        <w:t>Neither Holdings nor the Borrower will, nor will they permit any Restricted Subsidiary to, issue any preferred Equity Interests or any Disqualified Equity Interests, except (A) in the case of Holdings, preferred Equity Interests that are Qualified Equity Interests and (B) in the case of the Borrower or any Restricted Subsidiary, preferred Equity Interests issued to and held by Holdings, the Borrower or any Restricted Subsidiary.</w:t>
      </w:r>
    </w:p>
    <w:p>
      <w:pPr>
        <w:spacing w:after="0" w:line="174" w:lineRule="exact"/>
        <w:rPr>
          <w:sz w:val="20"/>
          <w:szCs w:val="20"/>
          <w:color w:val="auto"/>
        </w:rPr>
      </w:pPr>
    </w:p>
    <w:p>
      <w:pPr>
        <w:ind w:firstLine="630"/>
        <w:spacing w:after="0" w:line="269"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i w:val="1"/>
          <w:iCs w:val="1"/>
          <w:color w:val="auto"/>
        </w:rPr>
        <w:t>Liens</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Neither Holdings nor the Borrower will, nor will they permit any Restricted Subsidiary to, create, incur, assume or</w:t>
      </w:r>
      <w:r>
        <w:rPr>
          <w:rFonts w:ascii="Arial" w:cs="Arial" w:eastAsia="Arial" w:hAnsi="Arial"/>
          <w:sz w:val="21"/>
          <w:szCs w:val="21"/>
          <w:color w:val="auto"/>
        </w:rPr>
        <w:t xml:space="preserve"> </w:t>
      </w:r>
      <w:r>
        <w:rPr>
          <w:rFonts w:ascii="Arial" w:cs="Arial" w:eastAsia="Arial" w:hAnsi="Arial"/>
          <w:sz w:val="19"/>
          <w:szCs w:val="19"/>
          <w:color w:val="auto"/>
        </w:rPr>
        <w:t>permit to exist any Lien on any property or asset now owned or hereafter acquired by it, except:</w:t>
      </w:r>
    </w:p>
    <w:p>
      <w:pPr>
        <w:spacing w:after="0" w:line="181" w:lineRule="exact"/>
        <w:rPr>
          <w:sz w:val="20"/>
          <w:szCs w:val="20"/>
          <w:color w:val="auto"/>
        </w:rPr>
      </w:pPr>
    </w:p>
    <w:p>
      <w:pPr>
        <w:ind w:left="1580"/>
        <w:spacing w:after="0"/>
        <w:tabs>
          <w:tab w:leader="none" w:pos="1940" w:val="left"/>
        </w:tabs>
        <w:rPr>
          <w:sz w:val="20"/>
          <w:szCs w:val="20"/>
          <w:color w:val="auto"/>
        </w:rPr>
      </w:pPr>
      <w:r>
        <w:rPr>
          <w:rFonts w:ascii="Arial" w:cs="Arial" w:eastAsia="Arial" w:hAnsi="Arial"/>
          <w:sz w:val="21"/>
          <w:szCs w:val="21"/>
          <w:color w:val="auto"/>
        </w:rPr>
        <w:t>(i)</w:t>
      </w:r>
      <w:r>
        <w:rPr>
          <w:sz w:val="20"/>
          <w:szCs w:val="20"/>
          <w:color w:val="auto"/>
        </w:rPr>
        <w:tab/>
      </w:r>
      <w:r>
        <w:rPr>
          <w:rFonts w:ascii="Arial" w:cs="Arial" w:eastAsia="Arial" w:hAnsi="Arial"/>
          <w:sz w:val="18"/>
          <w:szCs w:val="18"/>
          <w:color w:val="auto"/>
        </w:rPr>
        <w:t>Liens created under the Loan Documents;</w:t>
      </w:r>
    </w:p>
    <w:p>
      <w:pPr>
        <w:sectPr>
          <w:pgSz w:w="11900" w:h="16838" w:orient="portrait"/>
          <w:cols w:equalWidth="0" w:num="1">
            <w:col w:w="11420"/>
          </w:cols>
          <w:pgMar w:left="240" w:top="131" w:right="239" w:bottom="0" w:gutter="0" w:footer="0" w:header="0"/>
        </w:sectPr>
      </w:pPr>
    </w:p>
    <w:bookmarkStart w:id="160" w:name="page161"/>
    <w:bookmarkEnd w:id="160"/>
    <w:p>
      <w:pPr>
        <w:ind w:left="820" w:hanging="440"/>
        <w:spacing w:after="0"/>
        <w:tabs>
          <w:tab w:leader="none" w:pos="82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Permitted Encumbrances;</w:t>
      </w:r>
    </w:p>
    <w:p>
      <w:pPr>
        <w:spacing w:after="0" w:line="230" w:lineRule="exact"/>
        <w:rPr>
          <w:rFonts w:ascii="Arial" w:cs="Arial" w:eastAsia="Arial" w:hAnsi="Arial"/>
          <w:sz w:val="21"/>
          <w:szCs w:val="21"/>
          <w:color w:val="auto"/>
        </w:rPr>
      </w:pPr>
    </w:p>
    <w:p>
      <w:pPr>
        <w:jc w:val="both"/>
        <w:ind w:left="-560" w:firstLine="940"/>
        <w:spacing w:after="0" w:line="255" w:lineRule="auto"/>
        <w:tabs>
          <w:tab w:leader="none" w:pos="100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Liens existing on the Restatement Effective Date and set forth on Schedule 6.02 and any modifications, replacements, renewals or extensions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such modified, replacement, renewal or extension Lien does not extend to any additional property other than (x) after-acquired property that is affixed or incorporated into the property covered by such Lien and (y) proceeds and products thereof, and (B) the obligations secured or benefited by such modified, replacement, renewal or extension Lien are, if Indebtedness, permitted by Section 6.01 or, if not Indebtedness, not prohibited hereunder;</w:t>
      </w:r>
    </w:p>
    <w:p>
      <w:pPr>
        <w:spacing w:after="0" w:line="179" w:lineRule="exact"/>
        <w:rPr>
          <w:rFonts w:ascii="Arial" w:cs="Arial" w:eastAsia="Arial" w:hAnsi="Arial"/>
          <w:sz w:val="21"/>
          <w:szCs w:val="21"/>
          <w:color w:val="auto"/>
        </w:rPr>
      </w:pPr>
    </w:p>
    <w:p>
      <w:pPr>
        <w:jc w:val="both"/>
        <w:ind w:left="-560" w:firstLine="940"/>
        <w:spacing w:after="0" w:line="285" w:lineRule="auto"/>
        <w:tabs>
          <w:tab w:leader="none" w:pos="109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Section 6.01(a)(v);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accessions to such property and the proceeds and the products thereof and (C) with respect to Capital Lease Obligations, such Liens do not at any time extend to or cover any assets (except for accessions to or proceeds of such assets) other than the assets subject to such Capital Lease Obligations;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individual financings of equipment provided by one lender may be cross collateralized to other financings of equipment provided by such lender;</w:t>
      </w:r>
    </w:p>
    <w:p>
      <w:pPr>
        <w:spacing w:after="0" w:line="152" w:lineRule="exact"/>
        <w:rPr>
          <w:rFonts w:ascii="Arial" w:cs="Arial" w:eastAsia="Arial" w:hAnsi="Arial"/>
          <w:sz w:val="19"/>
          <w:szCs w:val="19"/>
          <w:color w:val="auto"/>
        </w:rPr>
      </w:pPr>
    </w:p>
    <w:p>
      <w:pPr>
        <w:ind w:left="-560" w:firstLine="940"/>
        <w:spacing w:after="0" w:line="312" w:lineRule="auto"/>
        <w:tabs>
          <w:tab w:leader="none" w:pos="818" w:val="left"/>
        </w:tabs>
        <w:numPr>
          <w:ilvl w:val="0"/>
          <w:numId w:val="139"/>
        </w:numPr>
        <w:rPr>
          <w:rFonts w:ascii="Arial" w:cs="Arial" w:eastAsia="Arial" w:hAnsi="Arial"/>
          <w:sz w:val="20"/>
          <w:szCs w:val="20"/>
          <w:color w:val="auto"/>
        </w:rPr>
      </w:pPr>
      <w:r>
        <w:rPr>
          <w:rFonts w:ascii="Arial" w:cs="Arial" w:eastAsia="Arial" w:hAnsi="Arial"/>
          <w:sz w:val="20"/>
          <w:szCs w:val="20"/>
          <w:color w:val="auto"/>
        </w:rPr>
        <w:t>leases, licenses, subleases or sublicenses granted to others that do not (A) interfere in any material respect with the business of Holdings and its Restricted Subsidiaries, taken as a whole, or (B) secure any Indebtedness;</w:t>
      </w:r>
    </w:p>
    <w:p>
      <w:pPr>
        <w:spacing w:after="0" w:line="123" w:lineRule="exact"/>
        <w:rPr>
          <w:rFonts w:ascii="Arial" w:cs="Arial" w:eastAsia="Arial" w:hAnsi="Arial"/>
          <w:sz w:val="20"/>
          <w:szCs w:val="20"/>
          <w:color w:val="auto"/>
        </w:rPr>
      </w:pPr>
    </w:p>
    <w:p>
      <w:pPr>
        <w:ind w:left="-560" w:firstLine="940"/>
        <w:spacing w:after="0" w:line="286" w:lineRule="auto"/>
        <w:tabs>
          <w:tab w:leader="none" w:pos="942" w:val="left"/>
        </w:tabs>
        <w:numPr>
          <w:ilvl w:val="0"/>
          <w:numId w:val="139"/>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to secure payment of customs duties in connection with the importation of goods;</w:t>
      </w:r>
    </w:p>
    <w:p>
      <w:pPr>
        <w:spacing w:after="0" w:line="146" w:lineRule="exact"/>
        <w:rPr>
          <w:rFonts w:ascii="Arial" w:cs="Arial" w:eastAsia="Arial" w:hAnsi="Arial"/>
          <w:sz w:val="21"/>
          <w:szCs w:val="21"/>
          <w:color w:val="auto"/>
        </w:rPr>
      </w:pPr>
    </w:p>
    <w:p>
      <w:pPr>
        <w:jc w:val="both"/>
        <w:ind w:left="-560" w:firstLine="940"/>
        <w:spacing w:after="0" w:line="267" w:lineRule="auto"/>
        <w:tabs>
          <w:tab w:leader="none" w:pos="94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w:t>
      </w:r>
    </w:p>
    <w:p>
      <w:pPr>
        <w:spacing w:after="0" w:line="165" w:lineRule="exact"/>
        <w:rPr>
          <w:rFonts w:ascii="Arial" w:cs="Arial" w:eastAsia="Arial" w:hAnsi="Arial"/>
          <w:sz w:val="21"/>
          <w:szCs w:val="21"/>
          <w:color w:val="auto"/>
        </w:rPr>
      </w:pPr>
    </w:p>
    <w:p>
      <w:pPr>
        <w:jc w:val="both"/>
        <w:ind w:left="-560" w:firstLine="940"/>
        <w:spacing w:after="0" w:line="287" w:lineRule="auto"/>
        <w:tabs>
          <w:tab w:leader="none" w:pos="1058" w:val="left"/>
        </w:tabs>
        <w:numPr>
          <w:ilvl w:val="0"/>
          <w:numId w:val="139"/>
        </w:numPr>
        <w:rPr>
          <w:rFonts w:ascii="Arial" w:cs="Arial" w:eastAsia="Arial" w:hAnsi="Arial"/>
          <w:sz w:val="19"/>
          <w:szCs w:val="19"/>
          <w:color w:val="auto"/>
        </w:rPr>
      </w:pPr>
      <w:r>
        <w:rPr>
          <w:rFonts w:ascii="Arial" w:cs="Arial" w:eastAsia="Arial" w:hAnsi="Arial"/>
          <w:sz w:val="19"/>
          <w:szCs w:val="19"/>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51" w:lineRule="exact"/>
        <w:rPr>
          <w:rFonts w:ascii="Arial" w:cs="Arial" w:eastAsia="Arial" w:hAnsi="Arial"/>
          <w:sz w:val="19"/>
          <w:szCs w:val="19"/>
          <w:color w:val="auto"/>
        </w:rPr>
      </w:pPr>
    </w:p>
    <w:p>
      <w:pPr>
        <w:jc w:val="both"/>
        <w:ind w:left="-560" w:firstLine="940"/>
        <w:spacing w:after="0" w:line="267" w:lineRule="auto"/>
        <w:tabs>
          <w:tab w:leader="none" w:pos="87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Liens on property of any Restricted Subsidiary that is not a Loan Party or a Regulated Subsidiary, which Liens secure Indebtedness of such Restricted Subsidiary permitted under Section 6.01 or other obligations of such Restricted Subsidiary that are not prohibited hereunder;</w:t>
      </w:r>
    </w:p>
    <w:p>
      <w:pPr>
        <w:spacing w:after="0" w:line="165" w:lineRule="exact"/>
        <w:rPr>
          <w:rFonts w:ascii="Arial" w:cs="Arial" w:eastAsia="Arial" w:hAnsi="Arial"/>
          <w:sz w:val="21"/>
          <w:szCs w:val="21"/>
          <w:color w:val="auto"/>
        </w:rPr>
      </w:pPr>
    </w:p>
    <w:p>
      <w:pPr>
        <w:ind w:left="-560" w:firstLine="940"/>
        <w:spacing w:after="0" w:line="286" w:lineRule="auto"/>
        <w:tabs>
          <w:tab w:leader="none" w:pos="831" w:val="left"/>
        </w:tabs>
        <w:numPr>
          <w:ilvl w:val="0"/>
          <w:numId w:val="139"/>
        </w:numPr>
        <w:rPr>
          <w:rFonts w:ascii="Arial" w:cs="Arial" w:eastAsia="Arial" w:hAnsi="Arial"/>
          <w:sz w:val="21"/>
          <w:szCs w:val="21"/>
          <w:color w:val="auto"/>
        </w:rPr>
      </w:pPr>
      <w:r>
        <w:rPr>
          <w:rFonts w:ascii="Arial" w:cs="Arial" w:eastAsia="Arial" w:hAnsi="Arial"/>
          <w:sz w:val="21"/>
          <w:szCs w:val="21"/>
          <w:color w:val="auto"/>
        </w:rPr>
        <w:t>Liens granted by a Restricted Subsidiary that is not a Loan Party in favor of any Loan Party and Liens granted by a Loan Party in favor of any other Loan Party;</w:t>
      </w:r>
    </w:p>
    <w:p>
      <w:pPr>
        <w:spacing w:after="0" w:line="146" w:lineRule="exact"/>
        <w:rPr>
          <w:rFonts w:ascii="Arial" w:cs="Arial" w:eastAsia="Arial" w:hAnsi="Arial"/>
          <w:sz w:val="21"/>
          <w:szCs w:val="21"/>
          <w:color w:val="auto"/>
        </w:rPr>
      </w:pPr>
    </w:p>
    <w:p>
      <w:pPr>
        <w:jc w:val="both"/>
        <w:ind w:left="-560" w:firstLine="940"/>
        <w:spacing w:after="0" w:line="266" w:lineRule="auto"/>
        <w:tabs>
          <w:tab w:leader="none" w:pos="915"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Liens existing on property at the time of its acquisition or existing on the property of any Person at the time such Person becomes a Restricted Subsidiary, in each case after the Restatement Effective Date (other than Liens on the Equity Interests of any Person that becomes a 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such Lien was not created in contemplation of or in connection with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 and (C) if the obligations secured thereby constitute Indebtedness, such Indebtedness is permitted under Section 6.01(a)(v) or (vii);</w:t>
      </w:r>
    </w:p>
    <w:p>
      <w:pPr>
        <w:spacing w:after="0" w:line="167" w:lineRule="exact"/>
        <w:rPr>
          <w:rFonts w:ascii="Arial" w:cs="Arial" w:eastAsia="Arial" w:hAnsi="Arial"/>
          <w:sz w:val="20"/>
          <w:szCs w:val="20"/>
          <w:color w:val="auto"/>
        </w:rPr>
      </w:pPr>
    </w:p>
    <w:p>
      <w:pPr>
        <w:ind w:left="-560" w:firstLine="940"/>
        <w:spacing w:after="0" w:line="286" w:lineRule="auto"/>
        <w:tabs>
          <w:tab w:leader="none" w:pos="94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any interest or title of a lessor under leases (other than leases constituting Capital Lease Obligations) entered into by Holdings or any Restricted Subsidiaries in the ordinary course of business;</w:t>
      </w:r>
    </w:p>
    <w:p>
      <w:pPr>
        <w:spacing w:after="0" w:line="146" w:lineRule="exact"/>
        <w:rPr>
          <w:rFonts w:ascii="Arial" w:cs="Arial" w:eastAsia="Arial" w:hAnsi="Arial"/>
          <w:sz w:val="21"/>
          <w:szCs w:val="21"/>
          <w:color w:val="auto"/>
        </w:rPr>
      </w:pPr>
    </w:p>
    <w:p>
      <w:pPr>
        <w:ind w:left="-560" w:firstLine="940"/>
        <w:spacing w:after="0" w:line="286" w:lineRule="auto"/>
        <w:tabs>
          <w:tab w:leader="none" w:pos="98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Liens arising out of conditional sale, title retention, consignment or similar arrangements for sale of goods by Holdings or any Restricted Subsidiaries in the ordinary course of business;</w:t>
      </w:r>
    </w:p>
    <w:p>
      <w:pPr>
        <w:spacing w:after="0" w:line="146" w:lineRule="exact"/>
        <w:rPr>
          <w:rFonts w:ascii="Arial" w:cs="Arial" w:eastAsia="Arial" w:hAnsi="Arial"/>
          <w:sz w:val="21"/>
          <w:szCs w:val="21"/>
          <w:color w:val="auto"/>
        </w:rPr>
      </w:pPr>
    </w:p>
    <w:p>
      <w:pPr>
        <w:ind w:left="-560" w:firstLine="940"/>
        <w:spacing w:after="0" w:line="286" w:lineRule="auto"/>
        <w:tabs>
          <w:tab w:leader="none" w:pos="1099" w:val="left"/>
        </w:tabs>
        <w:numPr>
          <w:ilvl w:val="0"/>
          <w:numId w:val="139"/>
        </w:numPr>
        <w:rPr>
          <w:rFonts w:ascii="Arial" w:cs="Arial" w:eastAsia="Arial" w:hAnsi="Arial"/>
          <w:sz w:val="21"/>
          <w:szCs w:val="21"/>
          <w:color w:val="auto"/>
        </w:rPr>
      </w:pPr>
      <w:r>
        <w:rPr>
          <w:rFonts w:ascii="Arial" w:cs="Arial" w:eastAsia="Arial" w:hAnsi="Arial"/>
          <w:sz w:val="21"/>
          <w:szCs w:val="21"/>
          <w:color w:val="auto"/>
        </w:rPr>
        <w:t>Liens deemed to exist in connection with Investments in repurchase agreements under clause (e) of the definition of the term “Permitted Investments”;</w:t>
      </w:r>
    </w:p>
    <w:p>
      <w:pPr>
        <w:spacing w:after="0" w:line="146" w:lineRule="exact"/>
        <w:rPr>
          <w:rFonts w:ascii="Arial" w:cs="Arial" w:eastAsia="Arial" w:hAnsi="Arial"/>
          <w:sz w:val="21"/>
          <w:szCs w:val="21"/>
          <w:color w:val="auto"/>
        </w:rPr>
      </w:pPr>
    </w:p>
    <w:p>
      <w:pPr>
        <w:jc w:val="both"/>
        <w:ind w:left="-560" w:firstLine="940"/>
        <w:spacing w:after="0" w:line="296" w:lineRule="auto"/>
        <w:tabs>
          <w:tab w:leader="none" w:pos="94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Liens incurred in the ordinary course of business (A) encumbering reasonable customary initial deposits and margin deposits and similar Liens attaching to commodity trading accounts or other brokerage accounts, in each case not for speculative purposes or (B) in favor of clearing agencies, clearing firms, settlement banks and similar entities (acting in their capacities as such) involved in the clearance and settlement of transactions in, and custody of, financial assets;</w:t>
      </w:r>
    </w:p>
    <w:p>
      <w:pPr>
        <w:sectPr>
          <w:pgSz w:w="11900" w:h="16838" w:orient="portrait"/>
          <w:cols w:equalWidth="0" w:num="1">
            <w:col w:w="10220"/>
          </w:cols>
          <w:pgMar w:left="1440" w:top="132" w:right="239" w:bottom="194" w:gutter="0" w:footer="0" w:header="0"/>
        </w:sectPr>
      </w:pPr>
    </w:p>
    <w:bookmarkStart w:id="161" w:name="page162"/>
    <w:bookmarkEnd w:id="161"/>
    <w:p>
      <w:pPr>
        <w:jc w:val="both"/>
        <w:ind w:left="640" w:firstLine="940"/>
        <w:spacing w:after="0" w:line="257" w:lineRule="auto"/>
        <w:tabs>
          <w:tab w:leader="none" w:pos="2194" w:val="left"/>
        </w:tabs>
        <w:numPr>
          <w:ilvl w:val="0"/>
          <w:numId w:val="140"/>
        </w:numPr>
        <w:rPr>
          <w:rFonts w:ascii="Arial" w:cs="Arial" w:eastAsia="Arial" w:hAnsi="Arial"/>
          <w:sz w:val="21"/>
          <w:szCs w:val="21"/>
          <w:color w:val="auto"/>
        </w:rPr>
      </w:pPr>
      <w:r>
        <w:rPr>
          <w:rFonts w:ascii="Arial" w:cs="Arial" w:eastAsia="Arial" w:hAnsi="Arial"/>
          <w:sz w:val="21"/>
          <w:szCs w:val="21"/>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Holdings and its Restricted Subsidiaries or (C) relating to purchase orders and other agreements entered into with customers of the Holdings or any Restricted Subsidiary in the ordinary course of business;</w:t>
      </w:r>
    </w:p>
    <w:p>
      <w:pPr>
        <w:spacing w:after="0" w:line="176" w:lineRule="exact"/>
        <w:rPr>
          <w:rFonts w:ascii="Arial" w:cs="Arial" w:eastAsia="Arial" w:hAnsi="Arial"/>
          <w:sz w:val="21"/>
          <w:szCs w:val="21"/>
          <w:color w:val="auto"/>
        </w:rPr>
      </w:pPr>
    </w:p>
    <w:p>
      <w:pPr>
        <w:ind w:left="640" w:firstLine="940"/>
        <w:spacing w:after="0" w:line="286" w:lineRule="auto"/>
        <w:tabs>
          <w:tab w:leader="none" w:pos="2331" w:val="left"/>
        </w:tabs>
        <w:numPr>
          <w:ilvl w:val="0"/>
          <w:numId w:val="140"/>
        </w:numPr>
        <w:rPr>
          <w:rFonts w:ascii="Arial" w:cs="Arial" w:eastAsia="Arial" w:hAnsi="Arial"/>
          <w:sz w:val="21"/>
          <w:szCs w:val="21"/>
          <w:color w:val="auto"/>
        </w:rPr>
      </w:pPr>
      <w:r>
        <w:rPr>
          <w:rFonts w:ascii="Arial" w:cs="Arial" w:eastAsia="Arial" w:hAnsi="Arial"/>
          <w:sz w:val="21"/>
          <w:szCs w:val="21"/>
          <w:color w:val="auto"/>
        </w:rPr>
        <w:t>ground leases in respect of real property on which facilities owned or leased by Holdings or any of the Restricted Subsidiaries are located;</w:t>
      </w:r>
    </w:p>
    <w:p>
      <w:pPr>
        <w:spacing w:after="0" w:line="146" w:lineRule="exact"/>
        <w:rPr>
          <w:rFonts w:ascii="Arial" w:cs="Arial" w:eastAsia="Arial" w:hAnsi="Arial"/>
          <w:sz w:val="21"/>
          <w:szCs w:val="21"/>
          <w:color w:val="auto"/>
        </w:rPr>
      </w:pPr>
    </w:p>
    <w:p>
      <w:pPr>
        <w:ind w:left="2340" w:hanging="760"/>
        <w:spacing w:after="0"/>
        <w:tabs>
          <w:tab w:leader="none" w:pos="23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Liens on insurance policies and the proceeds thereof securing the financing of the premiums with respect</w:t>
      </w:r>
    </w:p>
    <w:p>
      <w:pPr>
        <w:spacing w:after="0" w:line="48"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thereto;</w:t>
      </w:r>
    </w:p>
    <w:p>
      <w:pPr>
        <w:spacing w:after="0" w:line="213" w:lineRule="exact"/>
        <w:rPr>
          <w:rFonts w:ascii="Arial" w:cs="Arial" w:eastAsia="Arial" w:hAnsi="Arial"/>
          <w:sz w:val="19"/>
          <w:szCs w:val="19"/>
          <w:color w:val="auto"/>
        </w:rPr>
      </w:pPr>
    </w:p>
    <w:p>
      <w:pPr>
        <w:jc w:val="both"/>
        <w:ind w:left="640" w:firstLine="940"/>
        <w:spacing w:after="0" w:line="267" w:lineRule="auto"/>
        <w:tabs>
          <w:tab w:leader="none" w:pos="2168" w:val="left"/>
        </w:tabs>
        <w:numPr>
          <w:ilvl w:val="0"/>
          <w:numId w:val="140"/>
        </w:numPr>
        <w:rPr>
          <w:rFonts w:ascii="Arial" w:cs="Arial" w:eastAsia="Arial" w:hAnsi="Arial"/>
          <w:sz w:val="21"/>
          <w:szCs w:val="21"/>
          <w:color w:val="auto"/>
        </w:rPr>
      </w:pPr>
      <w:r>
        <w:rPr>
          <w:rFonts w:ascii="Arial" w:cs="Arial" w:eastAsia="Arial" w:hAnsi="Arial"/>
          <w:sz w:val="21"/>
          <w:szCs w:val="21"/>
          <w:color w:val="auto"/>
        </w:rPr>
        <w:t>Liens on the Collateral securing Permitted First Priority Refinancing Debt, Permitted Junior Lien Refinancing Debt, Additional Notes and Indebtedness incurred to finance a Permitted Acquisition to the extent permitted to be secured pursuant to Section 6.01(a)(viii);</w:t>
      </w:r>
    </w:p>
    <w:p>
      <w:pPr>
        <w:spacing w:after="0" w:line="165" w:lineRule="exact"/>
        <w:rPr>
          <w:rFonts w:ascii="Arial" w:cs="Arial" w:eastAsia="Arial" w:hAnsi="Arial"/>
          <w:sz w:val="21"/>
          <w:szCs w:val="21"/>
          <w:color w:val="auto"/>
        </w:rPr>
      </w:pPr>
    </w:p>
    <w:p>
      <w:pPr>
        <w:jc w:val="both"/>
        <w:ind w:left="640" w:firstLine="940"/>
        <w:spacing w:after="0" w:line="265" w:lineRule="auto"/>
        <w:tabs>
          <w:tab w:leader="none" w:pos="232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Liens securing Trading Debt;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Liens securing Trading Debt shall be limited to the commodity, futures and other accounts (including deposit accounts and securities accounts) maintained by the relevant debtor with the financial institution providing such Trading Debt (or with any of its Affiliates or third parties acting as a securities, commodities, futures or other financial intermediary or performing a similar role on behalf of such financial institutions in connection with such Trading Debt) and all cash, securities, investment property (excluding any Equity Interests of the Borrower or its Subsidiaries), instruments, payment intangibles and other assets, including assets which would be customarily subject of a Repo Agreement or customarily acceptable as “borrowing base collateral” in secured warehouse financings, in or credited to such accounts or otherwise relating to, arising out of or evidencing such accounts or assets or held in the possession of, to the order or under the direction or control of, such financial institution (or any of its Affiliates acting on its behalf) or any exchange or clearing organization through which transactions on behalf of the relevant debtor are executed or cleared and all proceeds of any of the foregoing);</w:t>
      </w:r>
    </w:p>
    <w:p>
      <w:pPr>
        <w:spacing w:after="0" w:line="172" w:lineRule="exact"/>
        <w:rPr>
          <w:rFonts w:ascii="Arial" w:cs="Arial" w:eastAsia="Arial" w:hAnsi="Arial"/>
          <w:sz w:val="20"/>
          <w:szCs w:val="20"/>
          <w:color w:val="auto"/>
        </w:rPr>
      </w:pPr>
    </w:p>
    <w:p>
      <w:pPr>
        <w:jc w:val="both"/>
        <w:ind w:left="640" w:firstLine="940"/>
        <w:spacing w:after="0" w:line="277" w:lineRule="auto"/>
        <w:tabs>
          <w:tab w:leader="none" w:pos="220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other Liens;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at the time of the granting of and after giving Pro Forma Effect to any such Lien and the obligations secured thereby (including the use of proceeds thereof) the aggregate face amount of obligations secured by Liens existing in reliance on this clause (xxi) shall not exceed the greater of $20,000,000 and 7.5% of Consolidated EBITDA for the most recently ended Test Period for which financial statements are available; and</w:t>
      </w:r>
    </w:p>
    <w:p>
      <w:pPr>
        <w:spacing w:after="0" w:line="158" w:lineRule="exact"/>
        <w:rPr>
          <w:rFonts w:ascii="Arial" w:cs="Arial" w:eastAsia="Arial" w:hAnsi="Arial"/>
          <w:sz w:val="20"/>
          <w:szCs w:val="20"/>
          <w:color w:val="auto"/>
        </w:rPr>
      </w:pPr>
    </w:p>
    <w:p>
      <w:pPr>
        <w:jc w:val="both"/>
        <w:ind w:left="640" w:firstLine="940"/>
        <w:spacing w:after="0" w:line="267" w:lineRule="auto"/>
        <w:tabs>
          <w:tab w:leader="none" w:pos="2384"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Liens securing the Second Lien Notes outstanding on the Escrow Assumption Date or any Permitted Refinancing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Liens are junior to the Liens created under the Loan Documents pursuant to a Junior Lien Intercreditor Agreement.</w:t>
      </w:r>
    </w:p>
    <w:p>
      <w:pPr>
        <w:spacing w:after="0" w:line="165"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i w:val="1"/>
          <w:iCs w:val="1"/>
          <w:color w:val="auto"/>
        </w:rPr>
        <w:t>Fundamental Changes</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Neither Holdings nor the Borrower will, nor will they permit any other Restricted</w:t>
      </w:r>
      <w:r>
        <w:rPr>
          <w:rFonts w:ascii="Arial" w:cs="Arial" w:eastAsia="Arial" w:hAnsi="Arial"/>
          <w:sz w:val="21"/>
          <w:szCs w:val="21"/>
          <w:color w:val="auto"/>
        </w:rPr>
        <w:t xml:space="preserve"> </w:t>
      </w:r>
      <w:r>
        <w:rPr>
          <w:rFonts w:ascii="Arial" w:cs="Arial" w:eastAsia="Arial" w:hAnsi="Arial"/>
          <w:sz w:val="19"/>
          <w:szCs w:val="19"/>
          <w:color w:val="auto"/>
        </w:rPr>
        <w:t>Subsidiary to, merge into or consolidate with any other Person, or permit any other Person to merge into or consolidate with it, or liquidate or dissolve, except that:</w:t>
      </w:r>
    </w:p>
    <w:p>
      <w:pPr>
        <w:spacing w:after="0" w:line="179" w:lineRule="exact"/>
        <w:rPr>
          <w:sz w:val="20"/>
          <w:szCs w:val="20"/>
          <w:color w:val="auto"/>
        </w:rPr>
      </w:pPr>
    </w:p>
    <w:p>
      <w:pPr>
        <w:jc w:val="both"/>
        <w:ind w:left="640" w:firstLine="940"/>
        <w:spacing w:after="0" w:line="285" w:lineRule="auto"/>
        <w:tabs>
          <w:tab w:leader="none" w:pos="2089"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any Restricted Subsidiary (other than the Borrower) may merge with (A)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the continuing or surviving Person, or (B) in the case of any Restricted Subsidiary, any one or more other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when any Restricted Subsidiary Loan Party is merging with another Restricted Subsidiary</w:t>
      </w:r>
    </w:p>
    <w:p>
      <w:pPr>
        <w:jc w:val="both"/>
        <w:ind w:left="640" w:hanging="5"/>
        <w:spacing w:after="0" w:line="251" w:lineRule="auto"/>
        <w:tabs>
          <w:tab w:leader="none" w:pos="959" w:val="left"/>
        </w:tabs>
        <w:numPr>
          <w:ilvl w:val="0"/>
          <w:numId w:val="142"/>
        </w:numPr>
        <w:rPr>
          <w:rFonts w:ascii="Arial" w:cs="Arial" w:eastAsia="Arial" w:hAnsi="Arial"/>
          <w:sz w:val="21"/>
          <w:szCs w:val="21"/>
          <w:color w:val="auto"/>
        </w:rPr>
      </w:pPr>
      <w:r>
        <w:rPr>
          <w:rFonts w:ascii="Arial" w:cs="Arial" w:eastAsia="Arial" w:hAnsi="Arial"/>
          <w:sz w:val="21"/>
          <w:szCs w:val="21"/>
          <w:color w:val="auto"/>
        </w:rPr>
        <w:t>the continuing or surviving Person shall be a Subsidiary Loan Party or (y) if the continuing or surviving Person is not a Subsidiary Loan Party, the acquisition of such Subsidiary Loan Party by such surviving Restricted Subsidiary is otherwise permitted under Section 6.04;</w:t>
      </w:r>
    </w:p>
    <w:p>
      <w:pPr>
        <w:spacing w:after="0" w:line="182" w:lineRule="exact"/>
        <w:rPr>
          <w:rFonts w:ascii="Arial" w:cs="Arial" w:eastAsia="Arial" w:hAnsi="Arial"/>
          <w:sz w:val="21"/>
          <w:szCs w:val="21"/>
          <w:color w:val="auto"/>
        </w:rPr>
      </w:pPr>
    </w:p>
    <w:p>
      <w:pPr>
        <w:jc w:val="both"/>
        <w:ind w:left="640" w:firstLine="940"/>
        <w:spacing w:after="0" w:line="260" w:lineRule="auto"/>
        <w:tabs>
          <w:tab w:leader="none" w:pos="2161" w:val="left"/>
        </w:tabs>
        <w:numPr>
          <w:ilvl w:val="1"/>
          <w:numId w:val="142"/>
        </w:numPr>
        <w:rPr>
          <w:rFonts w:ascii="Arial" w:cs="Arial" w:eastAsia="Arial" w:hAnsi="Arial"/>
          <w:sz w:val="21"/>
          <w:szCs w:val="21"/>
          <w:color w:val="auto"/>
        </w:rPr>
      </w:pPr>
      <w:r>
        <w:rPr>
          <w:rFonts w:ascii="Arial" w:cs="Arial" w:eastAsia="Arial" w:hAnsi="Arial"/>
          <w:sz w:val="21"/>
          <w:szCs w:val="21"/>
          <w:color w:val="auto"/>
        </w:rPr>
        <w:t>(A) any Restricted Subsidiary that is not a Loan Party may merge or consolidate with or into any other Restricted Subsidiary that is not a Loan Party and (B) any Restricted Subsidiary may liquidate or dissolve or change its legal form if Holdings determines in good faith that such action is in the best interests of Holdings, the Borrower and its Restricted Subsidiaries and is not materially disadvantageous to the Lenders;</w:t>
      </w:r>
    </w:p>
    <w:p>
      <w:pPr>
        <w:spacing w:after="0" w:line="174" w:lineRule="exact"/>
        <w:rPr>
          <w:rFonts w:ascii="Arial" w:cs="Arial" w:eastAsia="Arial" w:hAnsi="Arial"/>
          <w:sz w:val="21"/>
          <w:szCs w:val="21"/>
          <w:color w:val="auto"/>
        </w:rPr>
      </w:pPr>
    </w:p>
    <w:p>
      <w:pPr>
        <w:jc w:val="both"/>
        <w:ind w:left="640" w:firstLine="940"/>
        <w:spacing w:after="0" w:line="268" w:lineRule="auto"/>
        <w:tabs>
          <w:tab w:leader="none" w:pos="2075"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any Restricted Subsidiary (other than an Intermediate Parent or the Borrower) may make a Disposition of all or substantially all of its assets (upon voluntary liquidation or otherwise) to another 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transferor in such a transaction is a Loan Party, then (A) the transferee must be a Loan Party, (B) to the extent constituting an Investment, such Investment must be a permitted Investment in a Restricted Subsidiary that is not a Loan Party in accordance with Section 6.04 or (C) to the extent constituting a Disposition to a Restricted Subsidiary that is not a Loan Party, such Disposition is for fair value and any promissory note or other non-cash consideration received in respect thereof is a permitted Investment in a Restricted Subsidiary that is not a Loan Party in accordance with Section 6.04;</w:t>
      </w:r>
    </w:p>
    <w:p>
      <w:pPr>
        <w:spacing w:after="0" w:line="170" w:lineRule="exact"/>
        <w:rPr>
          <w:rFonts w:ascii="Arial" w:cs="Arial" w:eastAsia="Arial" w:hAnsi="Arial"/>
          <w:sz w:val="20"/>
          <w:szCs w:val="20"/>
          <w:color w:val="auto"/>
        </w:rPr>
      </w:pPr>
    </w:p>
    <w:p>
      <w:pPr>
        <w:jc w:val="both"/>
        <w:ind w:left="640" w:firstLine="940"/>
        <w:spacing w:after="0" w:line="287" w:lineRule="auto"/>
        <w:tabs>
          <w:tab w:leader="none" w:pos="2129"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the Borrower may merge or consolidate with any other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Borrower shall be the continuing or surviving Person or (B) if the Person formed by or surviving any such merger or consolidation is not the Borrower (any such Person, the “</w:t>
      </w:r>
      <w:r>
        <w:rPr>
          <w:rFonts w:ascii="Arial" w:cs="Arial" w:eastAsia="Arial" w:hAnsi="Arial"/>
          <w:sz w:val="19"/>
          <w:szCs w:val="19"/>
          <w:b w:val="1"/>
          <w:bCs w:val="1"/>
          <w:color w:val="auto"/>
        </w:rPr>
        <w:t>Successor Borrower</w:t>
      </w:r>
      <w:r>
        <w:rPr>
          <w:rFonts w:ascii="Arial" w:cs="Arial" w:eastAsia="Arial" w:hAnsi="Arial"/>
          <w:sz w:val="19"/>
          <w:szCs w:val="19"/>
          <w:color w:val="auto"/>
        </w:rPr>
        <w:t>”), (w) the Successor Borrower shall be an entity organized or existing under the laws of the United States, any State thereof or the District of Columbia, (x) the Successor Borrower shall expressly assume all the obligations of the Borrower under this Agreement and the other Loan Documents to which the Borrower is a party pursuant to a supplement hereto or thereto in form and substance reasonably satisfactory to the Administrative Agent, (y)</w:t>
      </w:r>
    </w:p>
    <w:p>
      <w:pPr>
        <w:sectPr>
          <w:pgSz w:w="11900" w:h="16838" w:orient="portrait"/>
          <w:cols w:equalWidth="0" w:num="1">
            <w:col w:w="11420"/>
          </w:cols>
          <w:pgMar w:left="240" w:top="131" w:right="239" w:bottom="0" w:gutter="0" w:footer="0" w:header="0"/>
        </w:sectPr>
      </w:pPr>
    </w:p>
    <w:bookmarkStart w:id="162" w:name="page163"/>
    <w:bookmarkEnd w:id="162"/>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each Loan Party other than the Borrower,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(z) the Borrower shall have delivered to the Administrative Agent a certificate of a Responsible Officer and an opinion of counsel, each stating that such merger or consolidation complies with this Agreement;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(1) if such Person is not a Loan Party, no Default exists after giving effect to such merger or consolidation and (2) if the foregoing requirements are satisfied, the Successor Borrower will succeed to, and be substituted for, the Borrower under this Agreement and the other Loan Documents;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the Borrower agrees to use commercially reasonable efforts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78" w:lineRule="exact"/>
        <w:rPr>
          <w:sz w:val="20"/>
          <w:szCs w:val="20"/>
          <w:color w:val="auto"/>
        </w:rPr>
      </w:pPr>
    </w:p>
    <w:p>
      <w:pPr>
        <w:jc w:val="both"/>
        <w:ind w:firstLine="940"/>
        <w:spacing w:after="0" w:line="277" w:lineRule="auto"/>
        <w:tabs>
          <w:tab w:leader="none" w:pos="1417"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Holdings may merge or consolidate with any other Person, so long as no Event of Default exists after giving effect to such merger or consolidation;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Holdings shall be the continuing or surviving Person or (B) if the Person formed by or surviving any such merger or consolidation is not Holdings or is a Person into which Holdings has been liquidated (any such Person, the “</w:t>
      </w:r>
      <w:r>
        <w:rPr>
          <w:rFonts w:ascii="Arial" w:cs="Arial" w:eastAsia="Arial" w:hAnsi="Arial"/>
          <w:sz w:val="19"/>
          <w:szCs w:val="19"/>
          <w:b w:val="1"/>
          <w:bCs w:val="1"/>
          <w:color w:val="auto"/>
        </w:rPr>
        <w:t>Successor Holdings</w:t>
      </w:r>
      <w:r>
        <w:rPr>
          <w:rFonts w:ascii="Arial" w:cs="Arial" w:eastAsia="Arial" w:hAnsi="Arial"/>
          <w:sz w:val="19"/>
          <w:szCs w:val="19"/>
          <w:color w:val="auto"/>
        </w:rPr>
        <w:t xml:space="preserve">”), (w) the Successor Holdings shall expressly assume all the obligations of Holdings under this Agreement and the other Loan Documents to which Holdings is a party pursuant to a supplement hereto or thereto in form and substance reasonably satisfactory to the Administrative Agent, (x) each Loan Party other than Holdings,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(y) the Successor Holdings shall, immediately following such merger or consolidation, directly or indirectly own all Subsidiaries owned by Holdings immediately prior to such merger and (z) Holdings shall have delivered to the Administrative Agent a certificate of a Responsible Officer and an opinion of counsel, each stating that such merger or consolidation complies with this Agreement;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if the foregoing requirements are satisfied, the Successor Holdings will succeed to, and be substituted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Holdings under this Agreement and the other Loan Documents;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Borrower agrees to use commercially reasonable efforts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72" w:lineRule="exact"/>
        <w:rPr>
          <w:rFonts w:ascii="Arial" w:cs="Arial" w:eastAsia="Arial" w:hAnsi="Arial"/>
          <w:sz w:val="19"/>
          <w:szCs w:val="19"/>
          <w:color w:val="auto"/>
        </w:rPr>
      </w:pPr>
    </w:p>
    <w:p>
      <w:pPr>
        <w:jc w:val="both"/>
        <w:ind w:firstLine="940"/>
        <w:spacing w:after="0" w:line="257" w:lineRule="auto"/>
        <w:tabs>
          <w:tab w:leader="none" w:pos="1502" w:val="left"/>
        </w:tabs>
        <w:numPr>
          <w:ilvl w:val="1"/>
          <w:numId w:val="143"/>
        </w:numPr>
        <w:rPr>
          <w:rFonts w:ascii="Arial" w:cs="Arial" w:eastAsia="Arial" w:hAnsi="Arial"/>
          <w:sz w:val="21"/>
          <w:szCs w:val="21"/>
          <w:color w:val="auto"/>
        </w:rPr>
      </w:pPr>
      <w:r>
        <w:rPr>
          <w:rFonts w:ascii="Arial" w:cs="Arial" w:eastAsia="Arial" w:hAnsi="Arial"/>
          <w:sz w:val="21"/>
          <w:szCs w:val="21"/>
          <w:color w:val="auto"/>
        </w:rPr>
        <w:t xml:space="preserve">any Restricted Subsidiary (other than the Borrower) may merge, consolidate or amalgamate with any other Person in order to effect an Investment permitted pursuant to Section 6.04;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continuing or surviving Person shall be a Restricted Subsidiary, which together with each of its Restricted Subsidiaries, shall have complied with the requirements of Sections 5.11 and 5.12 and if the other party to such transaction is not a Loan Party, no Default exists after giving effect to such transaction; and</w:t>
      </w:r>
    </w:p>
    <w:p>
      <w:pPr>
        <w:spacing w:after="0" w:line="176" w:lineRule="exact"/>
        <w:rPr>
          <w:rFonts w:ascii="Arial" w:cs="Arial" w:eastAsia="Arial" w:hAnsi="Arial"/>
          <w:sz w:val="21"/>
          <w:szCs w:val="21"/>
          <w:color w:val="auto"/>
        </w:rPr>
      </w:pPr>
    </w:p>
    <w:p>
      <w:pPr>
        <w:jc w:val="both"/>
        <w:ind w:firstLine="940"/>
        <w:spacing w:after="0" w:line="267" w:lineRule="auto"/>
        <w:tabs>
          <w:tab w:leader="none" w:pos="1757" w:val="left"/>
        </w:tabs>
        <w:numPr>
          <w:ilvl w:val="1"/>
          <w:numId w:val="143"/>
        </w:numPr>
        <w:rPr>
          <w:rFonts w:ascii="Arial" w:cs="Arial" w:eastAsia="Arial" w:hAnsi="Arial"/>
          <w:sz w:val="21"/>
          <w:szCs w:val="21"/>
          <w:color w:val="auto"/>
        </w:rPr>
      </w:pPr>
      <w:r>
        <w:rPr>
          <w:rFonts w:ascii="Arial" w:cs="Arial" w:eastAsia="Arial" w:hAnsi="Arial"/>
          <w:sz w:val="21"/>
          <w:szCs w:val="21"/>
          <w:color w:val="auto"/>
        </w:rPr>
        <w:t xml:space="preserve">any Restricted Subsidiary (other than the Borrower) may effect a merger, dissolution, liquidation, consolidation or amalgamation to effect a Disposition permitted pursuant to Section 6.05;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other party to such transaction is not a Loan Party, no Default exists after giving effect to the transaction.</w:t>
      </w:r>
    </w:p>
    <w:p>
      <w:pPr>
        <w:spacing w:after="0" w:line="165" w:lineRule="exact"/>
        <w:rPr>
          <w:rFonts w:ascii="Arial" w:cs="Arial" w:eastAsia="Arial" w:hAnsi="Arial"/>
          <w:sz w:val="21"/>
          <w:szCs w:val="21"/>
          <w:color w:val="auto"/>
        </w:rPr>
      </w:pPr>
    </w:p>
    <w:p>
      <w:pPr>
        <w:jc w:val="both"/>
        <w:ind w:left="-640" w:firstLine="819"/>
        <w:spacing w:after="0" w:line="286" w:lineRule="auto"/>
        <w:tabs>
          <w:tab w:leader="none" w:pos="685"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Borrower will not, and Holdings and the Borrower will not permit any Restricted Subsidiary to, engage to any material extent in any business other than businesses of the type conducted by the Borrower and the Restricted Subsidiaries (and KCG and its subsidiaries) on the Restatement Effective Date and businesses reasonably related or ancillary thereto.</w:t>
      </w:r>
    </w:p>
    <w:p>
      <w:pPr>
        <w:spacing w:after="0" w:line="149" w:lineRule="exact"/>
        <w:rPr>
          <w:rFonts w:ascii="Arial" w:cs="Arial" w:eastAsia="Arial" w:hAnsi="Arial"/>
          <w:sz w:val="20"/>
          <w:szCs w:val="20"/>
          <w:color w:val="auto"/>
        </w:rPr>
      </w:pPr>
    </w:p>
    <w:p>
      <w:pPr>
        <w:jc w:val="both"/>
        <w:ind w:left="-640" w:firstLine="819"/>
        <w:spacing w:after="0" w:line="278" w:lineRule="auto"/>
        <w:tabs>
          <w:tab w:leader="none" w:pos="59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Holdings and any Intermediate Parent will not conduct, transact or otherwise engage in any business or operations other than (i) the ownership and/or acquisition of the Equity Interests of the Borrower and any Intermediate Parent, (ii) the maintenance of its legal existence, including the ability to incur fees, costs and expenses relating to such maintenance, (iii) participating in tax, accounting and other administrative matters, (iv) the performance of its obligations under and in connection with the Loan Documents, any documentation governing any Indebtedness or Guarantee permitted to be incurred or made by it under Article 6, the Holdings LLC Agreement, and the other agreements contemplated hereby, (v) any public offering of its common stock or any other issuance or registration of its Equity Interests for sale or resale not prohibited by this Agreement, including the costs, fees and expenses related thereto, (vi) any transaction that Holdings or any Intermediate Parent is permitted to enter into or consummate under Article 6 (including, but not limited to, the making of any Restricted Payment permitted by Section 6.08 or holding of any cash or Permitted Investments received in connection with Restricted Payments made in accordance with Section 6.08 pending application thereof in the manner contemplated by Section 6.04, the incurrence of any Indebtedness permitted to be incurred by it under Section 6.01 and the making of any Investment permitted to be made by it under Section 6.04), (vii) incurring fees, costs and expenses relating to overhead and general operating including professional fees for legal, tax and accounting issues and paying taxes, (viii) providing indemnification to officers and directors and as otherwise permitted in Section 6.09, (ix) activities incidental to the consummation of the Transactions and (x) activities incidental to the businesses or activities described in clauses (i) to (ix) of this paragraph.</w:t>
      </w:r>
    </w:p>
    <w:p>
      <w:pPr>
        <w:spacing w:after="0" w:line="167" w:lineRule="exact"/>
        <w:rPr>
          <w:rFonts w:ascii="Arial" w:cs="Arial" w:eastAsia="Arial" w:hAnsi="Arial"/>
          <w:sz w:val="19"/>
          <w:szCs w:val="19"/>
          <w:color w:val="auto"/>
        </w:rPr>
      </w:pPr>
    </w:p>
    <w:p>
      <w:pPr>
        <w:jc w:val="both"/>
        <w:ind w:left="-640" w:firstLine="819"/>
        <w:spacing w:after="0" w:line="257" w:lineRule="auto"/>
        <w:tabs>
          <w:tab w:leader="none" w:pos="64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Holdings and any Intermediate Parent will not own or acquire any assets (other than Equity Interests as referred to in paragraph (c)(i) above, cash, Permitted Investments, loans and advances made by Holdings or any Intermediate Parent under Section 6.04(b) and intercompany Investments permitted to be made by it under Section 6.04) or incur any liabilities (other than liabilities as referred to in paragraph (c) above, liabilities imposed by law, including tax liabilities, and other liabilities incidental to its existence and business and activities permitted by this Agreement).</w:t>
      </w:r>
    </w:p>
    <w:p>
      <w:pPr>
        <w:sectPr>
          <w:pgSz w:w="11900" w:h="16915" w:orient="portrait"/>
          <w:cols w:equalWidth="0" w:num="1">
            <w:col w:w="10780"/>
          </w:cols>
          <w:pgMar w:left="880" w:top="132" w:right="239" w:bottom="0" w:gutter="0" w:footer="0" w:header="0"/>
        </w:sectPr>
      </w:pPr>
    </w:p>
    <w:bookmarkStart w:id="163" w:name="page164"/>
    <w:bookmarkEnd w:id="163"/>
    <w:p>
      <w:pPr>
        <w:ind w:firstLine="819"/>
        <w:spacing w:after="0" w:line="286" w:lineRule="auto"/>
        <w:tabs>
          <w:tab w:leader="none" w:pos="1248"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Section 6.03</w:t>
      </w:r>
      <w:r>
        <w:rPr>
          <w:rFonts w:ascii="Arial" w:cs="Arial" w:eastAsia="Arial" w:hAnsi="Arial"/>
          <w:sz w:val="21"/>
          <w:szCs w:val="21"/>
          <w:color w:val="auto"/>
        </w:rPr>
        <w:t>, the Transactions (including the Merger and Contribution) shall be permitted.</w:t>
      </w:r>
    </w:p>
    <w:p>
      <w:pPr>
        <w:spacing w:after="0" w:line="146" w:lineRule="exact"/>
        <w:rPr>
          <w:sz w:val="20"/>
          <w:szCs w:val="20"/>
          <w:color w:val="auto"/>
        </w:rPr>
      </w:pPr>
    </w:p>
    <w:p>
      <w:pPr>
        <w:ind w:firstLine="630"/>
        <w:spacing w:after="0" w:line="269"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i w:val="1"/>
          <w:iCs w:val="1"/>
          <w:color w:val="auto"/>
        </w:rPr>
        <w:t>Investments, Loans, Advances, Guarantees and Acquisitions</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Neither Holdings nor the Borrower will, nor will they</w:t>
      </w:r>
      <w:r>
        <w:rPr>
          <w:rFonts w:ascii="Arial" w:cs="Arial" w:eastAsia="Arial" w:hAnsi="Arial"/>
          <w:sz w:val="21"/>
          <w:szCs w:val="21"/>
          <w:color w:val="auto"/>
        </w:rPr>
        <w:t xml:space="preserve"> </w:t>
      </w:r>
      <w:r>
        <w:rPr>
          <w:rFonts w:ascii="Arial" w:cs="Arial" w:eastAsia="Arial" w:hAnsi="Arial"/>
          <w:sz w:val="19"/>
          <w:szCs w:val="19"/>
          <w:color w:val="auto"/>
        </w:rPr>
        <w:t>permit any Restricted Subsidiary or Intermediate Parent to, make or hold any Investment, except:</w:t>
      </w:r>
    </w:p>
    <w:p>
      <w:pPr>
        <w:spacing w:after="0" w:line="181" w:lineRule="exact"/>
        <w:rPr>
          <w:sz w:val="20"/>
          <w:szCs w:val="20"/>
          <w:color w:val="auto"/>
        </w:rPr>
      </w:pPr>
    </w:p>
    <w:p>
      <w:pPr>
        <w:ind w:left="1220" w:hanging="401"/>
        <w:spacing w:after="0"/>
        <w:tabs>
          <w:tab w:leader="none" w:pos="122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Permitted Investments;</w:t>
      </w:r>
    </w:p>
    <w:p>
      <w:pPr>
        <w:spacing w:after="0" w:line="230" w:lineRule="exact"/>
        <w:rPr>
          <w:rFonts w:ascii="Arial" w:cs="Arial" w:eastAsia="Arial" w:hAnsi="Arial"/>
          <w:sz w:val="21"/>
          <w:szCs w:val="21"/>
          <w:color w:val="auto"/>
        </w:rPr>
      </w:pPr>
    </w:p>
    <w:p>
      <w:pPr>
        <w:jc w:val="both"/>
        <w:ind w:firstLine="819"/>
        <w:spacing w:after="0" w:line="270" w:lineRule="auto"/>
        <w:tabs>
          <w:tab w:leader="none" w:pos="127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loans or advances to officers,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or any Employee Holding Vehicle)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amount of such loans and advances made in cash to such Person shall be contributed to the Borrower in cash as common equity or Qualified Equity Interests) and (iii) for purposes not described in the foregoing clauses (i) and (ii), in an aggregate principal amount outstanding at any time not to exceed $5,000,000;</w:t>
      </w:r>
    </w:p>
    <w:p>
      <w:pPr>
        <w:spacing w:after="0" w:line="166" w:lineRule="exact"/>
        <w:rPr>
          <w:rFonts w:ascii="Arial" w:cs="Arial" w:eastAsia="Arial" w:hAnsi="Arial"/>
          <w:sz w:val="20"/>
          <w:szCs w:val="20"/>
          <w:color w:val="auto"/>
        </w:rPr>
      </w:pPr>
    </w:p>
    <w:p>
      <w:pPr>
        <w:jc w:val="both"/>
        <w:ind w:firstLine="819"/>
        <w:spacing w:after="0" w:line="277" w:lineRule="auto"/>
        <w:tabs>
          <w:tab w:leader="none" w:pos="135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Investments (%3) by Holdings, the Borrower or any Restricted Subsidiary in any Loan Party (excluding any new Restricted Subsidiary that becomes a Loan Party pursuant to such Investment), (%3) by any Restricted Subsidiary that is not a Loan Party in any other Restricted Subsidiary that is also not a Loan Party, (%3) by Holdings or any Restricted Subsidiary (%5) in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such Investments made by Loan Parties after the Restatement Effective Date in Restricted Subsidiaries that are not Loan Parties in reliance on this clause (iii)(A) (including any such Investments deemed to be made pursuant to Section 6.14) (together with the amount of Investments made in Restricted Subsidiaries (other than Regulated Subsidiaries) that are not Loan Parties pursuant to Section 6.04(h) and the amount of Investments and acquisitions made pursuant to Section 6.04(m), in each case, after the Restatement Effective Date) shall not exceed the Non-Loan Party Investment Amount at the time of any such Investment, (%5) in any Regulated Subsidiary in the form of short-term intercompany advances and Indebtedness, in each case made in the ordinary course of business to provide for working capital and other operational requirements of such Regulated Subsidiary, (%5) in any Restricted Subsidiary that is not a Loan Party, constituting an exchange of Equity Interests of such Restricted Subsidiary for Indebtedness of such Subsidiary, (%5) constituting Guarantees of Indebtedness or other monetary obligations of Restricted Subsidiaries that are not Loan Parties owing to any Loan Party or (%5) constituting unsecured Guarantees of Trading Debt to the extent such Guarantees are permitted under Section 6.01(a)(iii), (%3) by Holdings, any Intermediate Parent, the Borrower or any Restricted Subsidiary in Restricted Subsidiaries that are not Loan Parties so long as such Investment is part of a series of simultaneous transactions that result in the proceeds of the initial transaction being invested in one or more Loan Parties or, if the proceeds were initially held by a non-Loan Party, in a Restricted Subsidiary that is not a Loan Party and (%3) by Holdings, the Borrower or any Restricted Subsidiary in any Restricted Subsidiary that is not a Loan Party, consisting of the contribution of Equity Interests of any other Restricted Subsidiary that is not a Loan Party so long as the Equity Interests of the transferee Restricted Subsidiary is pledged to secure the Secured Obligations;</w:t>
      </w:r>
    </w:p>
    <w:p>
      <w:pPr>
        <w:spacing w:after="0" w:line="166" w:lineRule="exact"/>
        <w:rPr>
          <w:rFonts w:ascii="Arial" w:cs="Arial" w:eastAsia="Arial" w:hAnsi="Arial"/>
          <w:sz w:val="19"/>
          <w:szCs w:val="19"/>
          <w:color w:val="auto"/>
        </w:rPr>
      </w:pPr>
    </w:p>
    <w:p>
      <w:pPr>
        <w:ind w:left="1240" w:hanging="421"/>
        <w:spacing w:after="0"/>
        <w:tabs>
          <w:tab w:leader="none" w:pos="124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Investments consisting of extensions of trade credit in the ordinary course of business;</w:t>
      </w:r>
    </w:p>
    <w:p>
      <w:pPr>
        <w:spacing w:after="0" w:line="230" w:lineRule="exact"/>
        <w:rPr>
          <w:rFonts w:ascii="Arial" w:cs="Arial" w:eastAsia="Arial" w:hAnsi="Arial"/>
          <w:sz w:val="21"/>
          <w:szCs w:val="21"/>
          <w:color w:val="auto"/>
        </w:rPr>
      </w:pPr>
    </w:p>
    <w:p>
      <w:pPr>
        <w:jc w:val="both"/>
        <w:ind w:firstLine="819"/>
        <w:spacing w:after="0" w:line="273" w:lineRule="auto"/>
        <w:tabs>
          <w:tab w:leader="none" w:pos="1274"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Investments (i) existing or contemplated on the Restatement Effective Date and set forth on Schedule 6.04(e) and any modification, replacement, renewal, reinvestment or extension thereof and (ii) existing on the Restatement Effective Date by Holdings, the Borrower or any Restricted Subsidiary in the Borrower or any Restricted Subsidiary and any modification, renewal or extension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each case the amount of the original Investment is not increased except by the terms of such Investment to the extent as set forth on Schedule 6.04(e) or as otherwise permitted by this Section 6.04;</w:t>
      </w:r>
    </w:p>
    <w:p>
      <w:pPr>
        <w:spacing w:after="0" w:line="161" w:lineRule="exact"/>
        <w:rPr>
          <w:rFonts w:ascii="Arial" w:cs="Arial" w:eastAsia="Arial" w:hAnsi="Arial"/>
          <w:sz w:val="20"/>
          <w:szCs w:val="20"/>
          <w:color w:val="auto"/>
        </w:rPr>
      </w:pPr>
    </w:p>
    <w:p>
      <w:pPr>
        <w:ind w:left="1200" w:hanging="381"/>
        <w:spacing w:after="0"/>
        <w:tabs>
          <w:tab w:leader="none" w:pos="120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Investments in Swap Agreements permitted under Section 6.07;</w:t>
      </w:r>
    </w:p>
    <w:p>
      <w:pPr>
        <w:spacing w:after="0" w:line="230" w:lineRule="exact"/>
        <w:rPr>
          <w:rFonts w:ascii="Arial" w:cs="Arial" w:eastAsia="Arial" w:hAnsi="Arial"/>
          <w:sz w:val="21"/>
          <w:szCs w:val="21"/>
          <w:color w:val="auto"/>
        </w:rPr>
      </w:pPr>
    </w:p>
    <w:p>
      <w:pPr>
        <w:ind w:left="1240" w:hanging="421"/>
        <w:spacing w:after="0"/>
        <w:tabs>
          <w:tab w:leader="none" w:pos="12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promissory notes and other non-cash consideration received in connection with Dispositions permitted by Section 6.05;</w:t>
      </w:r>
    </w:p>
    <w:p>
      <w:pPr>
        <w:spacing w:after="0" w:line="253" w:lineRule="exact"/>
        <w:rPr>
          <w:rFonts w:ascii="Arial" w:cs="Arial" w:eastAsia="Arial" w:hAnsi="Arial"/>
          <w:sz w:val="19"/>
          <w:szCs w:val="19"/>
          <w:color w:val="auto"/>
        </w:rPr>
      </w:pPr>
    </w:p>
    <w:p>
      <w:pPr>
        <w:jc w:val="both"/>
        <w:ind w:firstLine="819"/>
        <w:spacing w:after="0" w:line="283" w:lineRule="auto"/>
        <w:tabs>
          <w:tab w:leader="none" w:pos="141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Permitted Acquisitions;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consideration paid or provided by Holdings, any Intermediate Parent, the Borrower or any other Loan Party (including any Indebtedness incurred by any such Person to finance any portion of such consideration) after the Restatement Effective Date in reliance on this Section 6.04(h) (together with any Investments made in Subsidiaries that are not Loan Parties pursuant to Section 6.04(c)(c)(c), Investments deemed to be made pursuant to Section 6.14 and the amount of Investments and acquisitions made pursuant to Section 6.04(m), in each case, after the Restatement Effective Date) for Permitted Acquisitions (including the aggregate principal amount of all Indebtedness assumed in connection with Permitted Acquisitions) of any Restricted Subsidiary (other than a Regulated Subsidiary) that shall not be or, after giving effect to such Permitted Acquisition, shall not become, a Loan Party, shall not exceed the Non-Loan Party Investment Amount at such time;</w:t>
      </w:r>
    </w:p>
    <w:p>
      <w:pPr>
        <w:spacing w:after="0" w:line="156" w:lineRule="exact"/>
        <w:rPr>
          <w:rFonts w:ascii="Arial" w:cs="Arial" w:eastAsia="Arial" w:hAnsi="Arial"/>
          <w:sz w:val="19"/>
          <w:szCs w:val="19"/>
          <w:color w:val="auto"/>
        </w:rPr>
      </w:pPr>
    </w:p>
    <w:p>
      <w:pPr>
        <w:jc w:val="both"/>
        <w:ind w:firstLine="819"/>
        <w:spacing w:after="0" w:line="267" w:lineRule="auto"/>
        <w:tabs>
          <w:tab w:leader="none" w:pos="1213" w:val="left"/>
        </w:tabs>
        <w:numPr>
          <w:ilvl w:val="0"/>
          <w:numId w:val="146"/>
        </w:numPr>
        <w:rPr>
          <w:rFonts w:ascii="Arial" w:cs="Arial" w:eastAsia="Arial" w:hAnsi="Arial"/>
          <w:sz w:val="21"/>
          <w:szCs w:val="21"/>
          <w:color w:val="auto"/>
        </w:rPr>
      </w:pPr>
      <w:r>
        <w:rPr>
          <w:rFonts w:ascii="Arial" w:cs="Arial" w:eastAsia="Arial" w:hAnsi="Arial"/>
          <w:sz w:val="21"/>
          <w:szCs w:val="21"/>
          <w:color w:val="auto"/>
        </w:rPr>
        <w:t>prior to the Escrow Assumption Date, Investments in the Escrow Borrower to fund interest and other amounts owing or required to be pre-funded with respect to the Escrow Term Loans and, to the extent applicable, interest and other amounts owing or required to be pre-funded in respect of the Second Lien Notes;</w:t>
      </w:r>
    </w:p>
    <w:p>
      <w:pPr>
        <w:spacing w:after="0" w:line="165" w:lineRule="exact"/>
        <w:rPr>
          <w:rFonts w:ascii="Arial" w:cs="Arial" w:eastAsia="Arial" w:hAnsi="Arial"/>
          <w:sz w:val="21"/>
          <w:szCs w:val="21"/>
          <w:color w:val="auto"/>
        </w:rPr>
      </w:pPr>
    </w:p>
    <w:p>
      <w:pPr>
        <w:jc w:val="both"/>
        <w:ind w:firstLine="819"/>
        <w:spacing w:after="0" w:line="267" w:lineRule="auto"/>
        <w:tabs>
          <w:tab w:leader="none" w:pos="1292"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ectPr>
          <w:pgSz w:w="11900" w:h="16838" w:orient="portrait"/>
          <w:cols w:equalWidth="0" w:num="1">
            <w:col w:w="11420"/>
          </w:cols>
          <w:pgMar w:left="240" w:top="315" w:right="239" w:bottom="230" w:gutter="0" w:footer="0" w:header="0"/>
        </w:sectPr>
      </w:pPr>
    </w:p>
    <w:bookmarkStart w:id="164" w:name="page165"/>
    <w:bookmarkEnd w:id="164"/>
    <w:p>
      <w:pPr>
        <w:jc w:val="both"/>
        <w:ind w:firstLine="819"/>
        <w:spacing w:after="0" w:line="307" w:lineRule="auto"/>
        <w:tabs>
          <w:tab w:leader="none" w:pos="149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132" w:lineRule="exact"/>
        <w:rPr>
          <w:rFonts w:ascii="Arial" w:cs="Arial" w:eastAsia="Arial" w:hAnsi="Arial"/>
          <w:sz w:val="19"/>
          <w:szCs w:val="19"/>
          <w:color w:val="auto"/>
        </w:rPr>
      </w:pPr>
    </w:p>
    <w:p>
      <w:pPr>
        <w:jc w:val="both"/>
        <w:ind w:firstLine="819"/>
        <w:spacing w:after="0" w:line="307" w:lineRule="auto"/>
        <w:tabs>
          <w:tab w:leader="none" w:pos="12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loans and advances to Holdings (or any direct or indirect parent thereof) or any Intermediate Parent in lieu of, and not in excess of the amount of (after giving effect to any other loans, advances or Restricted Payments in respect thereof), Restricted Payments to the extent permitted to be made to Holdings (or such parent) in accordance with Section 6.08(a)(iv), (v), (vi), (vii) or (viii);</w:t>
      </w:r>
    </w:p>
    <w:p>
      <w:pPr>
        <w:spacing w:after="0" w:line="132" w:lineRule="exact"/>
        <w:rPr>
          <w:rFonts w:ascii="Arial" w:cs="Arial" w:eastAsia="Arial" w:hAnsi="Arial"/>
          <w:sz w:val="19"/>
          <w:szCs w:val="19"/>
          <w:color w:val="auto"/>
        </w:rPr>
      </w:pPr>
    </w:p>
    <w:p>
      <w:pPr>
        <w:jc w:val="both"/>
        <w:ind w:firstLine="819"/>
        <w:spacing w:after="0" w:line="282" w:lineRule="auto"/>
        <w:tabs>
          <w:tab w:leader="none" w:pos="131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so long as immediately after giving effect to any such Investment or acquisition no Default shall have occurred and be continuing, other Investments and other acquisitions;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any such Investment (including any such Investments deemed to be made pursuant to Section 6.14) or other acquisition is made, the aggregate outstanding amount of all Investments made in reliance on this clause (m) (including all such Investments deemed made pursuant to Section 6.14), Investments made in Subsidiaries that are not Loan Parties pursuant to Section 6.04(c)(iii)(A) and Investments made in Restricted Subsidiaries (other than Regulated Subsidiaries) that are not Loan Parties pursuant to Section 6.04(h), together with the aggregate amount of all consideration paid in connection with all other acquisitions made in reliance on this clause (m) (including the aggregate principal amount of all Indebtedness assumed in connection with any such other acquisition), in each case, after the Restatement Effective Date, shall not exceed the Non-Loan Party Investment Amount at the time of any such Investment or acquisition;</w:t>
      </w:r>
    </w:p>
    <w:p>
      <w:pPr>
        <w:spacing w:after="0" w:line="156" w:lineRule="exact"/>
        <w:rPr>
          <w:rFonts w:ascii="Arial" w:cs="Arial" w:eastAsia="Arial" w:hAnsi="Arial"/>
          <w:sz w:val="19"/>
          <w:szCs w:val="19"/>
          <w:color w:val="auto"/>
        </w:rPr>
      </w:pPr>
    </w:p>
    <w:p>
      <w:pPr>
        <w:ind w:left="1240" w:hanging="421"/>
        <w:spacing w:after="0"/>
        <w:tabs>
          <w:tab w:leader="none" w:pos="124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advances of payroll payments to employees in the ordinary course of business;</w:t>
      </w:r>
    </w:p>
    <w:p>
      <w:pPr>
        <w:spacing w:after="0" w:line="230" w:lineRule="exact"/>
        <w:rPr>
          <w:rFonts w:ascii="Arial" w:cs="Arial" w:eastAsia="Arial" w:hAnsi="Arial"/>
          <w:sz w:val="21"/>
          <w:szCs w:val="21"/>
          <w:color w:val="auto"/>
        </w:rPr>
      </w:pPr>
    </w:p>
    <w:p>
      <w:pPr>
        <w:ind w:firstLine="819"/>
        <w:spacing w:after="0" w:line="286" w:lineRule="auto"/>
        <w:tabs>
          <w:tab w:leader="none" w:pos="1247"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Investments and other acquisitions to the extent that payment for such Investments is made solely with Qualified Equity Interests (excluding Cure Amounts) of Holdings (or any direct or indirect parent thereof);</w:t>
      </w:r>
    </w:p>
    <w:p>
      <w:pPr>
        <w:spacing w:after="0" w:line="146" w:lineRule="exact"/>
        <w:rPr>
          <w:rFonts w:ascii="Arial" w:cs="Arial" w:eastAsia="Arial" w:hAnsi="Arial"/>
          <w:sz w:val="21"/>
          <w:szCs w:val="21"/>
          <w:color w:val="auto"/>
        </w:rPr>
      </w:pPr>
    </w:p>
    <w:p>
      <w:pPr>
        <w:jc w:val="both"/>
        <w:ind w:firstLine="819"/>
        <w:spacing w:after="0" w:line="257" w:lineRule="auto"/>
        <w:tabs>
          <w:tab w:leader="none" w:pos="1286"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Investments of a Subsidiary acquired after the Restatement Effective Date or of a Person merged or consolidated with any Subsidiary in accordance with this Section and Section 6.03 after the Restatement Effective Date (other than existing Investments in subsidiaries of such Subsidiary or Person, which must comply with the requirements of Section 6.04(h) or 6.04(m)) to the extent that such Investments were not made in contemplation of or in connection with such acquisition, merger or consolidation and were in existence on the date of such acquisition, merger or consolidation;</w:t>
      </w:r>
    </w:p>
    <w:p>
      <w:pPr>
        <w:spacing w:after="0" w:line="176" w:lineRule="exact"/>
        <w:rPr>
          <w:rFonts w:ascii="Arial" w:cs="Arial" w:eastAsia="Arial" w:hAnsi="Arial"/>
          <w:sz w:val="21"/>
          <w:szCs w:val="21"/>
          <w:color w:val="auto"/>
        </w:rPr>
      </w:pPr>
    </w:p>
    <w:p>
      <w:pPr>
        <w:ind w:left="1240" w:hanging="421"/>
        <w:spacing w:after="0"/>
        <w:tabs>
          <w:tab w:leader="none" w:pos="12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Investments made or acquired in the ordinary course trading activities of the Borrower and its Restricted Subsidiaries;</w:t>
      </w:r>
    </w:p>
    <w:p>
      <w:pPr>
        <w:spacing w:after="0" w:line="253" w:lineRule="exact"/>
        <w:rPr>
          <w:rFonts w:ascii="Arial" w:cs="Arial" w:eastAsia="Arial" w:hAnsi="Arial"/>
          <w:sz w:val="19"/>
          <w:szCs w:val="19"/>
          <w:color w:val="auto"/>
        </w:rPr>
      </w:pPr>
    </w:p>
    <w:p>
      <w:pPr>
        <w:ind w:firstLine="819"/>
        <w:spacing w:after="0" w:line="312" w:lineRule="auto"/>
        <w:tabs>
          <w:tab w:leader="none" w:pos="1251"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non-cash Investments in connection with tax planning and reorganization activities;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after giving effect to any such activities, the security interests of the Lenders in the Collateral, taken as a whole, would not be materially impaired;</w:t>
      </w:r>
    </w:p>
    <w:p>
      <w:pPr>
        <w:spacing w:after="0" w:line="123" w:lineRule="exact"/>
        <w:rPr>
          <w:rFonts w:ascii="Arial" w:cs="Arial" w:eastAsia="Arial" w:hAnsi="Arial"/>
          <w:sz w:val="20"/>
          <w:szCs w:val="20"/>
          <w:color w:val="auto"/>
        </w:rPr>
      </w:pPr>
    </w:p>
    <w:p>
      <w:pPr>
        <w:jc w:val="both"/>
        <w:ind w:firstLine="819"/>
        <w:spacing w:after="0" w:line="286" w:lineRule="auto"/>
        <w:tabs>
          <w:tab w:leader="none" w:pos="122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Investments in any Foreign Subsidiary made for the purposes of providing such Foreign Subsidiary the necessary capital to comply with any capital or margin requirements of a Regulatory Supervisory Organization;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outstanding amount of Investments made pursuant to this clause shall not exceed $25,000,000 at any time;</w:t>
      </w:r>
    </w:p>
    <w:p>
      <w:pPr>
        <w:spacing w:after="0" w:line="149" w:lineRule="exact"/>
        <w:rPr>
          <w:rFonts w:ascii="Arial" w:cs="Arial" w:eastAsia="Arial" w:hAnsi="Arial"/>
          <w:sz w:val="20"/>
          <w:szCs w:val="20"/>
          <w:color w:val="auto"/>
        </w:rPr>
      </w:pPr>
    </w:p>
    <w:p>
      <w:pPr>
        <w:jc w:val="both"/>
        <w:ind w:firstLine="819"/>
        <w:spacing w:after="0" w:line="267" w:lineRule="auto"/>
        <w:tabs>
          <w:tab w:leader="none" w:pos="1213"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if the Escrow Assumption occurs, Investments as a result of the Transactions, including, without limitation, Investments of a Subsidiary acquired in the Merger and Contribution to the extent that such Investments are in existence on the Escrow Assumption Date; and</w:t>
      </w:r>
    </w:p>
    <w:p>
      <w:pPr>
        <w:spacing w:after="0" w:line="165" w:lineRule="exact"/>
        <w:rPr>
          <w:rFonts w:ascii="Arial" w:cs="Arial" w:eastAsia="Arial" w:hAnsi="Arial"/>
          <w:sz w:val="21"/>
          <w:szCs w:val="21"/>
          <w:color w:val="auto"/>
        </w:rPr>
      </w:pPr>
    </w:p>
    <w:p>
      <w:pPr>
        <w:jc w:val="both"/>
        <w:ind w:firstLine="819"/>
        <w:spacing w:after="0" w:line="267" w:lineRule="auto"/>
        <w:tabs>
          <w:tab w:leader="none" w:pos="1299"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Investments in market structure companies, including securities exchanges, venues and clearing firms, in the ordinary course of business; provided, that the aggregate amount of Investments at any one time outstanding under this clause (u) in any such market structure company shall not exceed $10,000,000.</w:t>
      </w:r>
    </w:p>
    <w:p>
      <w:pPr>
        <w:spacing w:after="0" w:line="165"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i w:val="1"/>
          <w:iCs w:val="1"/>
          <w:color w:val="auto"/>
        </w:rPr>
        <w:t>Asset Sales</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Neither Holdings nor the Borrower will, nor will they permit any Restricted Subsidiary to, sell, transfer, lease</w:t>
      </w:r>
      <w:r>
        <w:rPr>
          <w:rFonts w:ascii="Arial" w:cs="Arial" w:eastAsia="Arial" w:hAnsi="Arial"/>
          <w:sz w:val="20"/>
          <w:szCs w:val="20"/>
          <w:color w:val="auto"/>
        </w:rPr>
        <w:t xml:space="preserve"> </w:t>
      </w:r>
      <w:r>
        <w:rPr>
          <w:rFonts w:ascii="Arial" w:cs="Arial" w:eastAsia="Arial" w:hAnsi="Arial"/>
          <w:sz w:val="18"/>
          <w:szCs w:val="18"/>
          <w:color w:val="auto"/>
        </w:rPr>
        <w:t>or otherwise dispose of any asset, including any Equity Interest owned by it, nor will Holdings or the Borrower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the Borrower or a Restricted Subsidiary in compliance with Section 6.04(c)) (each, a “</w:t>
      </w:r>
      <w:r>
        <w:rPr>
          <w:rFonts w:ascii="Arial" w:cs="Arial" w:eastAsia="Arial" w:hAnsi="Arial"/>
          <w:sz w:val="18"/>
          <w:szCs w:val="18"/>
          <w:b w:val="1"/>
          <w:bCs w:val="1"/>
          <w:color w:val="auto"/>
        </w:rPr>
        <w:t>Disposition</w:t>
      </w:r>
      <w:r>
        <w:rPr>
          <w:rFonts w:ascii="Arial" w:cs="Arial" w:eastAsia="Arial" w:hAnsi="Arial"/>
          <w:sz w:val="18"/>
          <w:szCs w:val="18"/>
          <w:color w:val="auto"/>
        </w:rPr>
        <w:t>”), except:</w:t>
      </w:r>
    </w:p>
    <w:p>
      <w:pPr>
        <w:spacing w:after="0" w:line="168" w:lineRule="exact"/>
        <w:rPr>
          <w:sz w:val="20"/>
          <w:szCs w:val="20"/>
          <w:color w:val="auto"/>
        </w:rPr>
      </w:pPr>
    </w:p>
    <w:p>
      <w:pPr>
        <w:jc w:val="both"/>
        <w:ind w:firstLine="819"/>
        <w:spacing w:after="0" w:line="267" w:lineRule="auto"/>
        <w:tabs>
          <w:tab w:leader="none" w:pos="1327" w:val="left"/>
        </w:tabs>
        <w:numPr>
          <w:ilvl w:val="0"/>
          <w:numId w:val="148"/>
        </w:numPr>
        <w:rPr>
          <w:rFonts w:ascii="Arial" w:cs="Arial" w:eastAsia="Arial" w:hAnsi="Arial"/>
          <w:sz w:val="21"/>
          <w:szCs w:val="21"/>
          <w:color w:val="auto"/>
        </w:rPr>
      </w:pPr>
      <w:r>
        <w:rPr>
          <w:rFonts w:ascii="Arial" w:cs="Arial" w:eastAsia="Arial" w:hAnsi="Arial"/>
          <w:sz w:val="21"/>
          <w:szCs w:val="21"/>
          <w:color w:val="auto"/>
        </w:rPr>
        <w:t>Dispositions of obsolete or worn out property, whether now owned or hereafter acquired, in the ordinary course of business and Dispositions of property no longer used or useful in the conduct of the business of Holdings, any Intermediate Parent, the Borrower and its Restricted Subsidiaries;</w:t>
      </w:r>
    </w:p>
    <w:p>
      <w:pPr>
        <w:spacing w:after="0" w:line="165" w:lineRule="exact"/>
        <w:rPr>
          <w:rFonts w:ascii="Arial" w:cs="Arial" w:eastAsia="Arial" w:hAnsi="Arial"/>
          <w:sz w:val="21"/>
          <w:szCs w:val="21"/>
          <w:color w:val="auto"/>
        </w:rPr>
      </w:pPr>
    </w:p>
    <w:p>
      <w:pPr>
        <w:ind w:left="1240" w:hanging="421"/>
        <w:spacing w:after="0"/>
        <w:tabs>
          <w:tab w:leader="none" w:pos="124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Dispositions of inventory and other assets in the ordinary course of business;</w:t>
      </w:r>
    </w:p>
    <w:p>
      <w:pPr>
        <w:spacing w:after="0" w:line="230" w:lineRule="exact"/>
        <w:rPr>
          <w:rFonts w:ascii="Arial" w:cs="Arial" w:eastAsia="Arial" w:hAnsi="Arial"/>
          <w:sz w:val="21"/>
          <w:szCs w:val="21"/>
          <w:color w:val="auto"/>
        </w:rPr>
      </w:pPr>
    </w:p>
    <w:p>
      <w:pPr>
        <w:ind w:firstLine="819"/>
        <w:spacing w:after="0" w:line="341" w:lineRule="auto"/>
        <w:tabs>
          <w:tab w:leader="none" w:pos="124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00" w:lineRule="exact"/>
        <w:rPr>
          <w:rFonts w:ascii="Arial" w:cs="Arial" w:eastAsia="Arial" w:hAnsi="Arial"/>
          <w:sz w:val="19"/>
          <w:szCs w:val="19"/>
          <w:color w:val="auto"/>
        </w:rPr>
      </w:pPr>
    </w:p>
    <w:p>
      <w:pPr>
        <w:jc w:val="both"/>
        <w:ind w:firstLine="819"/>
        <w:spacing w:after="0" w:line="255" w:lineRule="auto"/>
        <w:tabs>
          <w:tab w:leader="none" w:pos="126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 xml:space="preserve">Dispositions of property to the Borrower or a Restricted Subsidiary;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transferor in such a transaction is a Loan Party, then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value and any promissory note or other non-cash consideration received in respect thereof is a permitted investment in a Restricted Subsidiary that is not a Loan Party in accordance with Section 6.04;</w:t>
      </w:r>
    </w:p>
    <w:p>
      <w:pPr>
        <w:sectPr>
          <w:pgSz w:w="11900" w:h="16838" w:orient="portrait"/>
          <w:cols w:equalWidth="0" w:num="1">
            <w:col w:w="11420"/>
          </w:cols>
          <w:pgMar w:left="240" w:top="131" w:right="239" w:bottom="0" w:gutter="0" w:footer="0" w:header="0"/>
        </w:sectPr>
      </w:pPr>
    </w:p>
    <w:bookmarkStart w:id="165" w:name="page166"/>
    <w:bookmarkEnd w:id="165"/>
    <w:p>
      <w:pPr>
        <w:spacing w:after="0" w:line="116" w:lineRule="exact"/>
        <w:rPr>
          <w:sz w:val="20"/>
          <w:szCs w:val="20"/>
          <w:color w:val="auto"/>
        </w:rPr>
      </w:pPr>
    </w:p>
    <w:p>
      <w:pPr>
        <w:ind w:firstLine="819"/>
        <w:spacing w:after="0" w:line="286" w:lineRule="auto"/>
        <w:tabs>
          <w:tab w:leader="none" w:pos="1405" w:val="left"/>
        </w:tabs>
        <w:numPr>
          <w:ilvl w:val="0"/>
          <w:numId w:val="149"/>
        </w:numPr>
        <w:rPr>
          <w:rFonts w:ascii="Arial" w:cs="Arial" w:eastAsia="Arial" w:hAnsi="Arial"/>
          <w:sz w:val="21"/>
          <w:szCs w:val="21"/>
          <w:color w:val="auto"/>
        </w:rPr>
      </w:pPr>
      <w:r>
        <w:rPr>
          <w:rFonts w:ascii="Arial" w:cs="Arial" w:eastAsia="Arial" w:hAnsi="Arial"/>
          <w:sz w:val="21"/>
          <w:szCs w:val="21"/>
          <w:color w:val="auto"/>
        </w:rPr>
        <w:t>Dispositions permitted by Section 6.03 (other than Section 6.03(a)(vii)), Investments permitted by Section 6.04, Restricted Payments permitted by Section 6.08 and Liens permitted by Section 6.02;</w:t>
      </w:r>
    </w:p>
    <w:p>
      <w:pPr>
        <w:spacing w:after="0" w:line="146" w:lineRule="exact"/>
        <w:rPr>
          <w:rFonts w:ascii="Arial" w:cs="Arial" w:eastAsia="Arial" w:hAnsi="Arial"/>
          <w:sz w:val="21"/>
          <w:szCs w:val="21"/>
          <w:color w:val="auto"/>
        </w:rPr>
      </w:pPr>
    </w:p>
    <w:p>
      <w:pPr>
        <w:ind w:firstLine="819"/>
        <w:spacing w:after="0" w:line="286" w:lineRule="auto"/>
        <w:tabs>
          <w:tab w:leader="none" w:pos="1238" w:val="left"/>
        </w:tabs>
        <w:numPr>
          <w:ilvl w:val="0"/>
          <w:numId w:val="149"/>
        </w:numPr>
        <w:rPr>
          <w:rFonts w:ascii="Arial" w:cs="Arial" w:eastAsia="Arial" w:hAnsi="Arial"/>
          <w:sz w:val="21"/>
          <w:szCs w:val="21"/>
          <w:color w:val="auto"/>
        </w:rPr>
      </w:pPr>
      <w:r>
        <w:rPr>
          <w:rFonts w:ascii="Arial" w:cs="Arial" w:eastAsia="Arial" w:hAnsi="Arial"/>
          <w:sz w:val="21"/>
          <w:szCs w:val="21"/>
          <w:color w:val="auto"/>
        </w:rPr>
        <w:t>Dispositions of property acquired by Holdings, the Borrower or any of its Restricted Subsidiaries after the Restatement Effective Date pursuant to sale-leaseback transactions permitted by Section 6.06;</w:t>
      </w:r>
    </w:p>
    <w:p>
      <w:pPr>
        <w:spacing w:after="0" w:line="146" w:lineRule="exact"/>
        <w:rPr>
          <w:rFonts w:ascii="Arial" w:cs="Arial" w:eastAsia="Arial" w:hAnsi="Arial"/>
          <w:sz w:val="21"/>
          <w:szCs w:val="21"/>
          <w:color w:val="auto"/>
        </w:rPr>
      </w:pPr>
    </w:p>
    <w:p>
      <w:pPr>
        <w:ind w:left="1240" w:hanging="421"/>
        <w:spacing w:after="0"/>
        <w:tabs>
          <w:tab w:leader="none" w:pos="124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Dispositions of Permitted Investments;</w:t>
      </w:r>
    </w:p>
    <w:p>
      <w:pPr>
        <w:spacing w:after="0" w:line="230" w:lineRule="exact"/>
        <w:rPr>
          <w:rFonts w:ascii="Arial" w:cs="Arial" w:eastAsia="Arial" w:hAnsi="Arial"/>
          <w:sz w:val="21"/>
          <w:szCs w:val="21"/>
          <w:color w:val="auto"/>
        </w:rPr>
      </w:pPr>
    </w:p>
    <w:p>
      <w:pPr>
        <w:ind w:left="1240" w:hanging="421"/>
        <w:spacing w:after="0"/>
        <w:tabs>
          <w:tab w:leader="none" w:pos="124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Dispositions of accounts receivable in connection with the collection or compromise thereof;</w:t>
      </w:r>
    </w:p>
    <w:p>
      <w:pPr>
        <w:spacing w:after="0" w:line="230" w:lineRule="exact"/>
        <w:rPr>
          <w:rFonts w:ascii="Arial" w:cs="Arial" w:eastAsia="Arial" w:hAnsi="Arial"/>
          <w:sz w:val="21"/>
          <w:szCs w:val="21"/>
          <w:color w:val="auto"/>
        </w:rPr>
      </w:pPr>
    </w:p>
    <w:p>
      <w:pPr>
        <w:jc w:val="both"/>
        <w:ind w:firstLine="819"/>
        <w:spacing w:after="0" w:line="267" w:lineRule="auto"/>
        <w:tabs>
          <w:tab w:leader="none" w:pos="120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leases, subleases, licenses or sublicenses (including the provision of software under an open source license), in each case in the ordinary course of business and that do not materially interfere with the business of Holdings, the Borrower and its Restricted Subsidiaries, taken as a whole;</w:t>
      </w:r>
    </w:p>
    <w:p>
      <w:pPr>
        <w:spacing w:after="0" w:line="165" w:lineRule="exact"/>
        <w:rPr>
          <w:rFonts w:ascii="Arial" w:cs="Arial" w:eastAsia="Arial" w:hAnsi="Arial"/>
          <w:sz w:val="21"/>
          <w:szCs w:val="21"/>
          <w:color w:val="auto"/>
        </w:rPr>
      </w:pPr>
    </w:p>
    <w:p>
      <w:pPr>
        <w:ind w:left="1200" w:hanging="381"/>
        <w:spacing w:after="0"/>
        <w:tabs>
          <w:tab w:leader="none" w:pos="120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transfers of property subject to Casualty Events upon receipt of the Net Proceeds of such Casualty Event;</w:t>
      </w:r>
    </w:p>
    <w:p>
      <w:pPr>
        <w:spacing w:after="0" w:line="230" w:lineRule="exact"/>
        <w:rPr>
          <w:rFonts w:ascii="Arial" w:cs="Arial" w:eastAsia="Arial" w:hAnsi="Arial"/>
          <w:sz w:val="21"/>
          <w:szCs w:val="21"/>
          <w:color w:val="auto"/>
        </w:rPr>
      </w:pPr>
    </w:p>
    <w:p>
      <w:pPr>
        <w:jc w:val="both"/>
        <w:ind w:firstLine="819"/>
        <w:spacing w:after="0" w:line="277" w:lineRule="auto"/>
        <w:tabs>
          <w:tab w:leader="none" w:pos="126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Dispositions of property to Persons other than Restricted Subsidiaries (including the sale or issuance of Equity Interests of a Restricted Subsidiary) not otherwise permitted under this Section 6.05;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aggregate amount of consideration received from Dispositions made in reliance on this clause (k) after the Restatement Effective Date shall not exceed $100,000,000, (ii) no Default shall exist at the time of, or would result from, such Disposition (other than any such Disposition made pursuant to a legally binding commitment entered into at a time when no Default existed or would have resulted from such Disposition) and (iii) with respect to any Disposition pursuant to this clause (k) for a purchase price in excess of $5,000,000, Holdings, the Borrower or a Restricted Subsidiary shall receive not less than 75% of such consideration in the form of cash or Permitted Investments;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the purposes of this clause (iii), (A) any liabilities (as shown on the most recent balance sheet of Holdings 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hereunder or in the footnotes thereto) of Holdings, the Borrower or such Restricted Subsidiary, other than liabilities that are by their terms subordinated in right of payment to the Loan Document Obligations, that are assumed by the transferee with respect to the applicable Disposition and for which Holdings, any Intermediate Parent, the Borrower and all of the Restricted Subsidiaries shall have been validly released by all applicable creditors in writing, shall be deemed to be cash, (B) any securities received by Holdings, any Intermediate Parent, the Borrower or such Restricted Subsidiary from such transferee that are converted by Holdings, any Intermediate Parent, the Borrower or such Restricted Subsidiary into cash or Permitted Investments (to the extent of the cash or Permitted Investments received) within 180 days following the closing of the applicable Disposition, shall be deemed to be cash and (C) any Designated Non-Cash Consideration received by Holdings, any Intermediate Parent, the Borrower or such Restricted Subsidiary in respect of such Disposition having an aggregate fair market value, taken together with all other Designated Non-Cash Consideration received pursuant to this clause (k) that is at that time outstanding, not in excess of $20,000,000 at the time of the receipt of such Designated Non-Cash Consideration, with the fair market value of each item of Designated Non-Cash Consideration being measured at the time received and without giving effect to subsequent changes in value, shall be deemed to be cash;</w:t>
      </w:r>
    </w:p>
    <w:p>
      <w:pPr>
        <w:spacing w:after="0" w:line="166" w:lineRule="exact"/>
        <w:rPr>
          <w:rFonts w:ascii="Arial" w:cs="Arial" w:eastAsia="Arial" w:hAnsi="Arial"/>
          <w:sz w:val="19"/>
          <w:szCs w:val="19"/>
          <w:color w:val="auto"/>
        </w:rPr>
      </w:pPr>
    </w:p>
    <w:p>
      <w:pPr>
        <w:ind w:firstLine="819"/>
        <w:spacing w:after="0" w:line="312" w:lineRule="auto"/>
        <w:tabs>
          <w:tab w:leader="none" w:pos="137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23" w:lineRule="exact"/>
        <w:rPr>
          <w:rFonts w:ascii="Arial" w:cs="Arial" w:eastAsia="Arial" w:hAnsi="Arial"/>
          <w:sz w:val="20"/>
          <w:szCs w:val="20"/>
          <w:color w:val="auto"/>
        </w:rPr>
      </w:pPr>
    </w:p>
    <w:p>
      <w:pPr>
        <w:ind w:left="1300" w:hanging="481"/>
        <w:spacing w:after="0"/>
        <w:tabs>
          <w:tab w:leader="none" w:pos="130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Dispositions of assets listed on Schedule 6.05;</w:t>
      </w:r>
    </w:p>
    <w:p>
      <w:pPr>
        <w:spacing w:after="0" w:line="230" w:lineRule="exact"/>
        <w:rPr>
          <w:rFonts w:ascii="Arial" w:cs="Arial" w:eastAsia="Arial" w:hAnsi="Arial"/>
          <w:sz w:val="21"/>
          <w:szCs w:val="21"/>
          <w:color w:val="auto"/>
        </w:rPr>
      </w:pPr>
    </w:p>
    <w:p>
      <w:pPr>
        <w:jc w:val="both"/>
        <w:ind w:firstLine="819"/>
        <w:spacing w:after="0" w:line="260" w:lineRule="auto"/>
        <w:tabs>
          <w:tab w:leader="none" w:pos="12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 xml:space="preserve">Dispositions of non-core assets acquired in (i) a Permitted Acquisition;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such assets were identified to the Administrative Agent in writing as non-core assets within thirty days of the time that the applicable Permitted Acquisition was consummated and (B) such Disposition is consummated within one year after the date on which the applicable Permitted Acquisition was consummated, or (ii) the Merger and Contribution; and</w:t>
      </w:r>
    </w:p>
    <w:p>
      <w:pPr>
        <w:spacing w:after="0" w:line="174" w:lineRule="exact"/>
        <w:rPr>
          <w:rFonts w:ascii="Arial" w:cs="Arial" w:eastAsia="Arial" w:hAnsi="Arial"/>
          <w:sz w:val="21"/>
          <w:szCs w:val="21"/>
          <w:color w:val="auto"/>
        </w:rPr>
      </w:pPr>
    </w:p>
    <w:p>
      <w:pPr>
        <w:ind w:firstLine="819"/>
        <w:spacing w:after="0" w:line="286" w:lineRule="auto"/>
        <w:tabs>
          <w:tab w:leader="none" w:pos="1352" w:val="left"/>
        </w:tabs>
        <w:numPr>
          <w:ilvl w:val="0"/>
          <w:numId w:val="149"/>
        </w:numPr>
        <w:rPr>
          <w:rFonts w:ascii="Arial" w:cs="Arial" w:eastAsia="Arial" w:hAnsi="Arial"/>
          <w:sz w:val="21"/>
          <w:szCs w:val="21"/>
          <w:color w:val="auto"/>
        </w:rPr>
      </w:pPr>
      <w:r>
        <w:rPr>
          <w:rFonts w:ascii="Arial" w:cs="Arial" w:eastAsia="Arial" w:hAnsi="Arial"/>
          <w:sz w:val="21"/>
          <w:szCs w:val="21"/>
          <w:color w:val="auto"/>
        </w:rPr>
        <w:t>Dispositions of securities, Swap Agreements and other financial instruments as part of the ordinary course trading business of the Borrower and its Restricted Subsidiaries;</w:t>
      </w:r>
    </w:p>
    <w:p>
      <w:pPr>
        <w:spacing w:after="0" w:line="138" w:lineRule="exact"/>
        <w:rPr>
          <w:sz w:val="20"/>
          <w:szCs w:val="20"/>
          <w:color w:val="auto"/>
        </w:rPr>
      </w:pPr>
    </w:p>
    <w:p>
      <w:pPr>
        <w:jc w:val="both"/>
        <w:spacing w:after="0" w:line="30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Disposition of any property pursuant to this Section 6.05 (except pursuant to Section 6.05(e) and except for Dispositions by a</w:t>
      </w:r>
      <w:r>
        <w:rPr>
          <w:rFonts w:ascii="Arial" w:cs="Arial" w:eastAsia="Arial" w:hAnsi="Arial"/>
          <w:sz w:val="18"/>
          <w:szCs w:val="18"/>
          <w:i w:val="1"/>
          <w:iCs w:val="1"/>
          <w:color w:val="auto"/>
        </w:rPr>
        <w:t xml:space="preserve"> </w:t>
      </w:r>
      <w:r>
        <w:rPr>
          <w:rFonts w:ascii="Arial" w:cs="Arial" w:eastAsia="Arial" w:hAnsi="Arial"/>
          <w:sz w:val="18"/>
          <w:szCs w:val="18"/>
          <w:color w:val="auto"/>
        </w:rPr>
        <w:t>Loan Party to another Loan Party), shall be for no less than the fair market value of such property at the time of such Disposition.</w:t>
      </w:r>
    </w:p>
    <w:p>
      <w:pPr>
        <w:spacing w:after="0" w:line="142" w:lineRule="exact"/>
        <w:rPr>
          <w:sz w:val="20"/>
          <w:szCs w:val="20"/>
          <w:color w:val="auto"/>
        </w:rPr>
      </w:pPr>
    </w:p>
    <w:p>
      <w:pPr>
        <w:jc w:val="both"/>
        <w:ind w:firstLine="630"/>
        <w:spacing w:after="0" w:line="312"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i w:val="1"/>
          <w:iCs w:val="1"/>
          <w:color w:val="auto"/>
        </w:rPr>
        <w:t>Sale and Leaseback Transactions</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Neither Holdings nor the Borrower will, nor will they permit any Restricted</w:t>
      </w:r>
      <w:r>
        <w:rPr>
          <w:rFonts w:ascii="Arial" w:cs="Arial" w:eastAsia="Arial" w:hAnsi="Arial"/>
          <w:sz w:val="19"/>
          <w:szCs w:val="19"/>
          <w:color w:val="auto"/>
        </w:rPr>
        <w:t xml:space="preserve"> </w:t>
      </w:r>
      <w:r>
        <w:rPr>
          <w:rFonts w:ascii="Arial" w:cs="Arial" w:eastAsia="Arial" w:hAnsi="Arial"/>
          <w:sz w:val="17"/>
          <w:szCs w:val="17"/>
          <w:color w:val="auto"/>
        </w:rPr>
        <w:t xml:space="preserve">Subsidiary or Intermediate Parent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the Borrower or any Restricted Subsidiary that is made for cash consideration in an amount not less than the fair value of such fixed or capital asset and is consummated within 270 days after the Borrower or such Restricted Subsidiary, as applicable, acquires or completes the construction of such fixed or capital asset;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sale and leaseback results in a Capital Lease Obligation, such Capital Lease Obligation is permitted by Section 6.01 and any Lien made the subject of such Capital Lease Obligation is permitted by Section 6.02.</w:t>
      </w:r>
    </w:p>
    <w:p>
      <w:pPr>
        <w:spacing w:after="0" w:line="155" w:lineRule="exact"/>
        <w:rPr>
          <w:sz w:val="20"/>
          <w:szCs w:val="20"/>
          <w:color w:val="auto"/>
        </w:rPr>
      </w:pPr>
    </w:p>
    <w:p>
      <w:pPr>
        <w:jc w:val="both"/>
        <w:ind w:firstLine="630"/>
        <w:spacing w:after="0" w:line="315"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i w:val="1"/>
          <w:iCs w:val="1"/>
          <w:color w:val="auto"/>
        </w:rPr>
        <w:t>Swap Agreements</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Neither Holdings nor the Borrower will, nor will they permit any Restricted Subsidiary or</w:t>
      </w:r>
      <w:r>
        <w:rPr>
          <w:rFonts w:ascii="Arial" w:cs="Arial" w:eastAsia="Arial" w:hAnsi="Arial"/>
          <w:sz w:val="19"/>
          <w:szCs w:val="19"/>
          <w:color w:val="auto"/>
        </w:rPr>
        <w:t xml:space="preserve"> </w:t>
      </w:r>
      <w:r>
        <w:rPr>
          <w:rFonts w:ascii="Arial" w:cs="Arial" w:eastAsia="Arial" w:hAnsi="Arial"/>
          <w:sz w:val="17"/>
          <w:szCs w:val="17"/>
          <w:color w:val="auto"/>
        </w:rPr>
        <w:t xml:space="preserve">Intermediate Parent to, enter into any Swap Agreement, except (a) (i) Swap Agreements entered into to hedge or mitigate risks to which Holdings, the Borrower or any Restricted Subsidiary has actual exposure (other than those in respect of shares of capital stock or other Equity Interests of Holdings, the Borrower or any Restricted Subsidiary) and (ii) Swap Agreements entered into in order to effectively cap, collar or exchange interest rates (from fixed to floating rates, from one floating rate to another floating rate or otherwise) with respect to any interest-bearing liability or investment of Holdings, the Borrower or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Swap Agreement entered into pursuant to this clause (a) shall</w:t>
      </w:r>
    </w:p>
    <w:p>
      <w:pPr>
        <w:sectPr>
          <w:pgSz w:w="11900" w:h="16955" w:orient="portrait"/>
          <w:cols w:equalWidth="0" w:num="1">
            <w:col w:w="11420"/>
          </w:cols>
          <w:pgMar w:left="240" w:top="131" w:right="239" w:bottom="0" w:gutter="0" w:footer="0" w:header="0"/>
        </w:sectPr>
      </w:pPr>
    </w:p>
    <w:bookmarkStart w:id="166" w:name="page167"/>
    <w:bookmarkEnd w:id="166"/>
    <w:p>
      <w:pPr>
        <w:spacing w:after="0" w:line="35" w:lineRule="exact"/>
        <w:rPr>
          <w:sz w:val="20"/>
          <w:szCs w:val="20"/>
          <w:color w:val="auto"/>
        </w:rPr>
      </w:pPr>
    </w:p>
    <w:p>
      <w:pPr>
        <w:spacing w:after="0" w:line="303" w:lineRule="auto"/>
        <w:rPr>
          <w:sz w:val="20"/>
          <w:szCs w:val="20"/>
          <w:color w:val="auto"/>
        </w:rPr>
      </w:pPr>
      <w:r>
        <w:rPr>
          <w:rFonts w:ascii="Arial" w:cs="Arial" w:eastAsia="Arial" w:hAnsi="Arial"/>
          <w:sz w:val="19"/>
          <w:szCs w:val="19"/>
          <w:color w:val="auto"/>
        </w:rPr>
        <w:t>be entered into in the ordinary course of business and not for speculative purposes and (b) Swap Agreements entered into in the ordinary course trading business of the Borrower or any Restricted Subsidiary.</w:t>
      </w:r>
    </w:p>
    <w:p>
      <w:pPr>
        <w:spacing w:after="0" w:line="152" w:lineRule="exact"/>
        <w:rPr>
          <w:sz w:val="20"/>
          <w:szCs w:val="20"/>
          <w:color w:val="auto"/>
        </w:rPr>
      </w:pPr>
    </w:p>
    <w:p>
      <w:pPr>
        <w:ind w:firstLine="630"/>
        <w:spacing w:after="0" w:line="294" w:lineRule="auto"/>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i w:val="1"/>
          <w:iCs w:val="1"/>
          <w:color w:val="auto"/>
        </w:rPr>
        <w:t>Restricted Payments; Certain Payments of Indebtedness</w:t>
      </w:r>
      <w:r>
        <w:rPr>
          <w:rFonts w:ascii="Arial" w:cs="Arial" w:eastAsia="Arial" w:hAnsi="Arial"/>
          <w:sz w:val="18"/>
          <w:szCs w:val="18"/>
          <w:color w:val="auto"/>
        </w:rPr>
        <w:t>.</w:t>
      </w:r>
      <w:r>
        <w:rPr>
          <w:rFonts w:ascii="Arial" w:cs="Arial" w:eastAsia="Arial" w:hAnsi="Arial"/>
          <w:sz w:val="20"/>
          <w:szCs w:val="20"/>
          <w:color w:val="auto"/>
        </w:rPr>
        <w:t xml:space="preserve"> (%3) </w:t>
      </w:r>
      <w:r>
        <w:rPr>
          <w:rFonts w:ascii="Arial" w:cs="Arial" w:eastAsia="Arial" w:hAnsi="Arial"/>
          <w:sz w:val="18"/>
          <w:szCs w:val="18"/>
          <w:color w:val="auto"/>
        </w:rPr>
        <w:t>Neither Holdings nor the Borrower will, nor will they</w:t>
      </w:r>
      <w:r>
        <w:rPr>
          <w:rFonts w:ascii="Arial" w:cs="Arial" w:eastAsia="Arial" w:hAnsi="Arial"/>
          <w:sz w:val="20"/>
          <w:szCs w:val="20"/>
          <w:color w:val="auto"/>
        </w:rPr>
        <w:t xml:space="preserve"> </w:t>
      </w:r>
      <w:r>
        <w:rPr>
          <w:rFonts w:ascii="Arial" w:cs="Arial" w:eastAsia="Arial" w:hAnsi="Arial"/>
          <w:sz w:val="18"/>
          <w:szCs w:val="18"/>
          <w:color w:val="auto"/>
        </w:rPr>
        <w:t>permit any Restricted Subsidiary to declare or make, or agree to pay or make, directly or indirectly, any Restricted Payment, except:</w:t>
      </w:r>
    </w:p>
    <w:p>
      <w:pPr>
        <w:spacing w:after="0" w:line="158" w:lineRule="exact"/>
        <w:rPr>
          <w:sz w:val="20"/>
          <w:szCs w:val="20"/>
          <w:color w:val="auto"/>
        </w:rPr>
      </w:pPr>
    </w:p>
    <w:p>
      <w:pPr>
        <w:ind w:left="1960" w:hanging="380"/>
        <w:spacing w:after="0"/>
        <w:tabs>
          <w:tab w:leader="none" w:pos="19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each Restricted Subsidiary may make Restricted Payments to the Borrower or any other Restricted Subsidiary;</w:t>
      </w:r>
    </w:p>
    <w:p>
      <w:pPr>
        <w:spacing w:after="0" w:line="253" w:lineRule="exact"/>
        <w:rPr>
          <w:rFonts w:ascii="Arial" w:cs="Arial" w:eastAsia="Arial" w:hAnsi="Arial"/>
          <w:sz w:val="19"/>
          <w:szCs w:val="19"/>
          <w:color w:val="auto"/>
        </w:rPr>
      </w:pPr>
    </w:p>
    <w:p>
      <w:pPr>
        <w:jc w:val="both"/>
        <w:ind w:left="640" w:firstLine="940"/>
        <w:spacing w:after="0" w:line="257" w:lineRule="auto"/>
        <w:tabs>
          <w:tab w:leader="none" w:pos="2121" w:val="left"/>
        </w:tabs>
        <w:numPr>
          <w:ilvl w:val="0"/>
          <w:numId w:val="150"/>
        </w:numPr>
        <w:rPr>
          <w:rFonts w:ascii="Arial" w:cs="Arial" w:eastAsia="Arial" w:hAnsi="Arial"/>
          <w:sz w:val="21"/>
          <w:szCs w:val="21"/>
          <w:color w:val="auto"/>
        </w:rPr>
      </w:pPr>
      <w:r>
        <w:rPr>
          <w:rFonts w:ascii="Arial" w:cs="Arial" w:eastAsia="Arial" w:hAnsi="Arial"/>
          <w:sz w:val="21"/>
          <w:szCs w:val="21"/>
          <w:color w:val="auto"/>
        </w:rPr>
        <w:t xml:space="preserve">Holdings, the Borrower and each Restricted Subsidiary may declare and make dividend payments or other distributions payable solely in the Equity Interests of such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any such Restricted Payment by a Restricted Subsidiary that is not a Wholly Owned Subsidiary of the Borrower, such Restricted Payment is made to the Borrower, any Restricted Subsidiary and to each other owner of Equity Interests of such Restricted Subsidiary based on their relative ownership interests of the relevant class of Equity Interests;</w:t>
      </w:r>
    </w:p>
    <w:p>
      <w:pPr>
        <w:spacing w:after="0" w:line="176" w:lineRule="exact"/>
        <w:rPr>
          <w:rFonts w:ascii="Arial" w:cs="Arial" w:eastAsia="Arial" w:hAnsi="Arial"/>
          <w:sz w:val="21"/>
          <w:szCs w:val="21"/>
          <w:color w:val="auto"/>
        </w:rPr>
      </w:pPr>
    </w:p>
    <w:p>
      <w:pPr>
        <w:jc w:val="both"/>
        <w:ind w:left="640" w:firstLine="940"/>
        <w:spacing w:after="0" w:line="267" w:lineRule="auto"/>
        <w:tabs>
          <w:tab w:leader="none" w:pos="215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following the Escrow Assumption Date, so long as no Default has occurred and is continuing or would be caused thereby, the payment of quarterly distributions or dividends in an amount not to exceed $46,300,000 during each of the first four consecutive fiscal quarters beginning with the fiscal quarter in which the Escrow Assumption Date occurs;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(x) the Total Leverage Ratio as of the last day of the most recently ended Test Period prior to any such distribution or dividend, determined on a Pro Forma Basis, is less than or equal to 4.25 to 1.00, (y) for the avoidance of doubt, unused amounts with respect to any such fiscal quarter shall not be available in any other fiscal quarter and (z) any payment pursuant to this clause (iii) shall reduce Cumulative Excess Cash Flow that is Not Otherwise Applied (but not in excess of the amount by which Cumulative Excess Cash Flow that is Not Otherwise Applied exceeds zero at such time);</w:t>
      </w:r>
    </w:p>
    <w:p>
      <w:pPr>
        <w:spacing w:after="0" w:line="171" w:lineRule="exact"/>
        <w:rPr>
          <w:rFonts w:ascii="Arial" w:cs="Arial" w:eastAsia="Arial" w:hAnsi="Arial"/>
          <w:sz w:val="20"/>
          <w:szCs w:val="20"/>
          <w:color w:val="auto"/>
        </w:rPr>
      </w:pPr>
    </w:p>
    <w:p>
      <w:pPr>
        <w:jc w:val="both"/>
        <w:ind w:left="640" w:firstLine="940"/>
        <w:spacing w:after="0" w:line="260" w:lineRule="auto"/>
        <w:tabs>
          <w:tab w:leader="none" w:pos="2181" w:val="left"/>
        </w:tabs>
        <w:numPr>
          <w:ilvl w:val="0"/>
          <w:numId w:val="150"/>
        </w:numPr>
        <w:rPr>
          <w:rFonts w:ascii="Arial" w:cs="Arial" w:eastAsia="Arial" w:hAnsi="Arial"/>
          <w:sz w:val="21"/>
          <w:szCs w:val="21"/>
          <w:color w:val="auto"/>
        </w:rPr>
      </w:pPr>
      <w:r>
        <w:rPr>
          <w:rFonts w:ascii="Arial" w:cs="Arial" w:eastAsia="Arial" w:hAnsi="Arial"/>
          <w:sz w:val="21"/>
          <w:szCs w:val="21"/>
          <w:color w:val="auto"/>
        </w:rPr>
        <w:t>repurchases of Equity Interests in Holdings (or Restricted Payments by Holdings to allow repurchases of Equity Interests in any direct or indirect parent of Holdings), the Borrower or any Restricted Subsidiary deemed to occur upon the exercise of stock options or warrants if such Equity Interests represent a portion of the exercise price of such options or warrants;</w:t>
      </w:r>
    </w:p>
    <w:p>
      <w:pPr>
        <w:spacing w:after="0" w:line="174" w:lineRule="exact"/>
        <w:rPr>
          <w:rFonts w:ascii="Arial" w:cs="Arial" w:eastAsia="Arial" w:hAnsi="Arial"/>
          <w:sz w:val="21"/>
          <w:szCs w:val="21"/>
          <w:color w:val="auto"/>
        </w:rPr>
      </w:pPr>
    </w:p>
    <w:p>
      <w:pPr>
        <w:jc w:val="both"/>
        <w:ind w:left="640" w:firstLine="940"/>
        <w:spacing w:after="0" w:line="278" w:lineRule="auto"/>
        <w:tabs>
          <w:tab w:leader="none" w:pos="208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Holdings may redeem, acquire, retire or repurchase its Equity Interests (or any options or warrants or stock appreciation rights issued with respect to any of such Equity Interests) (or make Restricted Payments to allow any of Holdings’ direct or indirect parent companies or any Employee Holding Vehicle to so redeem, retire, acquire or repurchase Equity Interests of Holdings or such entity) held by current or former officers, managers, consultants, directors and employees or their permitted transferees (or their respective estates, executors, trustees, administrators, heirs, legatees or distributes) of Holdings (or any direct or indirect parent thereof), the Borrower and the Restricted Subsidiaries, or held by any Employee Holding Vehicle for the benefit of any of the foregoing,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Restatement Effective Date together with the aggregate amount of loans and advances to Holdings made pursuant to Section 6.04(l) in lieu of Restricted Payments permitted by this clause (v) not to exceed $5,000,000 in any calendar year with unused amounts in any calendar year being carried over to succeeding calendar years subject to a maximum of $15,000,000 in any calendar year (without giving effect to the following proviso);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 in any calendar year may be increased by an amount not to exceed the cash proceeds of key man life insurance policies received by the Borrower or its Restricted Subsidiaries after the Restatement Effective Date and not previously applied pursuant to this clause (v);</w:t>
      </w:r>
    </w:p>
    <w:p>
      <w:pPr>
        <w:spacing w:after="0" w:line="157" w:lineRule="exact"/>
        <w:rPr>
          <w:rFonts w:ascii="Arial" w:cs="Arial" w:eastAsia="Arial" w:hAnsi="Arial"/>
          <w:sz w:val="19"/>
          <w:szCs w:val="19"/>
          <w:color w:val="auto"/>
        </w:rPr>
      </w:pPr>
    </w:p>
    <w:p>
      <w:pPr>
        <w:jc w:val="both"/>
        <w:ind w:left="640" w:firstLine="940"/>
        <w:spacing w:after="0" w:line="266" w:lineRule="auto"/>
        <w:tabs>
          <w:tab w:leader="none" w:pos="2181" w:val="left"/>
        </w:tabs>
        <w:numPr>
          <w:ilvl w:val="0"/>
          <w:numId w:val="150"/>
        </w:numPr>
        <w:rPr>
          <w:rFonts w:ascii="Arial" w:cs="Arial" w:eastAsia="Arial" w:hAnsi="Arial"/>
          <w:sz w:val="20"/>
          <w:szCs w:val="20"/>
          <w:color w:val="auto"/>
        </w:rPr>
      </w:pPr>
      <w:r>
        <w:rPr>
          <w:rFonts w:ascii="Arial" w:cs="Arial" w:eastAsia="Arial" w:hAnsi="Arial"/>
          <w:sz w:val="20"/>
          <w:szCs w:val="20"/>
          <w:color w:val="auto"/>
        </w:rPr>
        <w:t>so long as the Borrower and Holdings are each treated as a pass-through or disregarded entity (a “</w:t>
      </w:r>
      <w:r>
        <w:rPr>
          <w:rFonts w:ascii="Arial" w:cs="Arial" w:eastAsia="Arial" w:hAnsi="Arial"/>
          <w:sz w:val="20"/>
          <w:szCs w:val="20"/>
          <w:b w:val="1"/>
          <w:bCs w:val="1"/>
          <w:color w:val="auto"/>
        </w:rPr>
        <w:t>Flow-Through Entity</w:t>
      </w:r>
      <w:r>
        <w:rPr>
          <w:rFonts w:ascii="Arial" w:cs="Arial" w:eastAsia="Arial" w:hAnsi="Arial"/>
          <w:sz w:val="20"/>
          <w:szCs w:val="20"/>
          <w:color w:val="auto"/>
        </w:rPr>
        <w:t>”) for U.S. federal and state income tax purposes, Borrower may make distributions to Holdings and 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may make distributions to its members for Permitted Tax Distributions at such times and with respect to such periods as Tax Distributions (as defined in the Holdings LLC Agreement) are required to be made or designated pursuant to the Holdings LLC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Holdings is not a Flow-Through Entity, so long as Borrower is a Flow-Through Entity, Borrower may make Permitted Tax Distributions to Holdings on a quarterly basis and at the end of a Taxable Year (with the determination of the Permitted Tax Distributions to be made by substituting Borrower for Holdings in the applicable definitions);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further </w:t>
      </w:r>
      <w:r>
        <w:rPr>
          <w:rFonts w:ascii="Arial" w:cs="Arial" w:eastAsia="Arial" w:hAnsi="Arial"/>
          <w:sz w:val="20"/>
          <w:szCs w:val="20"/>
          <w:color w:val="auto"/>
        </w:rPr>
        <w:t>that Restricted Payments under this clause (vi) in respect of any taxes attributable to the income of any Unrestricted</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of the Borrower may be made only to the extent that such Unrestricted Subsidiaries have made cash payments for such purpose to the Borrower or its Restricted Subsidiaries;</w:t>
      </w:r>
    </w:p>
    <w:p>
      <w:pPr>
        <w:spacing w:after="0" w:line="173" w:lineRule="exact"/>
        <w:rPr>
          <w:rFonts w:ascii="Arial" w:cs="Arial" w:eastAsia="Arial" w:hAnsi="Arial"/>
          <w:sz w:val="20"/>
          <w:szCs w:val="20"/>
          <w:color w:val="auto"/>
        </w:rPr>
      </w:pPr>
    </w:p>
    <w:p>
      <w:pPr>
        <w:jc w:val="both"/>
        <w:ind w:left="640" w:firstLine="940"/>
        <w:spacing w:after="0" w:line="267" w:lineRule="auto"/>
        <w:tabs>
          <w:tab w:leader="none" w:pos="2134" w:val="left"/>
        </w:tabs>
        <w:numPr>
          <w:ilvl w:val="0"/>
          <w:numId w:val="150"/>
        </w:numPr>
        <w:rPr>
          <w:rFonts w:ascii="Arial" w:cs="Arial" w:eastAsia="Arial" w:hAnsi="Arial"/>
          <w:sz w:val="21"/>
          <w:szCs w:val="21"/>
          <w:color w:val="auto"/>
        </w:rPr>
      </w:pPr>
      <w:r>
        <w:rPr>
          <w:rFonts w:ascii="Arial" w:cs="Arial" w:eastAsia="Arial" w:hAnsi="Arial"/>
          <w:sz w:val="21"/>
          <w:szCs w:val="21"/>
          <w:color w:val="auto"/>
        </w:rPr>
        <w:t>any Intermediate Parent, the Borrower and the Restricted Subsidiaries may make Restricted Payments in cash to Holdings and any Intermediate Parent and, where applicable, Holdings and such Intermediate Parent may make Restricted Payments in cash:</w:t>
      </w:r>
    </w:p>
    <w:p>
      <w:pPr>
        <w:spacing w:after="0" w:line="165" w:lineRule="exact"/>
        <w:rPr>
          <w:rFonts w:ascii="Arial" w:cs="Arial" w:eastAsia="Arial" w:hAnsi="Arial"/>
          <w:sz w:val="21"/>
          <w:szCs w:val="21"/>
          <w:color w:val="auto"/>
        </w:rPr>
      </w:pPr>
    </w:p>
    <w:p>
      <w:pPr>
        <w:jc w:val="both"/>
        <w:ind w:left="1340" w:firstLine="1001"/>
        <w:spacing w:after="0" w:line="303" w:lineRule="auto"/>
        <w:tabs>
          <w:tab w:leader="none" w:pos="293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in an aggregate amount together with the aggregate amount of loans and advances to Holdings made pursuant to Section 6.04(l) in lieu of Restricted Payments permitted by this clause (a)(vii)(A) not to exceed $4,000,000 in any fiscal year, plus any reasonable and customary indemnification claims made by directors or officers of Holdings</w:t>
      </w:r>
    </w:p>
    <w:p>
      <w:pPr>
        <w:sectPr>
          <w:pgSz w:w="11900" w:h="16873" w:orient="portrait"/>
          <w:cols w:equalWidth="0" w:num="1">
            <w:col w:w="11420"/>
          </w:cols>
          <w:pgMar w:left="240" w:top="136" w:right="239" w:bottom="0" w:gutter="0" w:footer="0" w:header="0"/>
        </w:sectPr>
      </w:pPr>
    </w:p>
    <w:bookmarkStart w:id="167" w:name="page168"/>
    <w:bookmarkEnd w:id="167"/>
    <w:p>
      <w:pPr>
        <w:jc w:val="both"/>
        <w:ind w:left="521"/>
        <w:spacing w:after="0" w:line="256" w:lineRule="auto"/>
        <w:rPr>
          <w:sz w:val="20"/>
          <w:szCs w:val="20"/>
          <w:color w:val="auto"/>
        </w:rPr>
      </w:pPr>
      <w:r>
        <w:rPr>
          <w:rFonts w:ascii="Arial" w:cs="Arial" w:eastAsia="Arial" w:hAnsi="Arial"/>
          <w:sz w:val="21"/>
          <w:szCs w:val="21"/>
          <w:color w:val="auto"/>
        </w:rPr>
        <w:t>(or any parent thereof) attributable to the ownership or operations of Holdings and the Restricted Subsidiaries or otherwise payable by Holdings pursuant to the Holdings LLC Agreement and (2) fees and expenses (x) due and payable by any of the Restricted Subsidiaries and (y) otherwise permitted to be paid (but not paid) by such Restricted Subsidiary under this Agreement;</w:t>
      </w:r>
    </w:p>
    <w:p>
      <w:pPr>
        <w:spacing w:after="0" w:line="177" w:lineRule="exact"/>
        <w:rPr>
          <w:sz w:val="20"/>
          <w:szCs w:val="20"/>
          <w:color w:val="auto"/>
        </w:rPr>
      </w:pPr>
    </w:p>
    <w:p>
      <w:pPr>
        <w:ind w:left="521" w:firstLine="1001"/>
        <w:spacing w:after="0" w:line="286" w:lineRule="auto"/>
        <w:tabs>
          <w:tab w:leader="none" w:pos="1987" w:val="left"/>
        </w:tabs>
        <w:numPr>
          <w:ilvl w:val="2"/>
          <w:numId w:val="151"/>
        </w:numPr>
        <w:rPr>
          <w:rFonts w:ascii="Arial" w:cs="Arial" w:eastAsia="Arial" w:hAnsi="Arial"/>
          <w:sz w:val="21"/>
          <w:szCs w:val="21"/>
          <w:color w:val="auto"/>
        </w:rPr>
      </w:pPr>
      <w:r>
        <w:rPr>
          <w:rFonts w:ascii="Arial" w:cs="Arial" w:eastAsia="Arial" w:hAnsi="Arial"/>
          <w:sz w:val="21"/>
          <w:szCs w:val="21"/>
          <w:color w:val="auto"/>
        </w:rPr>
        <w:t>the proceeds of which shall be used by Holdings or any Intermediate Parent to pay franchise taxes and other fees and expenses required to maintain its organizational existence;</w:t>
      </w:r>
    </w:p>
    <w:p>
      <w:pPr>
        <w:spacing w:after="0" w:line="146" w:lineRule="exact"/>
        <w:rPr>
          <w:rFonts w:ascii="Arial" w:cs="Arial" w:eastAsia="Arial" w:hAnsi="Arial"/>
          <w:sz w:val="21"/>
          <w:szCs w:val="21"/>
          <w:color w:val="auto"/>
        </w:rPr>
      </w:pPr>
    </w:p>
    <w:p>
      <w:pPr>
        <w:ind w:left="521" w:firstLine="1001"/>
        <w:spacing w:after="0" w:line="286" w:lineRule="auto"/>
        <w:tabs>
          <w:tab w:leader="none" w:pos="2039" w:val="left"/>
        </w:tabs>
        <w:numPr>
          <w:ilvl w:val="2"/>
          <w:numId w:val="151"/>
        </w:numPr>
        <w:rPr>
          <w:rFonts w:ascii="Arial" w:cs="Arial" w:eastAsia="Arial" w:hAnsi="Arial"/>
          <w:sz w:val="21"/>
          <w:szCs w:val="21"/>
          <w:color w:val="auto"/>
        </w:rPr>
      </w:pPr>
      <w:r>
        <w:rPr>
          <w:rFonts w:ascii="Arial" w:cs="Arial" w:eastAsia="Arial" w:hAnsi="Arial"/>
          <w:sz w:val="21"/>
          <w:szCs w:val="21"/>
          <w:color w:val="auto"/>
        </w:rPr>
        <w:t>the proceeds of which shall be used by Holdings to make Restricted Payments permitted by Section 6.08(a)(iv) or Section 6.08(a)(v);</w:t>
      </w:r>
    </w:p>
    <w:p>
      <w:pPr>
        <w:spacing w:after="0" w:line="146" w:lineRule="exact"/>
        <w:rPr>
          <w:rFonts w:ascii="Arial" w:cs="Arial" w:eastAsia="Arial" w:hAnsi="Arial"/>
          <w:sz w:val="21"/>
          <w:szCs w:val="21"/>
          <w:color w:val="auto"/>
        </w:rPr>
      </w:pPr>
    </w:p>
    <w:p>
      <w:pPr>
        <w:jc w:val="both"/>
        <w:ind w:left="521" w:firstLine="1001"/>
        <w:spacing w:after="0" w:line="278" w:lineRule="auto"/>
        <w:tabs>
          <w:tab w:leader="none" w:pos="2103" w:val="left"/>
        </w:tabs>
        <w:numPr>
          <w:ilvl w:val="2"/>
          <w:numId w:val="151"/>
        </w:numPr>
        <w:rPr>
          <w:rFonts w:ascii="Arial" w:cs="Arial" w:eastAsia="Arial" w:hAnsi="Arial"/>
          <w:sz w:val="19"/>
          <w:szCs w:val="19"/>
          <w:color w:val="auto"/>
        </w:rPr>
      </w:pPr>
      <w:r>
        <w:rPr>
          <w:rFonts w:ascii="Arial" w:cs="Arial" w:eastAsia="Arial" w:hAnsi="Arial"/>
          <w:sz w:val="19"/>
          <w:szCs w:val="19"/>
          <w:color w:val="auto"/>
        </w:rPr>
        <w:t xml:space="preserve">to finance any Investment permitted to be made pursuant to Section 6.04;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Restricted Payment shall be made substantially concurrently with the closing of such Investment and (B) Holdings or any Intermediate Parent shall, immediately following the closing thereof, cause (1) all property acquired (whether assets or Equity Interests but not including any loans or advances made pursuant to Section 6.04(b)) to be contributed to the Borrower or the Restricted Subsidiaries or (2) the Person formed or acquired to merge into or consolidate with the Borrower or any of the Restricted Subsidiaries (to the extent such merger or consolidation is permitted under Section 6.03) in order to consummate such Investment, in each case in accordance with the requirements of Sections 5.11 and</w:t>
      </w:r>
    </w:p>
    <w:p>
      <w:pPr>
        <w:spacing w:after="0" w:line="4" w:lineRule="exact"/>
        <w:rPr>
          <w:rFonts w:ascii="Arial" w:cs="Arial" w:eastAsia="Arial" w:hAnsi="Arial"/>
          <w:sz w:val="19"/>
          <w:szCs w:val="19"/>
          <w:color w:val="auto"/>
        </w:rPr>
      </w:pPr>
    </w:p>
    <w:p>
      <w:pPr>
        <w:ind w:left="521"/>
        <w:spacing w:after="0"/>
        <w:rPr>
          <w:rFonts w:ascii="Arial" w:cs="Arial" w:eastAsia="Arial" w:hAnsi="Arial"/>
          <w:sz w:val="19"/>
          <w:szCs w:val="19"/>
          <w:color w:val="auto"/>
        </w:rPr>
      </w:pPr>
      <w:r>
        <w:rPr>
          <w:rFonts w:ascii="Arial" w:cs="Arial" w:eastAsia="Arial" w:hAnsi="Arial"/>
          <w:sz w:val="21"/>
          <w:szCs w:val="21"/>
          <w:color w:val="auto"/>
        </w:rPr>
        <w:t>5.12;</w:t>
      </w:r>
    </w:p>
    <w:p>
      <w:pPr>
        <w:spacing w:after="0" w:line="200" w:lineRule="exact"/>
        <w:rPr>
          <w:rFonts w:ascii="Arial" w:cs="Arial" w:eastAsia="Arial" w:hAnsi="Arial"/>
          <w:sz w:val="19"/>
          <w:szCs w:val="19"/>
          <w:color w:val="auto"/>
        </w:rPr>
      </w:pPr>
    </w:p>
    <w:p>
      <w:pPr>
        <w:jc w:val="both"/>
        <w:ind w:left="521" w:firstLine="1001"/>
        <w:spacing w:after="0" w:line="341" w:lineRule="auto"/>
        <w:tabs>
          <w:tab w:leader="none" w:pos="2054" w:val="left"/>
        </w:tabs>
        <w:numPr>
          <w:ilvl w:val="2"/>
          <w:numId w:val="151"/>
        </w:numPr>
        <w:rPr>
          <w:rFonts w:ascii="Arial" w:cs="Arial" w:eastAsia="Arial" w:hAnsi="Arial"/>
          <w:sz w:val="19"/>
          <w:szCs w:val="19"/>
          <w:color w:val="auto"/>
        </w:rPr>
      </w:pPr>
      <w:r>
        <w:rPr>
          <w:rFonts w:ascii="Arial" w:cs="Arial" w:eastAsia="Arial" w:hAnsi="Arial"/>
          <w:sz w:val="19"/>
          <w:szCs w:val="19"/>
          <w:color w:val="auto"/>
        </w:rPr>
        <w:t>the proceeds of which shall be used to pay (or to make Restricted Payments to allow any direct or indirect parent thereof to pay) fees and expenses related to any equity or debt offering permitted by this Agreement; and</w:t>
      </w:r>
    </w:p>
    <w:p>
      <w:pPr>
        <w:spacing w:after="0" w:line="100" w:lineRule="exact"/>
        <w:rPr>
          <w:rFonts w:ascii="Arial" w:cs="Arial" w:eastAsia="Arial" w:hAnsi="Arial"/>
          <w:sz w:val="19"/>
          <w:szCs w:val="19"/>
          <w:color w:val="auto"/>
        </w:rPr>
      </w:pPr>
    </w:p>
    <w:p>
      <w:pPr>
        <w:ind w:left="1961" w:hanging="439"/>
        <w:spacing w:after="0"/>
        <w:tabs>
          <w:tab w:leader="none" w:pos="1961" w:val="left"/>
        </w:tabs>
        <w:numPr>
          <w:ilvl w:val="2"/>
          <w:numId w:val="151"/>
        </w:numPr>
        <w:rPr>
          <w:rFonts w:ascii="Arial" w:cs="Arial" w:eastAsia="Arial" w:hAnsi="Arial"/>
          <w:sz w:val="19"/>
          <w:szCs w:val="19"/>
          <w:color w:val="auto"/>
        </w:rPr>
      </w:pPr>
      <w:r>
        <w:rPr>
          <w:rFonts w:ascii="Arial" w:cs="Arial" w:eastAsia="Arial" w:hAnsi="Arial"/>
          <w:sz w:val="19"/>
          <w:szCs w:val="19"/>
          <w:color w:val="auto"/>
        </w:rPr>
        <w:t>the proceeds of which shall be used to make payments permitted by clause (b)(iv) of this Section 6.08;</w:t>
      </w:r>
    </w:p>
    <w:p>
      <w:pPr>
        <w:spacing w:after="0" w:line="253" w:lineRule="exact"/>
        <w:rPr>
          <w:rFonts w:ascii="Arial" w:cs="Arial" w:eastAsia="Arial" w:hAnsi="Arial"/>
          <w:sz w:val="19"/>
          <w:szCs w:val="19"/>
          <w:color w:val="auto"/>
        </w:rPr>
      </w:pPr>
    </w:p>
    <w:p>
      <w:pPr>
        <w:jc w:val="both"/>
        <w:ind w:left="-179" w:firstLine="940"/>
        <w:spacing w:after="0" w:line="277" w:lineRule="auto"/>
        <w:tabs>
          <w:tab w:leader="none" w:pos="1427" w:val="left"/>
        </w:tabs>
        <w:numPr>
          <w:ilvl w:val="1"/>
          <w:numId w:val="152"/>
        </w:numPr>
        <w:rPr>
          <w:rFonts w:ascii="Arial" w:cs="Arial" w:eastAsia="Arial" w:hAnsi="Arial"/>
          <w:sz w:val="19"/>
          <w:szCs w:val="19"/>
          <w:color w:val="auto"/>
        </w:rPr>
      </w:pPr>
      <w:r>
        <w:rPr>
          <w:rFonts w:ascii="Arial" w:cs="Arial" w:eastAsia="Arial" w:hAnsi="Arial"/>
          <w:sz w:val="19"/>
          <w:szCs w:val="19"/>
          <w:color w:val="auto"/>
        </w:rPr>
        <w:t xml:space="preserve">in addition to the foregoing Restricted Payments and so long as (x) no Default shall have occurred and be continuing or would result therefrom and (y) the Borrower would be in compliance with the Financial Performance Covenants on a Pro Forma Basis as of the end of the most recent Test Period for which financial statements are available (after giving Pro Forma Effect to such additional Restricted Payments), the Borrower and any Intermediate Parent may make additional Restricted Payments to any Intermediate Parent and Holdings the proceeds of which may be utilized by Holdings to make additional Restricted Payments, in an aggregate amount, together with the aggregate amount of (1) prepayments, redemptions, purchases, defeasances and other payments in respect of Junior Financings made pursuant to Section 6.08(b)(iv) and (2) loans and advances made pursuant to Section 6.04(l) in lieu of Restricted Payments permitted by this clause (viii), in each case, after the Restatement Effective Date, not to exceed (x) $25,000,000 (or, if the Escrow Assumption Date has occurred, $50,000,000) </w:t>
      </w:r>
      <w:r>
        <w:rPr>
          <w:rFonts w:ascii="Arial" w:cs="Arial" w:eastAsia="Arial" w:hAnsi="Arial"/>
          <w:sz w:val="19"/>
          <w:szCs w:val="19"/>
          <w:i w:val="1"/>
          <w:iCs w:val="1"/>
          <w:color w:val="auto"/>
        </w:rPr>
        <w:t xml:space="preserve">plus </w:t>
      </w:r>
      <w:r>
        <w:rPr>
          <w:rFonts w:ascii="Arial" w:cs="Arial" w:eastAsia="Arial" w:hAnsi="Arial"/>
          <w:sz w:val="19"/>
          <w:szCs w:val="19"/>
          <w:color w:val="auto"/>
        </w:rPr>
        <w:t>(y) (I) prior to the Escrow Assumption Date, the aggregate amount of the Net Proceeds of the issuance of, or contribution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 respect of existing, Qualified Equity Interests, in each case to the extent contributed to the Borrower as cash common equity after the Restatement Effective Date (other than any such issuance or contribution made pursuant to Section 7.02 or any issuance to or contribution from a Restricted Subsidiary) that are Not Otherwise Applied and (II) if the Escrow Assumption Date has occurred, the aggregate amount of the Net Proceeds of the issuance of, or contribution in respect of existing, Qualified Equity Interests, in each case to the extent contributed to the Borrower as cash common equity after the Escrow Assumption Date (other than any such issuance or contribution made pursuant to Section 7.02 or any issuance to or contribution from a Restricted Subsidiary) that are Not Otherwise Applied, </w:t>
      </w:r>
      <w:r>
        <w:rPr>
          <w:rFonts w:ascii="Arial" w:cs="Arial" w:eastAsia="Arial" w:hAnsi="Arial"/>
          <w:sz w:val="19"/>
          <w:szCs w:val="19"/>
          <w:i w:val="1"/>
          <w:iCs w:val="1"/>
          <w:color w:val="auto"/>
        </w:rPr>
        <w:t>plus</w:t>
      </w:r>
      <w:r>
        <w:rPr>
          <w:rFonts w:ascii="Arial" w:cs="Arial" w:eastAsia="Arial" w:hAnsi="Arial"/>
          <w:sz w:val="19"/>
          <w:szCs w:val="19"/>
          <w:color w:val="auto"/>
        </w:rPr>
        <w:t xml:space="preserve"> (z) the amount of Cumulative Excess Cash Flow that is Not Otherwise Applied;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Escrow Assumption Date has occurred, the Total Leverage Ratio at such time, determined on a Pro Forma Basis, is less than or equal to (A) 4.25 to 1.00, in the case of any Restricted Payment prior to March 31, 2019, (B) 3.75 to 1.00, in the case of any Restricted Payment on or after March 31, 2019 but prior to March 31, 2020, (C) 3.00 to 1.00, in the case of any Restricted Payment on or after March 31, 2020 but prior to March 31, 2021 and (D) 2.50 to 1.00 in the case of any Restricted Payment on or after March 31, 2021;</w:t>
      </w:r>
    </w:p>
    <w:p>
      <w:pPr>
        <w:spacing w:after="0" w:line="161" w:lineRule="exact"/>
        <w:rPr>
          <w:rFonts w:ascii="Arial" w:cs="Arial" w:eastAsia="Arial" w:hAnsi="Arial"/>
          <w:sz w:val="19"/>
          <w:szCs w:val="19"/>
          <w:color w:val="auto"/>
        </w:rPr>
      </w:pPr>
    </w:p>
    <w:p>
      <w:pPr>
        <w:jc w:val="both"/>
        <w:ind w:left="-179" w:firstLine="940"/>
        <w:spacing w:after="0" w:line="260" w:lineRule="auto"/>
        <w:tabs>
          <w:tab w:leader="none" w:pos="1297" w:val="left"/>
        </w:tabs>
        <w:numPr>
          <w:ilvl w:val="1"/>
          <w:numId w:val="152"/>
        </w:numPr>
        <w:rPr>
          <w:rFonts w:ascii="Arial" w:cs="Arial" w:eastAsia="Arial" w:hAnsi="Arial"/>
          <w:sz w:val="21"/>
          <w:szCs w:val="21"/>
          <w:color w:val="auto"/>
        </w:rPr>
      </w:pPr>
      <w:r>
        <w:rPr>
          <w:rFonts w:ascii="Arial" w:cs="Arial" w:eastAsia="Arial" w:hAnsi="Arial"/>
          <w:sz w:val="21"/>
          <w:szCs w:val="21"/>
          <w:color w:val="auto"/>
        </w:rPr>
        <w:t xml:space="preserve">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new Equity Interests contain terms and provisions at least as advantageous to the Lenders in all respects material to their interests as those contained in the Equity Interests redeemed thereby;</w:t>
      </w:r>
    </w:p>
    <w:p>
      <w:pPr>
        <w:spacing w:after="0" w:line="174" w:lineRule="exact"/>
        <w:rPr>
          <w:rFonts w:ascii="Arial" w:cs="Arial" w:eastAsia="Arial" w:hAnsi="Arial"/>
          <w:sz w:val="21"/>
          <w:szCs w:val="21"/>
          <w:color w:val="auto"/>
        </w:rPr>
      </w:pPr>
    </w:p>
    <w:p>
      <w:pPr>
        <w:ind w:left="1181" w:hanging="420"/>
        <w:spacing w:after="0"/>
        <w:tabs>
          <w:tab w:leader="none" w:pos="1181" w:val="left"/>
        </w:tabs>
        <w:numPr>
          <w:ilvl w:val="1"/>
          <w:numId w:val="152"/>
        </w:numPr>
        <w:rPr>
          <w:rFonts w:ascii="Arial" w:cs="Arial" w:eastAsia="Arial" w:hAnsi="Arial"/>
          <w:sz w:val="21"/>
          <w:szCs w:val="21"/>
          <w:color w:val="auto"/>
        </w:rPr>
      </w:pPr>
      <w:r>
        <w:rPr>
          <w:rFonts w:ascii="Arial" w:cs="Arial" w:eastAsia="Arial" w:hAnsi="Arial"/>
          <w:sz w:val="21"/>
          <w:szCs w:val="21"/>
          <w:color w:val="auto"/>
        </w:rPr>
        <w:t>Restricted Payments contemplated by the Merger Agreement; and</w:t>
      </w:r>
    </w:p>
    <w:p>
      <w:pPr>
        <w:spacing w:after="0" w:line="230" w:lineRule="exact"/>
        <w:rPr>
          <w:rFonts w:ascii="Arial" w:cs="Arial" w:eastAsia="Arial" w:hAnsi="Arial"/>
          <w:sz w:val="21"/>
          <w:szCs w:val="21"/>
          <w:color w:val="auto"/>
        </w:rPr>
      </w:pPr>
    </w:p>
    <w:p>
      <w:pPr>
        <w:jc w:val="both"/>
        <w:ind w:left="-179" w:firstLine="940"/>
        <w:spacing w:after="0" w:line="286" w:lineRule="auto"/>
        <w:tabs>
          <w:tab w:leader="none" w:pos="1323" w:val="left"/>
        </w:tabs>
        <w:numPr>
          <w:ilvl w:val="1"/>
          <w:numId w:val="152"/>
        </w:numPr>
        <w:rPr>
          <w:rFonts w:ascii="Arial" w:cs="Arial" w:eastAsia="Arial" w:hAnsi="Arial"/>
          <w:sz w:val="20"/>
          <w:szCs w:val="20"/>
          <w:color w:val="auto"/>
        </w:rPr>
      </w:pPr>
      <w:r>
        <w:rPr>
          <w:rFonts w:ascii="Arial" w:cs="Arial" w:eastAsia="Arial" w:hAnsi="Arial"/>
          <w:sz w:val="20"/>
          <w:szCs w:val="20"/>
          <w:color w:val="auto"/>
        </w:rPr>
        <w:t>prior to the Escrow Assumption Date, Restricted Payments to be provided to the Escrow Borrower to fund interest and other amounts owing or required to be pre-funded with respect to the Escrow Term Loans and, to the extent applicable, interest and other amounts owing or required to be pre-funded in respect of the Second Lien Notes.</w:t>
      </w:r>
    </w:p>
    <w:p>
      <w:pPr>
        <w:spacing w:after="0" w:line="149" w:lineRule="exact"/>
        <w:rPr>
          <w:rFonts w:ascii="Arial" w:cs="Arial" w:eastAsia="Arial" w:hAnsi="Arial"/>
          <w:sz w:val="20"/>
          <w:szCs w:val="20"/>
          <w:color w:val="auto"/>
        </w:rPr>
      </w:pPr>
    </w:p>
    <w:p>
      <w:pPr>
        <w:jc w:val="both"/>
        <w:ind w:left="-819" w:firstLine="819"/>
        <w:spacing w:after="0" w:line="255" w:lineRule="auto"/>
        <w:tabs>
          <w:tab w:leader="none" w:pos="507" w:val="left"/>
        </w:tabs>
        <w:numPr>
          <w:ilvl w:val="0"/>
          <w:numId w:val="153"/>
        </w:numPr>
        <w:rPr>
          <w:rFonts w:ascii="Arial" w:cs="Arial" w:eastAsia="Arial" w:hAnsi="Arial"/>
          <w:sz w:val="21"/>
          <w:szCs w:val="21"/>
          <w:color w:val="auto"/>
        </w:rPr>
      </w:pPr>
      <w:r>
        <w:rPr>
          <w:rFonts w:ascii="Arial" w:cs="Arial" w:eastAsia="Arial" w:hAnsi="Arial"/>
          <w:sz w:val="21"/>
          <w:szCs w:val="21"/>
          <w:color w:val="auto"/>
        </w:rPr>
        <w:t>Neither Holdings nor the Borrower will, nor will they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ectPr>
          <w:pgSz w:w="11900" w:h="16838" w:orient="portrait"/>
          <w:cols w:equalWidth="0" w:num="1">
            <w:col w:w="10601"/>
          </w:cols>
          <w:pgMar w:left="1059" w:top="131" w:right="239" w:bottom="166" w:gutter="0" w:footer="0" w:header="0"/>
        </w:sectPr>
      </w:pPr>
    </w:p>
    <w:bookmarkStart w:id="168" w:name="page169"/>
    <w:bookmarkEnd w:id="168"/>
    <w:p>
      <w:pPr>
        <w:ind w:left="640" w:firstLine="940"/>
        <w:spacing w:after="0" w:line="312" w:lineRule="auto"/>
        <w:tabs>
          <w:tab w:leader="none" w:pos="1958" w:val="left"/>
        </w:tabs>
        <w:numPr>
          <w:ilvl w:val="0"/>
          <w:numId w:val="154"/>
        </w:numPr>
        <w:rPr>
          <w:rFonts w:ascii="Arial" w:cs="Arial" w:eastAsia="Arial" w:hAnsi="Arial"/>
          <w:sz w:val="20"/>
          <w:szCs w:val="20"/>
          <w:color w:val="auto"/>
        </w:rPr>
      </w:pPr>
      <w:r>
        <w:rPr>
          <w:rFonts w:ascii="Arial" w:cs="Arial" w:eastAsia="Arial" w:hAnsi="Arial"/>
          <w:sz w:val="20"/>
          <w:szCs w:val="20"/>
          <w:color w:val="auto"/>
        </w:rPr>
        <w:t>payment of regularly scheduled interest and principal payments as and when due in respect of any Indebtedness, other than payments in respect of any Junior Financing prohibited by the subordination provisions thereof;</w:t>
      </w:r>
    </w:p>
    <w:p>
      <w:pPr>
        <w:spacing w:after="0" w:line="123" w:lineRule="exact"/>
        <w:rPr>
          <w:rFonts w:ascii="Arial" w:cs="Arial" w:eastAsia="Arial" w:hAnsi="Arial"/>
          <w:sz w:val="20"/>
          <w:szCs w:val="20"/>
          <w:color w:val="auto"/>
        </w:rPr>
      </w:pPr>
    </w:p>
    <w:p>
      <w:pPr>
        <w:ind w:left="2020" w:hanging="440"/>
        <w:spacing w:after="0"/>
        <w:tabs>
          <w:tab w:leader="none" w:pos="202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refinancings of Indebtedness to the extent permitted by Section 6.01;</w:t>
      </w:r>
    </w:p>
    <w:p>
      <w:pPr>
        <w:spacing w:after="0" w:line="230" w:lineRule="exact"/>
        <w:rPr>
          <w:rFonts w:ascii="Arial" w:cs="Arial" w:eastAsia="Arial" w:hAnsi="Arial"/>
          <w:sz w:val="21"/>
          <w:szCs w:val="21"/>
          <w:color w:val="auto"/>
        </w:rPr>
      </w:pPr>
    </w:p>
    <w:p>
      <w:pPr>
        <w:ind w:left="640" w:firstLine="940"/>
        <w:spacing w:after="0" w:line="286" w:lineRule="auto"/>
        <w:tabs>
          <w:tab w:leader="none" w:pos="2232"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conversion of any Junior Financing to Equity Interests (other than Disqualified Equity Interests) of Holdings or any of its direct or indirect parent companies or any Intermediate Parent; and</w:t>
      </w:r>
    </w:p>
    <w:p>
      <w:pPr>
        <w:spacing w:after="0" w:line="146" w:lineRule="exact"/>
        <w:rPr>
          <w:rFonts w:ascii="Arial" w:cs="Arial" w:eastAsia="Arial" w:hAnsi="Arial"/>
          <w:sz w:val="21"/>
          <w:szCs w:val="21"/>
          <w:color w:val="auto"/>
        </w:rPr>
      </w:pPr>
    </w:p>
    <w:p>
      <w:pPr>
        <w:jc w:val="both"/>
        <w:ind w:left="640" w:firstLine="940"/>
        <w:spacing w:after="0" w:line="293" w:lineRule="auto"/>
        <w:tabs>
          <w:tab w:leader="none" w:pos="206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so long as (x) no Default shall have occurred and be continuing or would result therefrom and (y) the Borrower would be in compliance with the Financial Performance Covenants on a Pro Forma Basis as of the end of the most recent Test Period for which financial statements are available (after giving Pro Forma Effect to such prepayments, redemptions, purchases, defeasances and other payments), prepayments, redemptions, purchases, defeasances and other payments in respect of Junior Financings prior to their scheduled maturity in an aggregate amount, together with the aggregate amount of (1) Restricted Payments made pursuant to clause (a)(viii) and (2) loans and advances made pursuant to Section 6.04(l) in lieu thereof, in each case, after the Restatement Effective Date, not to exceed the sum of (I) prior to the Escrow Assumption Date, (x) $25,000,000 </w:t>
      </w:r>
      <w:r>
        <w:rPr>
          <w:rFonts w:ascii="Arial" w:cs="Arial" w:eastAsia="Arial" w:hAnsi="Arial"/>
          <w:sz w:val="18"/>
          <w:szCs w:val="18"/>
          <w:i w:val="1"/>
          <w:iCs w:val="1"/>
          <w:color w:val="auto"/>
        </w:rPr>
        <w:t xml:space="preserve">plus </w:t>
      </w:r>
      <w:r>
        <w:rPr>
          <w:rFonts w:ascii="Arial" w:cs="Arial" w:eastAsia="Arial" w:hAnsi="Arial"/>
          <w:sz w:val="18"/>
          <w:szCs w:val="18"/>
          <w:color w:val="auto"/>
        </w:rPr>
        <w:t>(y) the amount of the Net Proceeds of issuances of, or contributions in respect of existing, Qualified Equity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case to the extent contributed to the Borrower as cash common equity after the Restatement Effective Date (other than any such issuance or contribution made pursuant to Section 7.02 or any issuance to or contribution from a Restricted Subsidiary) that are Not Otherwise Applied </w:t>
      </w:r>
      <w:r>
        <w:rPr>
          <w:rFonts w:ascii="Arial" w:cs="Arial" w:eastAsia="Arial" w:hAnsi="Arial"/>
          <w:sz w:val="18"/>
          <w:szCs w:val="18"/>
          <w:i w:val="1"/>
          <w:iCs w:val="1"/>
          <w:color w:val="auto"/>
        </w:rPr>
        <w:t>plus</w:t>
      </w:r>
      <w:r>
        <w:rPr>
          <w:rFonts w:ascii="Arial" w:cs="Arial" w:eastAsia="Arial" w:hAnsi="Arial"/>
          <w:sz w:val="18"/>
          <w:szCs w:val="18"/>
          <w:color w:val="auto"/>
        </w:rPr>
        <w:t xml:space="preserve"> (z) the amount of Cumulative Excess Cash Flow that is Not Otherwise Applied and (II) if the Escrow Assumption Date occurs, (x) $50,000,000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amount of the Net Proceeds of issuances of, or contributions in respect of existing, Qualified Equity Interests, in each case to the extent contributed to the Borrower as cash common equity after the Escrow Assumption Date (other than any such issuance or contribution made pursuant to Section 7.02 or any issuance to or contribution from a Restricted Subsidiary) that are Not Otherwise Applied </w:t>
      </w:r>
      <w:r>
        <w:rPr>
          <w:rFonts w:ascii="Arial" w:cs="Arial" w:eastAsia="Arial" w:hAnsi="Arial"/>
          <w:sz w:val="18"/>
          <w:szCs w:val="18"/>
          <w:i w:val="1"/>
          <w:iCs w:val="1"/>
          <w:color w:val="auto"/>
        </w:rPr>
        <w:t>plus</w:t>
      </w:r>
      <w:r>
        <w:rPr>
          <w:rFonts w:ascii="Arial" w:cs="Arial" w:eastAsia="Arial" w:hAnsi="Arial"/>
          <w:sz w:val="18"/>
          <w:szCs w:val="18"/>
          <w:color w:val="auto"/>
        </w:rPr>
        <w:t xml:space="preserve"> (z) the amount of Cumulative Excess Cash Flow that is Not Otherwise Applied;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that the Total Leverage Ratio at such time, determined on a Pro Forma Basis, is less than or equal to (I) 4.25 to 1.00, in the case of any payment prior to the March 31, 2019, (II) 3.75 to 1.00, in the case of any payment on or after March 31, 2019 but prior to March 31, 2020, (III) 3.00 to 1.00, in the case of any payment on or after March 31, 2020 but prior to March 31, 2021 and (IV) 2.50 to 1.00 with respect to any payment on or after March 31, 2021.</w:t>
      </w:r>
    </w:p>
    <w:p>
      <w:pPr>
        <w:spacing w:after="0" w:line="160" w:lineRule="exact"/>
        <w:rPr>
          <w:sz w:val="20"/>
          <w:szCs w:val="20"/>
          <w:color w:val="auto"/>
        </w:rPr>
      </w:pPr>
    </w:p>
    <w:p>
      <w:pPr>
        <w:jc w:val="both"/>
        <w:ind w:firstLine="630"/>
        <w:spacing w:after="0" w:line="308"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i w:val="1"/>
          <w:iCs w:val="1"/>
          <w:color w:val="auto"/>
        </w:rPr>
        <w:t>Transactions with Affiliates</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Neither Holdings nor the Borrower will, nor will they permit any Restricted Subsidiary to,</w:t>
      </w:r>
      <w:r>
        <w:rPr>
          <w:rFonts w:ascii="Arial" w:cs="Arial" w:eastAsia="Arial" w:hAnsi="Arial"/>
          <w:sz w:val="19"/>
          <w:szCs w:val="19"/>
          <w:color w:val="auto"/>
        </w:rPr>
        <w:t xml:space="preserve"> </w:t>
      </w:r>
      <w:r>
        <w:rPr>
          <w:rFonts w:ascii="Arial" w:cs="Arial" w:eastAsia="Arial" w:hAnsi="Arial"/>
          <w:sz w:val="17"/>
          <w:szCs w:val="17"/>
          <w:color w:val="auto"/>
        </w:rPr>
        <w:t>sell, lease or otherwise transfer any property or assets to, or purchase, lease or otherwise acquire any property or assets from, or otherwise engage in any other transactions with, any of its Affiliates, except (a) transactions with Holdings, the Borrower or any Restricted Subsidiary, (b) on terms substantially as favorable to Holdings, the Borrower or such Restricted Subsidiary as would be obtainable by such Person at the time in a comparable arm’s-length transaction with a Person other than an Affiliate, (c) Holdings, the Borrower or any Restricted Subsidiary shall be permitted to enter any underwriting agreements, stock purchase agreements or other similar agreements in connection with offerings of securities and provide customary representations, warranties, covenants and indemnities in respect of Virtu Financial, Inc., its subsidiaries and such offering in connection therewith, (d) issuances of Equity Interests of Holdings to the extent otherwise permitted by this Agreement, (e) employment and severance arrangements between Holdings, the Borrower and the Restricted Subsidiaries and their respective officers and employees in the ordinary course of business (including loans and advances pursuant to Sections 6.04(b) and 6.04(n)), (f) payments by Holdings (and any direct or indirect parent thereof), the Borrower and the Restricted Subsidiaries pursuant to tax sharing agreements among Holdings (and any such parent thereof), the Borrower and the Restricted Subsidiaries on customary terms to the extent attributable to the ownership or operation of the Borrower and the Restricted Subsidiaries, to the extent payments are Permitted Tax Distributions, (g) the payment of customary fees and reasonable out-of-pocket costs to, and indemnities provided on behalf of, directors, officers and employees of Holdings, the Borrower and the Restricted Subsidiaries in the ordinary course of business to the extent attributable to the ownership or operation of Holdings, the Borrower and the Restricted Subsidiaries, (h) transactions pursuant to any permitted agreements in existence or contemplated on the Restatement Effective Date and set forth on Schedule 6.09 or any amendment thereto to the extent such an amendment is not adverse to the Lenders in any material respect, (i) Restricted Payments permitted under Section 6.08, (j) Investments, loans or advances that are permitted to be made in lieu of Restricted Payments pursuant to Section 6.04 and (k) transactions in connection with the establishment of the Escrow Term Loans.</w:t>
      </w:r>
    </w:p>
    <w:p>
      <w:pPr>
        <w:spacing w:after="0" w:line="165" w:lineRule="exact"/>
        <w:rPr>
          <w:sz w:val="20"/>
          <w:szCs w:val="20"/>
          <w:color w:val="auto"/>
        </w:rPr>
      </w:pPr>
    </w:p>
    <w:p>
      <w:pPr>
        <w:jc w:val="both"/>
        <w:ind w:firstLine="630"/>
        <w:spacing w:after="0" w:line="299"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i w:val="1"/>
          <w:iCs w:val="1"/>
          <w:color w:val="auto"/>
        </w:rPr>
        <w:t>Restrictive Agreements</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Neither Holdings nor the Borrower will, nor will they permit any Restricted Subsidiary to,</w:t>
      </w:r>
      <w:r>
        <w:rPr>
          <w:rFonts w:ascii="Arial" w:cs="Arial" w:eastAsia="Arial" w:hAnsi="Arial"/>
          <w:sz w:val="19"/>
          <w:szCs w:val="19"/>
          <w:color w:val="auto"/>
        </w:rPr>
        <w:t xml:space="preserve"> </w:t>
      </w:r>
      <w:r>
        <w:rPr>
          <w:rFonts w:ascii="Arial" w:cs="Arial" w:eastAsia="Arial" w:hAnsi="Arial"/>
          <w:sz w:val="17"/>
          <w:szCs w:val="17"/>
          <w:color w:val="auto"/>
        </w:rPr>
        <w:t>directly or indirectly, enter into, incur or permit to exist any agreement or other arrangement that prohibits, restricts or imposes any condition upon</w:t>
      </w:r>
    </w:p>
    <w:p>
      <w:pPr>
        <w:spacing w:after="0" w:line="1" w:lineRule="exact"/>
        <w:rPr>
          <w:sz w:val="20"/>
          <w:szCs w:val="20"/>
          <w:color w:val="auto"/>
        </w:rPr>
      </w:pPr>
    </w:p>
    <w:p>
      <w:pPr>
        <w:jc w:val="both"/>
        <w:ind w:firstLine="5"/>
        <w:spacing w:after="0" w:line="310" w:lineRule="auto"/>
        <w:tabs>
          <w:tab w:leader="none" w:pos="26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the ability of Holdings, the Borrower or any other Subsidiary Loan Party to create, incur or permit to exist any Lien upon any of its property or assets to secure the Secured Obligations or (b) the ability of any Restricted Subsidiary that is not a Loan Party to pay dividends or other distributions with respect to any of its Equity Interests or to make or repay loans or advances to any Restricted Subsidiary or to Guarantee Indebtedness of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clauses (a) and (b) shall not apply to any such restrictions that (i)(x) exist on the Restatement Effective Date and (to the extent not otherwise permitted by this Section 6.10) are listed on Schedule 6.10 or in the indenture governing the Second Lien Notes and (y) any renewal or extension of a restriction permitted by clause (i)(x) or any agreement evidencing such restriction so long as such renewal or extension does not expand the scope of such restrictions, (ii)(x) are binding on a Restricted Subsidiary at the time such Restricted Subsidiary first becomes a Restricted Subsidiary, so long as such restrictions were not entered into solely in contemplation of such Person becoming a Restricted Subsidiary and (y) any renewal or extension of a restriction permitted by clause (ii)(x) or any agreement evidencing such restriction so long as such renewal or extension does not expand the scope of such restrictions, (iii) represent Indebtedness of a Restricted Subsidiary that is not a Loan Party that is permitted by Section 6.01, (iv) are customary restrictions that arise in connection with any Disposition permitted by Section 6.05 applicable pending such Disposition solely to the assets subject to such Disposition, (v) are customary provisions in joint venture agreements and other similar agreements applicable to joint ventures permitted under Section 6.04, (vi) are negative pledges and restrictions on Liens in favor of any holder of Indebtedness permitted under Section 6.01 but solely to the extent any negative pledge relates to the property financed by or securing such Indebtedness (and excluding in any event any Indebtedness constituting any Junior Financing), (vii) are imposed by Requirements of Law, (viii) are customary restrictions contained in leases, subleases, licenses or asset sale agreements</w:t>
      </w:r>
    </w:p>
    <w:p>
      <w:pPr>
        <w:sectPr>
          <w:pgSz w:w="11900" w:h="16838" w:orient="portrait"/>
          <w:cols w:equalWidth="0" w:num="1">
            <w:col w:w="11420"/>
          </w:cols>
          <w:pgMar w:left="240" w:top="131" w:right="239" w:bottom="0" w:gutter="0" w:footer="0" w:header="0"/>
        </w:sectPr>
      </w:pPr>
    </w:p>
    <w:bookmarkStart w:id="169" w:name="page170"/>
    <w:bookmarkEnd w:id="169"/>
    <w:p>
      <w:pPr>
        <w:jc w:val="both"/>
        <w:spacing w:after="0" w:line="313" w:lineRule="auto"/>
        <w:rPr>
          <w:sz w:val="20"/>
          <w:szCs w:val="20"/>
          <w:color w:val="auto"/>
        </w:rPr>
      </w:pPr>
      <w:r>
        <w:rPr>
          <w:rFonts w:ascii="Arial" w:cs="Arial" w:eastAsia="Arial" w:hAnsi="Arial"/>
          <w:sz w:val="17"/>
          <w:szCs w:val="17"/>
          <w:color w:val="auto"/>
        </w:rPr>
        <w:t>otherwise permitted hereby so long as such restrictions relate only to the assets subject thereto, (ix) comprise restrictions imposed by any agreement relating to secured Indebtedness permitted pursuant to Section 6.01(a)(v) to the extent that such restrictions apply only to the property or assets securing such Indebtedness, (x) are customary provisions restricting subletting or assignment of any lease governing a leasehold interest of Holdings, any Intermediate Parent, the Borrower or any Restricted Subsidiary, (xi) are customary provisions restricting assignment of any license, lease or other agreement, (xii) are restrictions on cash (or Permitted Investments) or deposits imposed by customers under contracts entered into in the ordinary course of business (or otherwise constituting Permitted Encumbrances on such cash or Permitted Investments or deposits) or (xiii) are customary net worth provisions contained in real property leases or licenses of intellectual property entered into by the Borrower or any Restricted Subsidiary, so long as the Borrower has determined in good faith that such net worth provisions could not reasonably be expected to impair the ability of the Borrower and its subsidiaries to meet their ongoing obligations under the Loan Documents.</w:t>
      </w:r>
    </w:p>
    <w:p>
      <w:pPr>
        <w:spacing w:after="0" w:line="155" w:lineRule="exact"/>
        <w:rPr>
          <w:sz w:val="20"/>
          <w:szCs w:val="20"/>
          <w:color w:val="auto"/>
        </w:rPr>
      </w:pPr>
    </w:p>
    <w:p>
      <w:pPr>
        <w:jc w:val="both"/>
        <w:ind w:firstLine="630"/>
        <w:spacing w:after="0" w:line="292"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i w:val="1"/>
          <w:iCs w:val="1"/>
          <w:color w:val="auto"/>
        </w:rPr>
        <w:t>Amendment of Junior Financing</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Neither Holdings nor the Borrower will, nor will they permit any Restricted</w:t>
      </w:r>
      <w:r>
        <w:rPr>
          <w:rFonts w:ascii="Arial" w:cs="Arial" w:eastAsia="Arial" w:hAnsi="Arial"/>
          <w:sz w:val="20"/>
          <w:szCs w:val="20"/>
          <w:color w:val="auto"/>
        </w:rPr>
        <w:t xml:space="preserve"> </w:t>
      </w:r>
      <w:r>
        <w:rPr>
          <w:rFonts w:ascii="Arial" w:cs="Arial" w:eastAsia="Arial" w:hAnsi="Arial"/>
          <w:sz w:val="18"/>
          <w:szCs w:val="18"/>
          <w:color w:val="auto"/>
        </w:rPr>
        <w:t>Subsidiary or any Intermediate Parent to, amend, modify, waive, terminate or release the documentation governing any Junior Financing, in each case if the effect of such amendment, modification, waiver, termination or release is materially adverse to the Lenders.</w:t>
      </w:r>
    </w:p>
    <w:p>
      <w:pPr>
        <w:spacing w:after="0" w:line="160"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i w:val="1"/>
          <w:iCs w:val="1"/>
          <w:color w:val="auto"/>
        </w:rPr>
        <w:t>Interest Coverage Ratio</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Prior to the Escrow Assumption Date, Holdings will not permit the Interest Coverage Ratio for</w:t>
      </w:r>
      <w:r>
        <w:rPr>
          <w:rFonts w:ascii="Arial" w:cs="Arial" w:eastAsia="Arial" w:hAnsi="Arial"/>
          <w:sz w:val="20"/>
          <w:szCs w:val="20"/>
          <w:color w:val="auto"/>
        </w:rPr>
        <w:t xml:space="preserve"> </w:t>
      </w:r>
      <w:r>
        <w:rPr>
          <w:rFonts w:ascii="Arial" w:cs="Arial" w:eastAsia="Arial" w:hAnsi="Arial"/>
          <w:sz w:val="18"/>
          <w:szCs w:val="18"/>
          <w:color w:val="auto"/>
        </w:rPr>
        <w:t>any period of four consecutive fiscal quarters of Holdings, beginning with the four fiscal quarter period ended June 30, 2017, to be less than 3.00:1.00. If the Escrow Assumption Date occurs, Holdings will not permit the Interest Coverage Ratio for any period of four consecutive fiscal quarters of Holdings, beginning with the first four fiscal quarter period ending after the Escrow Assumption Date, to exceed (I) for any four fiscal quarter period ending prior to March 31, 2019, 2.75:1.00 and (II) for any four fiscal quarter ending on or after March 31, 2019, 3.00:1.00.</w:t>
      </w:r>
    </w:p>
    <w:p>
      <w:pPr>
        <w:spacing w:after="0" w:line="168"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6.13. </w:t>
      </w:r>
      <w:r>
        <w:rPr>
          <w:rFonts w:ascii="Arial" w:cs="Arial" w:eastAsia="Arial" w:hAnsi="Arial"/>
          <w:sz w:val="20"/>
          <w:szCs w:val="20"/>
          <w:i w:val="1"/>
          <w:iCs w:val="1"/>
          <w:color w:val="auto"/>
        </w:rPr>
        <w:t>Leverage Ratio</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Prior to the Escrow Assumption Date, Holdings will not permit the Total Net Leverage Ratio as of the</w:t>
      </w:r>
      <w:r>
        <w:rPr>
          <w:rFonts w:ascii="Arial" w:cs="Arial" w:eastAsia="Arial" w:hAnsi="Arial"/>
          <w:sz w:val="20"/>
          <w:szCs w:val="20"/>
          <w:color w:val="auto"/>
        </w:rPr>
        <w:t xml:space="preserve"> </w:t>
      </w:r>
      <w:r>
        <w:rPr>
          <w:rFonts w:ascii="Arial" w:cs="Arial" w:eastAsia="Arial" w:hAnsi="Arial"/>
          <w:sz w:val="18"/>
          <w:szCs w:val="18"/>
          <w:color w:val="auto"/>
        </w:rPr>
        <w:t>last day of any fiscal quarter of the Borrower, beginning with the fiscal quarter ending June 30, 2017, to exceed 2.75:1.00. If the Escrow Assumption Date occurs, Holdings will not permit the Total Leverage Ratio as of the last day of any fiscal quarter of the Borrower, beginning with the first fiscal quarter ending after the Escrow Assumption Date, to exceed (I) for any fiscal quarter ending prior to March 31, 2019, 5.00:1.00, (II) for any fiscal quarter ending on or after March 31, 2019 but prior to March 31, 2020, 4.25:1.00, (III) for any fiscal quarter ending on or after March 31, 2020 but prior to March 31, 2021, 3.50:1.00 and (IV) for any fiscal quarter ending on or after March 31, 2021, 3.25:1.00.</w:t>
      </w:r>
    </w:p>
    <w:p>
      <w:pPr>
        <w:spacing w:after="0" w:line="168" w:lineRule="exact"/>
        <w:rPr>
          <w:sz w:val="20"/>
          <w:szCs w:val="20"/>
          <w:color w:val="auto"/>
        </w:rPr>
      </w:pPr>
    </w:p>
    <w:p>
      <w:pPr>
        <w:jc w:val="both"/>
        <w:ind w:firstLine="630"/>
        <w:spacing w:after="0" w:line="306"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i w:val="1"/>
          <w:iCs w:val="1"/>
          <w:color w:val="auto"/>
        </w:rPr>
        <w:t>Equity Interests</w:t>
      </w:r>
      <w:r>
        <w:rPr>
          <w:rFonts w:ascii="Arial" w:cs="Arial" w:eastAsia="Arial" w:hAnsi="Arial"/>
          <w:sz w:val="17"/>
          <w:szCs w:val="17"/>
          <w:color w:val="auto"/>
        </w:rPr>
        <w:t>.</w:t>
      </w:r>
      <w:r>
        <w:rPr>
          <w:rFonts w:ascii="Arial" w:cs="Arial" w:eastAsia="Arial" w:hAnsi="Arial"/>
          <w:sz w:val="19"/>
          <w:szCs w:val="19"/>
          <w:color w:val="auto"/>
        </w:rPr>
        <w:t xml:space="preserve"> (%3) </w:t>
      </w:r>
      <w:r>
        <w:rPr>
          <w:rFonts w:ascii="Arial" w:cs="Arial" w:eastAsia="Arial" w:hAnsi="Arial"/>
          <w:sz w:val="17"/>
          <w:szCs w:val="17"/>
          <w:color w:val="auto"/>
        </w:rPr>
        <w:t>Holdings and the Borrower will not permit any Restricted Subsidiary to be a non-Wholly Owned</w:t>
      </w:r>
      <w:r>
        <w:rPr>
          <w:rFonts w:ascii="Arial" w:cs="Arial" w:eastAsia="Arial" w:hAnsi="Arial"/>
          <w:sz w:val="19"/>
          <w:szCs w:val="19"/>
          <w:color w:val="auto"/>
        </w:rPr>
        <w:t xml:space="preserve"> </w:t>
      </w:r>
      <w:r>
        <w:rPr>
          <w:rFonts w:ascii="Arial" w:cs="Arial" w:eastAsia="Arial" w:hAnsi="Arial"/>
          <w:sz w:val="17"/>
          <w:szCs w:val="17"/>
          <w:color w:val="auto"/>
        </w:rPr>
        <w:t xml:space="preserve">Subsidiary and be released from its Guarantee (if applicable), except (x) as a result of a Disposition of Equity Interests of such Subsidiary to a Person other than Holdings, the Borrower or any other Restricted Subsidiary that is permitted by the other terms of this Agreement or an Investment in any Person permitted under Section 6.04;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Default has occurred or is continuing on the date of such release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Restricted Subsidiary immediately after the release of such Guarantee, as reasonably determined by a Financial Officer, is deemed to be an Investment by a Loan Party on the date of such release in a Subsidiary that is not a Loan Party for purposes of either Section 6.04(c) or 6.04(m), as designated by Holdings to the Administrative Agent prior to such release, (iv) such Investment is permitted under such designated section, (v) after giving effect to such transaction on a Pro Forma Basis, not more than 10% of Consolidated EBITDA for the most recently ended Test Period for which financial statements are available shall be attributable to such Restricted Subsidiary together with all other Restricted Subsidiaries (or any successors thereto) that were released from being Loan Parties pursuant to the provisions of Sections 6.14(a) and 6.14(b) and (vi) the Borrower shall have provided the Administrative Agent such certifications or documents as the Administrative Agent shall reasonably request in order to demonstrate compliance with this Agreement or (y) so long as such Restricted Subsidiary continues to be a Subsidiary Loan Party, in which case the release provisions of Section 9.14 will not apply.</w:t>
      </w:r>
    </w:p>
    <w:p>
      <w:pPr>
        <w:spacing w:after="0" w:line="166" w:lineRule="exact"/>
        <w:rPr>
          <w:sz w:val="20"/>
          <w:szCs w:val="20"/>
          <w:color w:val="auto"/>
        </w:rPr>
      </w:pPr>
    </w:p>
    <w:p>
      <w:pPr>
        <w:jc w:val="both"/>
        <w:ind w:firstLine="819"/>
        <w:spacing w:after="0" w:line="263" w:lineRule="auto"/>
        <w:tabs>
          <w:tab w:leader="none" w:pos="13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Holdings may notify the Administrative Agent that it wishes to obtain the release of the Guarantee of, and grants of Liens by, any Subsidiary Loan Party under the Security Documents (any Subsidiary in respect of which such a release is given, a “</w:t>
      </w:r>
      <w:r>
        <w:rPr>
          <w:rFonts w:ascii="Arial" w:cs="Arial" w:eastAsia="Arial" w:hAnsi="Arial"/>
          <w:sz w:val="20"/>
          <w:szCs w:val="20"/>
          <w:b w:val="1"/>
          <w:bCs w:val="1"/>
          <w:color w:val="auto"/>
        </w:rPr>
        <w:t>Released Subsidiary</w:t>
      </w:r>
      <w:r>
        <w:rPr>
          <w:rFonts w:ascii="Arial" w:cs="Arial" w:eastAsia="Arial" w:hAnsi="Arial"/>
          <w:sz w:val="20"/>
          <w:szCs w:val="20"/>
          <w:color w:val="auto"/>
        </w:rPr>
        <w:t xml:space="preserve">”), and the Administrative Agent will, and is hereby authorized to, promptly release such Guarantee and grants of Liens of such Subsidiary Loan Party pursuant to a written notification thereof given to Holdings;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no Default has occurred or is continuing on the date of such request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Released Subsidiary immediately after the release of such Guarantee, as reasonably determined by a Financial Officer, is deemed to be an Investment by a Loan Party on the date of such release in a Subsidiary that is not a Loan Party for purposes of either Section 6.04(c) or 6.04(m), as designated by Holdings to the Administrative Agent prior to such release, (iv) such Investment is permitted under such designated section, (v) after giving effect to such transaction on a Pro Forma Basis, not more than 10% of Consolidated EBITDA for the most recently ended Test Period for which financial statements are available shall be attributable to such Restricted Subsidiary together with all other Restricted Subsidiaries (or any successors thereto) that were released from being Loan Parties pursuant to the provisions of Sections 6.14(a) and 6.14(b) and (vi) the Borrower shall have provided the Administrative Agent such certifications or documents as the Administrative Agent shall reasonably request in order to demonstrate compliance with this Agreement.</w:t>
      </w:r>
    </w:p>
    <w:p>
      <w:pPr>
        <w:spacing w:after="0" w:line="181"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6.15. </w:t>
      </w:r>
      <w:r>
        <w:rPr>
          <w:rFonts w:ascii="Arial" w:cs="Arial" w:eastAsia="Arial" w:hAnsi="Arial"/>
          <w:sz w:val="20"/>
          <w:szCs w:val="20"/>
          <w:i w:val="1"/>
          <w:iCs w:val="1"/>
          <w:color w:val="auto"/>
        </w:rPr>
        <w:t>Changes in Fiscal Periods</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Neither Holdings nor the Borrower will make any change in fiscal year;</w:t>
      </w:r>
      <w:r>
        <w:rPr>
          <w:rFonts w:ascii="Arial" w:cs="Arial" w:eastAsia="Arial" w:hAnsi="Arial"/>
          <w:sz w:val="20"/>
          <w:szCs w:val="20"/>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18"/>
          <w:szCs w:val="18"/>
          <w:color w:val="auto"/>
        </w:rPr>
        <w:t>that Holdings and the Borrower may, upon written notice to the Administrative Agent, change its fiscal year to any other fiscal year reasonably acceptable to the Administrative Agent, in which case, Holdings, the Borrower and the Administrative Agent will, and are hereby authorized by the Lenders to, make any adjustments to this Agreement that are necessary to reflect such change in fiscal year.</w:t>
      </w:r>
    </w:p>
    <w:p>
      <w:pPr>
        <w:sectPr>
          <w:pgSz w:w="11900" w:h="16838" w:orient="portrait"/>
          <w:cols w:equalWidth="0" w:num="1">
            <w:col w:w="11420"/>
          </w:cols>
          <w:pgMar w:left="240" w:top="136" w:right="239" w:bottom="299" w:gutter="0" w:footer="0" w:header="0"/>
        </w:sectPr>
      </w:pPr>
    </w:p>
    <w:bookmarkStart w:id="170" w:name="page171"/>
    <w:bookmarkEnd w:id="170"/>
    <w:p>
      <w:pPr>
        <w:spacing w:after="0" w:line="87"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ARTICLE 7</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Events of Default</w:t>
      </w:r>
    </w:p>
    <w:p>
      <w:pPr>
        <w:spacing w:after="0" w:line="249"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7.01.</w:t>
      </w:r>
      <w:r>
        <w:rPr>
          <w:sz w:val="20"/>
          <w:szCs w:val="20"/>
          <w:color w:val="auto"/>
        </w:rPr>
        <w:tab/>
      </w:r>
      <w:r>
        <w:rPr>
          <w:rFonts w:ascii="Arial" w:cs="Arial" w:eastAsia="Arial" w:hAnsi="Arial"/>
          <w:sz w:val="19"/>
          <w:szCs w:val="19"/>
          <w:i w:val="1"/>
          <w:iCs w:val="1"/>
          <w:color w:val="auto"/>
        </w:rPr>
        <w:t>Events of Default</w:t>
      </w:r>
      <w:r>
        <w:rPr>
          <w:rFonts w:ascii="Arial" w:cs="Arial" w:eastAsia="Arial" w:hAnsi="Arial"/>
          <w:sz w:val="17"/>
          <w:szCs w:val="17"/>
          <w:i w:val="1"/>
          <w:iCs w:val="1"/>
          <w:color w:val="auto"/>
        </w:rPr>
        <w:t>.</w:t>
      </w:r>
      <w:r>
        <w:rPr>
          <w:rFonts w:ascii="Arial" w:cs="Arial" w:eastAsia="Arial" w:hAnsi="Arial"/>
          <w:sz w:val="19"/>
          <w:szCs w:val="19"/>
          <w:i w:val="1"/>
          <w:iCs w:val="1"/>
          <w:color w:val="auto"/>
        </w:rPr>
        <w:t xml:space="preserve"> </w:t>
      </w:r>
      <w:r>
        <w:rPr>
          <w:rFonts w:ascii="Arial" w:cs="Arial" w:eastAsia="Arial" w:hAnsi="Arial"/>
          <w:sz w:val="17"/>
          <w:szCs w:val="17"/>
          <w:color w:val="auto"/>
        </w:rPr>
        <w:t>If any of the following events (any such event, an “</w:t>
      </w:r>
      <w:r>
        <w:rPr>
          <w:rFonts w:ascii="Arial" w:cs="Arial" w:eastAsia="Arial" w:hAnsi="Arial"/>
          <w:sz w:val="17"/>
          <w:szCs w:val="17"/>
          <w:b w:val="1"/>
          <w:bCs w:val="1"/>
          <w:color w:val="auto"/>
        </w:rPr>
        <w:t>Event of Default</w:t>
      </w:r>
      <w:r>
        <w:rPr>
          <w:rFonts w:ascii="Arial" w:cs="Arial" w:eastAsia="Arial" w:hAnsi="Arial"/>
          <w:sz w:val="17"/>
          <w:szCs w:val="17"/>
          <w:color w:val="auto"/>
        </w:rPr>
        <w:t>”) shall occur:</w:t>
      </w:r>
    </w:p>
    <w:p>
      <w:pPr>
        <w:spacing w:after="0" w:line="231" w:lineRule="exact"/>
        <w:rPr>
          <w:sz w:val="20"/>
          <w:szCs w:val="20"/>
          <w:color w:val="auto"/>
        </w:rPr>
      </w:pPr>
    </w:p>
    <w:p>
      <w:pPr>
        <w:jc w:val="both"/>
        <w:ind w:firstLine="819"/>
        <w:spacing w:after="0" w:line="267" w:lineRule="auto"/>
        <w:tabs>
          <w:tab w:leader="none" w:pos="134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5" w:lineRule="exact"/>
        <w:rPr>
          <w:rFonts w:ascii="Arial" w:cs="Arial" w:eastAsia="Arial" w:hAnsi="Arial"/>
          <w:sz w:val="21"/>
          <w:szCs w:val="21"/>
          <w:color w:val="auto"/>
        </w:rPr>
      </w:pPr>
    </w:p>
    <w:p>
      <w:pPr>
        <w:jc w:val="both"/>
        <w:ind w:firstLine="819"/>
        <w:spacing w:after="0" w:line="267" w:lineRule="auto"/>
        <w:tabs>
          <w:tab w:leader="none" w:pos="1247"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any Loan Party shall fail to pay any interest on any Loan or any fee or any other amount (other than an amount referred to in paragraph (a) of this Section) payable under any Loan Document, when and as the same shall become due and payable, and such failure shall continue unremedied for a period of five Business Days;</w:t>
      </w:r>
    </w:p>
    <w:p>
      <w:pPr>
        <w:spacing w:after="0" w:line="165" w:lineRule="exact"/>
        <w:rPr>
          <w:rFonts w:ascii="Arial" w:cs="Arial" w:eastAsia="Arial" w:hAnsi="Arial"/>
          <w:sz w:val="21"/>
          <w:szCs w:val="21"/>
          <w:color w:val="auto"/>
        </w:rPr>
      </w:pPr>
    </w:p>
    <w:p>
      <w:pPr>
        <w:jc w:val="both"/>
        <w:ind w:firstLine="819"/>
        <w:spacing w:after="0" w:line="257" w:lineRule="auto"/>
        <w:tabs>
          <w:tab w:leader="none" w:pos="1235"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any representation or warranty made or deemed made by or on behalf of Holdings, the Borrower or any of its Restricted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76" w:lineRule="exact"/>
        <w:rPr>
          <w:rFonts w:ascii="Arial" w:cs="Arial" w:eastAsia="Arial" w:hAnsi="Arial"/>
          <w:sz w:val="21"/>
          <w:szCs w:val="21"/>
          <w:color w:val="auto"/>
        </w:rPr>
      </w:pPr>
    </w:p>
    <w:p>
      <w:pPr>
        <w:jc w:val="both"/>
        <w:ind w:firstLine="819"/>
        <w:spacing w:after="0" w:line="260" w:lineRule="auto"/>
        <w:tabs>
          <w:tab w:leader="none" w:pos="126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 xml:space="preserve">Holdings, the Borrower or any of its Restricted Subsidiaries shall fail to observe or perform any covenant, condition or agreement contained in Sections 5.02, 5.04 (with respect to the existence of Holdings, the Borrower or such Restricted Subsidiaries), 5.10 or in Article 6 (other than Section 6.09);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Event of Default under the Financial Performance Covenants is subject to the cure period provided in Section 7.02;</w:t>
      </w:r>
    </w:p>
    <w:p>
      <w:pPr>
        <w:spacing w:after="0" w:line="174" w:lineRule="exact"/>
        <w:rPr>
          <w:rFonts w:ascii="Arial" w:cs="Arial" w:eastAsia="Arial" w:hAnsi="Arial"/>
          <w:sz w:val="21"/>
          <w:szCs w:val="21"/>
          <w:color w:val="auto"/>
        </w:rPr>
      </w:pPr>
    </w:p>
    <w:p>
      <w:pPr>
        <w:jc w:val="both"/>
        <w:ind w:firstLine="819"/>
        <w:spacing w:after="0" w:line="286" w:lineRule="auto"/>
        <w:tabs>
          <w:tab w:leader="none" w:pos="1248" w:val="left"/>
        </w:tabs>
        <w:numPr>
          <w:ilvl w:val="1"/>
          <w:numId w:val="157"/>
        </w:numPr>
        <w:rPr>
          <w:rFonts w:ascii="Arial" w:cs="Arial" w:eastAsia="Arial" w:hAnsi="Arial"/>
          <w:sz w:val="20"/>
          <w:szCs w:val="20"/>
          <w:color w:val="auto"/>
        </w:rPr>
      </w:pPr>
      <w:r>
        <w:rPr>
          <w:rFonts w:ascii="Arial" w:cs="Arial" w:eastAsia="Arial" w:hAnsi="Arial"/>
          <w:sz w:val="20"/>
          <w:szCs w:val="20"/>
          <w:color w:val="auto"/>
        </w:rPr>
        <w:t>Holdings, the Borrower or any of its Restricted Subsidiaries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the Borrower;</w:t>
      </w:r>
    </w:p>
    <w:p>
      <w:pPr>
        <w:spacing w:after="0" w:line="149" w:lineRule="exact"/>
        <w:rPr>
          <w:rFonts w:ascii="Arial" w:cs="Arial" w:eastAsia="Arial" w:hAnsi="Arial"/>
          <w:sz w:val="20"/>
          <w:szCs w:val="20"/>
          <w:color w:val="auto"/>
        </w:rPr>
      </w:pPr>
    </w:p>
    <w:p>
      <w:pPr>
        <w:jc w:val="both"/>
        <w:ind w:firstLine="819"/>
        <w:spacing w:after="0" w:line="267" w:lineRule="auto"/>
        <w:tabs>
          <w:tab w:leader="none" w:pos="1277" w:val="left"/>
        </w:tabs>
        <w:numPr>
          <w:ilvl w:val="1"/>
          <w:numId w:val="157"/>
        </w:numPr>
        <w:rPr>
          <w:rFonts w:ascii="Arial" w:cs="Arial" w:eastAsia="Arial" w:hAnsi="Arial"/>
          <w:sz w:val="21"/>
          <w:szCs w:val="21"/>
          <w:color w:val="auto"/>
        </w:rPr>
      </w:pPr>
      <w:r>
        <w:rPr>
          <w:rFonts w:ascii="Arial" w:cs="Arial" w:eastAsia="Arial" w:hAnsi="Arial"/>
          <w:sz w:val="21"/>
          <w:szCs w:val="21"/>
          <w:color w:val="auto"/>
        </w:rPr>
        <w:t>Holdings, the Borrower or any of its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165" w:lineRule="exact"/>
        <w:rPr>
          <w:rFonts w:ascii="Arial" w:cs="Arial" w:eastAsia="Arial" w:hAnsi="Arial"/>
          <w:sz w:val="21"/>
          <w:szCs w:val="21"/>
          <w:color w:val="auto"/>
        </w:rPr>
      </w:pPr>
    </w:p>
    <w:p>
      <w:pPr>
        <w:jc w:val="both"/>
        <w:ind w:firstLine="819"/>
        <w:spacing w:after="0" w:line="266" w:lineRule="auto"/>
        <w:tabs>
          <w:tab w:leader="none" w:pos="126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Trading Debt (it being understood that paragraph (f) of this Section will apply to any failure to make any payment in respect of any Trading Debt) or (iii) termination events or similar events occurring under any Swap Agreement that constitutes Material Indebtedness (it being understood that paragraph (f) of this Section will apply to any failure to make any payment required as a result of any such termination or similar event);</w:t>
      </w:r>
    </w:p>
    <w:p>
      <w:pPr>
        <w:spacing w:after="0" w:line="167" w:lineRule="exact"/>
        <w:rPr>
          <w:rFonts w:ascii="Arial" w:cs="Arial" w:eastAsia="Arial" w:hAnsi="Arial"/>
          <w:sz w:val="20"/>
          <w:szCs w:val="20"/>
          <w:color w:val="auto"/>
        </w:rPr>
      </w:pPr>
    </w:p>
    <w:p>
      <w:pPr>
        <w:jc w:val="both"/>
        <w:ind w:firstLine="819"/>
        <w:spacing w:after="0" w:line="287" w:lineRule="auto"/>
        <w:tabs>
          <w:tab w:leader="none" w:pos="1312" w:val="left"/>
        </w:tabs>
        <w:numPr>
          <w:ilvl w:val="1"/>
          <w:numId w:val="157"/>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51" w:lineRule="exact"/>
        <w:rPr>
          <w:rFonts w:ascii="Arial" w:cs="Arial" w:eastAsia="Arial" w:hAnsi="Arial"/>
          <w:sz w:val="19"/>
          <w:szCs w:val="19"/>
          <w:color w:val="auto"/>
        </w:rPr>
      </w:pPr>
    </w:p>
    <w:p>
      <w:pPr>
        <w:jc w:val="both"/>
        <w:ind w:firstLine="819"/>
        <w:spacing w:after="0" w:line="279" w:lineRule="auto"/>
        <w:tabs>
          <w:tab w:leader="none" w:pos="1292" w:val="left"/>
        </w:tabs>
        <w:numPr>
          <w:ilvl w:val="1"/>
          <w:numId w:val="157"/>
        </w:numPr>
        <w:rPr>
          <w:rFonts w:ascii="Arial" w:cs="Arial" w:eastAsia="Arial" w:hAnsi="Arial"/>
          <w:sz w:val="19"/>
          <w:szCs w:val="19"/>
          <w:color w:val="auto"/>
        </w:rPr>
      </w:pPr>
      <w:r>
        <w:rPr>
          <w:rFonts w:ascii="Arial" w:cs="Arial" w:eastAsia="Arial" w:hAnsi="Arial"/>
          <w:sz w:val="19"/>
          <w:szCs w:val="19"/>
          <w:color w:val="auto"/>
        </w:rPr>
        <w:t>Holdings, the Borrower or any other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w:t>
      </w:r>
    </w:p>
    <w:p>
      <w:pPr>
        <w:spacing w:after="0" w:line="3" w:lineRule="exact"/>
        <w:rPr>
          <w:rFonts w:ascii="Arial" w:cs="Arial" w:eastAsia="Arial" w:hAnsi="Arial"/>
          <w:sz w:val="19"/>
          <w:szCs w:val="19"/>
          <w:color w:val="auto"/>
        </w:rPr>
      </w:pPr>
    </w:p>
    <w:p>
      <w:pPr>
        <w:ind w:left="300" w:hanging="295"/>
        <w:spacing w:after="0"/>
        <w:tabs>
          <w:tab w:leader="none" w:pos="30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make a general assignment for the benefit of creditors;</w:t>
      </w:r>
    </w:p>
    <w:p>
      <w:pPr>
        <w:spacing w:after="0" w:line="200" w:lineRule="exact"/>
        <w:rPr>
          <w:rFonts w:ascii="Arial" w:cs="Arial" w:eastAsia="Arial" w:hAnsi="Arial"/>
          <w:sz w:val="21"/>
          <w:szCs w:val="21"/>
          <w:color w:val="auto"/>
        </w:rPr>
      </w:pPr>
    </w:p>
    <w:p>
      <w:pPr>
        <w:jc w:val="both"/>
        <w:ind w:firstLine="819"/>
        <w:spacing w:after="0" w:line="287" w:lineRule="auto"/>
        <w:tabs>
          <w:tab w:leader="none" w:pos="1226" w:val="left"/>
        </w:tabs>
        <w:numPr>
          <w:ilvl w:val="1"/>
          <w:numId w:val="158"/>
        </w:numPr>
        <w:rPr>
          <w:rFonts w:ascii="Arial" w:cs="Arial" w:eastAsia="Arial" w:hAnsi="Arial"/>
          <w:sz w:val="19"/>
          <w:szCs w:val="19"/>
          <w:color w:val="auto"/>
        </w:rPr>
      </w:pPr>
      <w:r>
        <w:rPr>
          <w:rFonts w:ascii="Arial" w:cs="Arial" w:eastAsia="Arial" w:hAnsi="Arial"/>
          <w:sz w:val="19"/>
          <w:szCs w:val="19"/>
          <w:color w:val="auto"/>
        </w:rPr>
        <w:t>one or more enforceable judgments for the payment of money in an aggregate amount in excess of $15,000,000 (to the extent not covered by insurance as to which the insurer has been notified of such judgment or order and has not denied coverage) shall be rendered against Holdings, the Borrower and any of its Restricted Subsidiaries or any combination thereof and the same shall remain undischarged for a period of 60 consecutive days during which execution shall not be effectively stayed, or any judgment creditor shall legally attach or levy upon assets of any such Loan Party that are material to the businesses and operations of Holdings, the Borrower and its Restricted Subsidiaries, taken as a whole, to enforce any such judgment;</w:t>
      </w:r>
    </w:p>
    <w:p>
      <w:pPr>
        <w:spacing w:after="0" w:line="151" w:lineRule="exact"/>
        <w:rPr>
          <w:rFonts w:ascii="Arial" w:cs="Arial" w:eastAsia="Arial" w:hAnsi="Arial"/>
          <w:sz w:val="19"/>
          <w:szCs w:val="19"/>
          <w:color w:val="auto"/>
        </w:rPr>
      </w:pPr>
    </w:p>
    <w:p>
      <w:pPr>
        <w:jc w:val="both"/>
        <w:ind w:firstLine="819"/>
        <w:spacing w:after="0" w:line="341" w:lineRule="auto"/>
        <w:tabs>
          <w:tab w:leader="none" w:pos="1233" w:val="left"/>
        </w:tabs>
        <w:numPr>
          <w:ilvl w:val="1"/>
          <w:numId w:val="158"/>
        </w:numPr>
        <w:rPr>
          <w:rFonts w:ascii="Arial" w:cs="Arial" w:eastAsia="Arial" w:hAnsi="Arial"/>
          <w:sz w:val="19"/>
          <w:szCs w:val="19"/>
          <w:color w:val="auto"/>
        </w:rPr>
      </w:pPr>
      <w:r>
        <w:rPr>
          <w:rFonts w:ascii="Arial" w:cs="Arial" w:eastAsia="Arial" w:hAnsi="Arial"/>
          <w:sz w:val="19"/>
          <w:szCs w:val="19"/>
          <w:color w:val="auto"/>
        </w:rPr>
        <w:t>(i) an ERISA Event occurs that has resulted or could reasonably be expected to result in liability of any Loan Party in an aggregate amount that could reasonably be expected to result in a Material Adverse Effect, or (ii) any Loan Party or any ERISA</w:t>
      </w:r>
    </w:p>
    <w:p>
      <w:pPr>
        <w:sectPr>
          <w:pgSz w:w="11900" w:h="16925" w:orient="portrait"/>
          <w:cols w:equalWidth="0" w:num="1">
            <w:col w:w="11420"/>
          </w:cols>
          <w:pgMar w:left="240" w:top="145" w:right="239" w:bottom="0" w:gutter="0" w:footer="0" w:header="0"/>
        </w:sectPr>
      </w:pPr>
    </w:p>
    <w:bookmarkStart w:id="171" w:name="page172"/>
    <w:bookmarkEnd w:id="171"/>
    <w:p>
      <w:pPr>
        <w:jc w:val="both"/>
        <w:spacing w:after="0" w:line="260" w:lineRule="auto"/>
        <w:rPr>
          <w:sz w:val="20"/>
          <w:szCs w:val="20"/>
          <w:color w:val="auto"/>
        </w:rPr>
      </w:pPr>
      <w:r>
        <w:rPr>
          <w:rFonts w:ascii="Arial" w:cs="Arial" w:eastAsia="Arial" w:hAnsi="Arial"/>
          <w:sz w:val="21"/>
          <w:szCs w:val="21"/>
          <w:color w:val="auto"/>
        </w:rPr>
        <w:t>Affiliate fails to pay when due, after the expiration of any applicable grace period, any installment payment with respect to its withdrawal liability under Section 4201 of ERISA under a Multiemployer Plan in an aggregate amount that could reasonably be expected to result in a Material Adverse Effect;</w:t>
      </w:r>
    </w:p>
    <w:p>
      <w:pPr>
        <w:spacing w:after="0" w:line="173" w:lineRule="exact"/>
        <w:rPr>
          <w:sz w:val="20"/>
          <w:szCs w:val="20"/>
          <w:color w:val="auto"/>
        </w:rPr>
      </w:pPr>
    </w:p>
    <w:p>
      <w:pPr>
        <w:jc w:val="both"/>
        <w:ind w:firstLine="819"/>
        <w:spacing w:after="0" w:line="253" w:lineRule="auto"/>
        <w:tabs>
          <w:tab w:leader="none" w:pos="1213" w:val="left"/>
        </w:tabs>
        <w:numPr>
          <w:ilvl w:val="0"/>
          <w:numId w:val="159"/>
        </w:numPr>
        <w:rPr>
          <w:rFonts w:ascii="Arial" w:cs="Arial" w:eastAsia="Arial" w:hAnsi="Arial"/>
          <w:sz w:val="21"/>
          <w:szCs w:val="21"/>
          <w:color w:val="auto"/>
        </w:rPr>
      </w:pPr>
      <w:r>
        <w:rPr>
          <w:rFonts w:ascii="Arial" w:cs="Arial" w:eastAsia="Arial" w:hAnsi="Arial"/>
          <w:sz w:val="21"/>
          <w:szCs w:val="21"/>
          <w:color w:val="auto"/>
        </w:rPr>
        <w:t>any Lien purported to be created under any Security Document shall cease to be, or shall be asserted by any Loan Party not to be, a valid and perfected Lien on any material portion of the Collateral, with the priority required by the applicable Security Document, except (i) as a result of the sale or other disposition of the applicable Collateral in a transaction permitted under the Loan Documents, (ii) as a result of the Administrative Agent’s failure to (A) maintain possession of any stock certificates, promissory notes or other instruments delivered to it under the Security Documents or (B) file Uniform Commercial Code continuation statements, (iii) as to Collateral consisting of real property to the extent that such losses are covered by a lender’s title insurance policy and such insurer has not denied coverage or (iv) as the direct exclusive result of acts or omissions of the Administrative Agent or any Lender within its sole control;</w:t>
      </w:r>
    </w:p>
    <w:p>
      <w:pPr>
        <w:spacing w:after="0" w:line="181" w:lineRule="exact"/>
        <w:rPr>
          <w:rFonts w:ascii="Arial" w:cs="Arial" w:eastAsia="Arial" w:hAnsi="Arial"/>
          <w:sz w:val="21"/>
          <w:szCs w:val="21"/>
          <w:color w:val="auto"/>
        </w:rPr>
      </w:pPr>
    </w:p>
    <w:p>
      <w:pPr>
        <w:jc w:val="both"/>
        <w:ind w:firstLine="819"/>
        <w:spacing w:after="0" w:line="267" w:lineRule="auto"/>
        <w:tabs>
          <w:tab w:leader="none" w:pos="1292" w:val="left"/>
        </w:tabs>
        <w:numPr>
          <w:ilvl w:val="0"/>
          <w:numId w:val="159"/>
        </w:numPr>
        <w:rPr>
          <w:rFonts w:ascii="Arial" w:cs="Arial" w:eastAsia="Arial" w:hAnsi="Arial"/>
          <w:sz w:val="21"/>
          <w:szCs w:val="21"/>
          <w:color w:val="auto"/>
        </w:rPr>
      </w:pPr>
      <w:r>
        <w:rPr>
          <w:rFonts w:ascii="Arial" w:cs="Arial" w:eastAsia="Arial" w:hAnsi="Arial"/>
          <w:sz w:val="21"/>
          <w:szCs w:val="21"/>
          <w:color w:val="auto"/>
        </w:rPr>
        <w:t>any material provision of any Loan Document or any Guarantee of the Loan Document Obligations shall for any reason be asserted by any Loan Party not to be a legal, valid and binding obligation of any Loan Party party thereto or subject thereto other than as expressly permitted hereunder or thereunder;</w:t>
      </w:r>
    </w:p>
    <w:p>
      <w:pPr>
        <w:spacing w:after="0" w:line="165" w:lineRule="exact"/>
        <w:rPr>
          <w:rFonts w:ascii="Arial" w:cs="Arial" w:eastAsia="Arial" w:hAnsi="Arial"/>
          <w:sz w:val="21"/>
          <w:szCs w:val="21"/>
          <w:color w:val="auto"/>
        </w:rPr>
      </w:pPr>
    </w:p>
    <w:p>
      <w:pPr>
        <w:ind w:firstLine="819"/>
        <w:spacing w:after="0" w:line="286" w:lineRule="auto"/>
        <w:tabs>
          <w:tab w:leader="none" w:pos="1233" w:val="left"/>
        </w:tabs>
        <w:numPr>
          <w:ilvl w:val="0"/>
          <w:numId w:val="159"/>
        </w:numPr>
        <w:rPr>
          <w:rFonts w:ascii="Arial" w:cs="Arial" w:eastAsia="Arial" w:hAnsi="Arial"/>
          <w:sz w:val="21"/>
          <w:szCs w:val="21"/>
          <w:color w:val="auto"/>
        </w:rPr>
      </w:pPr>
      <w:r>
        <w:rPr>
          <w:rFonts w:ascii="Arial" w:cs="Arial" w:eastAsia="Arial" w:hAnsi="Arial"/>
          <w:sz w:val="21"/>
          <w:szCs w:val="21"/>
          <w:color w:val="auto"/>
        </w:rPr>
        <w:t>any Guarantee of the Loan Document Obligations by any Loan Party pursuant to the Guarantee Agreement shall cease to be in full force and effect (in each case, other than in accordance with the terms of the Loan Documents);</w:t>
      </w:r>
    </w:p>
    <w:p>
      <w:pPr>
        <w:spacing w:after="0" w:line="146" w:lineRule="exact"/>
        <w:rPr>
          <w:rFonts w:ascii="Arial" w:cs="Arial" w:eastAsia="Arial" w:hAnsi="Arial"/>
          <w:sz w:val="21"/>
          <w:szCs w:val="21"/>
          <w:color w:val="auto"/>
        </w:rPr>
      </w:pPr>
    </w:p>
    <w:p>
      <w:pPr>
        <w:ind w:left="1240" w:hanging="421"/>
        <w:spacing w:after="0"/>
        <w:tabs>
          <w:tab w:leader="none" w:pos="124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a Change in Control shall occur;</w:t>
      </w:r>
    </w:p>
    <w:p>
      <w:pPr>
        <w:spacing w:after="0" w:line="230" w:lineRule="exact"/>
        <w:rPr>
          <w:rFonts w:ascii="Arial" w:cs="Arial" w:eastAsia="Arial" w:hAnsi="Arial"/>
          <w:sz w:val="21"/>
          <w:szCs w:val="21"/>
          <w:color w:val="auto"/>
        </w:rPr>
      </w:pPr>
    </w:p>
    <w:p>
      <w:pPr>
        <w:ind w:left="1240" w:hanging="421"/>
        <w:spacing w:after="0"/>
        <w:tabs>
          <w:tab w:leader="none" w:pos="124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[Reserved];</w:t>
      </w:r>
    </w:p>
    <w:p>
      <w:pPr>
        <w:spacing w:after="0" w:line="230" w:lineRule="exact"/>
        <w:rPr>
          <w:rFonts w:ascii="Arial" w:cs="Arial" w:eastAsia="Arial" w:hAnsi="Arial"/>
          <w:sz w:val="21"/>
          <w:szCs w:val="21"/>
          <w:color w:val="auto"/>
        </w:rPr>
      </w:pPr>
    </w:p>
    <w:p>
      <w:pPr>
        <w:ind w:left="1240" w:hanging="421"/>
        <w:spacing w:after="0"/>
        <w:tabs>
          <w:tab w:leader="none" w:pos="124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[Reserved];</w:t>
      </w:r>
    </w:p>
    <w:p>
      <w:pPr>
        <w:spacing w:after="0" w:line="230" w:lineRule="exact"/>
        <w:rPr>
          <w:rFonts w:ascii="Arial" w:cs="Arial" w:eastAsia="Arial" w:hAnsi="Arial"/>
          <w:sz w:val="21"/>
          <w:szCs w:val="21"/>
          <w:color w:val="auto"/>
        </w:rPr>
      </w:pPr>
    </w:p>
    <w:p>
      <w:pPr>
        <w:jc w:val="both"/>
        <w:ind w:firstLine="819"/>
        <w:spacing w:after="0" w:line="267" w:lineRule="auto"/>
        <w:tabs>
          <w:tab w:leader="none" w:pos="1251" w:val="left"/>
        </w:tabs>
        <w:numPr>
          <w:ilvl w:val="0"/>
          <w:numId w:val="159"/>
        </w:numPr>
        <w:rPr>
          <w:rFonts w:ascii="Arial" w:cs="Arial" w:eastAsia="Arial" w:hAnsi="Arial"/>
          <w:sz w:val="21"/>
          <w:szCs w:val="21"/>
          <w:color w:val="auto"/>
        </w:rPr>
      </w:pPr>
      <w:r>
        <w:rPr>
          <w:rFonts w:ascii="Arial" w:cs="Arial" w:eastAsia="Arial" w:hAnsi="Arial"/>
          <w:sz w:val="21"/>
          <w:szCs w:val="21"/>
          <w:color w:val="auto"/>
        </w:rPr>
        <w:t>one or more Regulated Subsidiaries shall become subject to regulatory restrictions on its business as a result of falling below capital early warning levels and such restrictions are material and adverse to the business of Holdings, the Borrower and the Restricted Subsidiaries, taken as a whole; or</w:t>
      </w:r>
    </w:p>
    <w:p>
      <w:pPr>
        <w:spacing w:after="0" w:line="165" w:lineRule="exact"/>
        <w:rPr>
          <w:rFonts w:ascii="Arial" w:cs="Arial" w:eastAsia="Arial" w:hAnsi="Arial"/>
          <w:sz w:val="21"/>
          <w:szCs w:val="21"/>
          <w:color w:val="auto"/>
        </w:rPr>
      </w:pPr>
    </w:p>
    <w:p>
      <w:pPr>
        <w:jc w:val="both"/>
        <w:ind w:firstLine="819"/>
        <w:spacing w:after="0" w:line="277" w:lineRule="auto"/>
        <w:tabs>
          <w:tab w:leader="none" w:pos="122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any disqualification of the Borrower or Holdings from owning any Regulated Subsidiary which disqualification remains in effect and unwaived for a period of 30 days from receipt of notification thereof by the Borrower or Holdings;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the Borrower or Holdings becomes the subject of a waiver application within such 30 day period, then such disqualification shall not constitute an Event Of Default for so long as such waiver application has not been denied;</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 and in every such event (other than an event with respect to Holdings or the Borrower described in paragraph (h) or (i)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78"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7.02. </w:t>
      </w:r>
      <w:r>
        <w:rPr>
          <w:rFonts w:ascii="Arial" w:cs="Arial" w:eastAsia="Arial" w:hAnsi="Arial"/>
          <w:sz w:val="20"/>
          <w:szCs w:val="20"/>
          <w:i w:val="1"/>
          <w:iCs w:val="1"/>
          <w:color w:val="auto"/>
        </w:rPr>
        <w:t>Right to Cure</w:t>
      </w:r>
      <w:r>
        <w:rPr>
          <w:rFonts w:ascii="Arial" w:cs="Arial" w:eastAsia="Arial" w:hAnsi="Arial"/>
          <w:sz w:val="18"/>
          <w:szCs w:val="18"/>
          <w:color w:val="auto"/>
        </w:rPr>
        <w:t>.</w:t>
      </w:r>
      <w:r>
        <w:rPr>
          <w:rFonts w:ascii="Arial" w:cs="Arial" w:eastAsia="Arial" w:hAnsi="Arial"/>
          <w:sz w:val="20"/>
          <w:szCs w:val="20"/>
          <w:color w:val="auto"/>
        </w:rPr>
        <w:t xml:space="preserve"> (%3) </w:t>
      </w:r>
      <w:r>
        <w:rPr>
          <w:rFonts w:ascii="Arial" w:cs="Arial" w:eastAsia="Arial" w:hAnsi="Arial"/>
          <w:sz w:val="18"/>
          <w:szCs w:val="18"/>
          <w:color w:val="auto"/>
        </w:rPr>
        <w:t>Notwithstanding anything to the contrary contained in Section 7.01, in the event that the Borrower</w:t>
      </w:r>
      <w:r>
        <w:rPr>
          <w:rFonts w:ascii="Arial" w:cs="Arial" w:eastAsia="Arial" w:hAnsi="Arial"/>
          <w:sz w:val="20"/>
          <w:szCs w:val="20"/>
          <w:color w:val="auto"/>
        </w:rPr>
        <w:t xml:space="preserve"> </w:t>
      </w:r>
      <w:r>
        <w:rPr>
          <w:rFonts w:ascii="Arial" w:cs="Arial" w:eastAsia="Arial" w:hAnsi="Arial"/>
          <w:sz w:val="18"/>
          <w:szCs w:val="18"/>
          <w:color w:val="auto"/>
        </w:rPr>
        <w:t>and the Restricted Subsidiaries fail to comply with the requirements of either Financial Performance Covenant as of the last day of any fiscal quarter of the Borrower, then at any time after the beginning of such fiscal quarter until the expiration of the 10th day subsequent to the earlier of (i) the date on which a Compliance Certificate with respect to such fiscal quarter (or the fiscal year ended on the last day of such fiscal quarter) is delivered in accordance with Section 5.01(d) and (ii)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of which the Borrower is a Subsidiary to the Borrower as cash common equity) (collectively, the “</w:t>
      </w:r>
      <w:r>
        <w:rPr>
          <w:rFonts w:ascii="Arial" w:cs="Arial" w:eastAsia="Arial" w:hAnsi="Arial"/>
          <w:sz w:val="18"/>
          <w:szCs w:val="18"/>
          <w:b w:val="1"/>
          <w:bCs w:val="1"/>
          <w:color w:val="auto"/>
        </w:rPr>
        <w:t>Cure Right</w:t>
      </w:r>
      <w:r>
        <w:rPr>
          <w:rFonts w:ascii="Arial" w:cs="Arial" w:eastAsia="Arial" w:hAnsi="Arial"/>
          <w:sz w:val="18"/>
          <w:szCs w:val="18"/>
          <w:color w:val="auto"/>
        </w:rPr>
        <w:t>”), and upon the receipt by the Borrower of the Net Proceeds of such issuance that are Not Otherwise Applied (the “</w:t>
      </w:r>
      <w:r>
        <w:rPr>
          <w:rFonts w:ascii="Arial" w:cs="Arial" w:eastAsia="Arial" w:hAnsi="Arial"/>
          <w:sz w:val="18"/>
          <w:szCs w:val="18"/>
          <w:b w:val="1"/>
          <w:bCs w:val="1"/>
          <w:color w:val="auto"/>
        </w:rPr>
        <w:t>Cure Amount</w:t>
      </w:r>
      <w:r>
        <w:rPr>
          <w:rFonts w:ascii="Arial" w:cs="Arial" w:eastAsia="Arial" w:hAnsi="Arial"/>
          <w:sz w:val="18"/>
          <w:szCs w:val="18"/>
          <w:color w:val="auto"/>
        </w:rPr>
        <w:t>”) pursuant to the exercise by Holdings of such Cure Right such Financial Performance Covenant shall be recalculated giving effect to the following pro forma adjustment:</w:t>
      </w:r>
    </w:p>
    <w:p>
      <w:pPr>
        <w:spacing w:after="0" w:line="169" w:lineRule="exact"/>
        <w:rPr>
          <w:sz w:val="20"/>
          <w:szCs w:val="20"/>
          <w:color w:val="auto"/>
        </w:rPr>
      </w:pPr>
    </w:p>
    <w:p>
      <w:pPr>
        <w:jc w:val="both"/>
        <w:ind w:left="640" w:firstLine="940"/>
        <w:spacing w:after="0" w:line="267" w:lineRule="auto"/>
        <w:tabs>
          <w:tab w:leader="none" w:pos="2076" w:val="left"/>
        </w:tabs>
        <w:numPr>
          <w:ilvl w:val="0"/>
          <w:numId w:val="160"/>
        </w:numPr>
        <w:rPr>
          <w:rFonts w:ascii="Arial" w:cs="Arial" w:eastAsia="Arial" w:hAnsi="Arial"/>
          <w:sz w:val="21"/>
          <w:szCs w:val="21"/>
          <w:color w:val="auto"/>
        </w:rPr>
      </w:pPr>
      <w:r>
        <w:rPr>
          <w:rFonts w:ascii="Arial" w:cs="Arial" w:eastAsia="Arial" w:hAnsi="Arial"/>
          <w:sz w:val="21"/>
          <w:szCs w:val="21"/>
          <w:color w:val="auto"/>
        </w:rPr>
        <w:t>Consolidated EBITDA shall be increased with respect to such applicable fiscal quarter and any four fiscal quarter period that contains such fiscal quarter, solely for the purpose of measuring the Financial Performance Covenants and not for any other purpose under this Agreement, by an amount equal to the Cure Amount; and</w:t>
      </w:r>
    </w:p>
    <w:p>
      <w:pPr>
        <w:spacing w:after="0" w:line="165" w:lineRule="exact"/>
        <w:rPr>
          <w:rFonts w:ascii="Arial" w:cs="Arial" w:eastAsia="Arial" w:hAnsi="Arial"/>
          <w:sz w:val="21"/>
          <w:szCs w:val="21"/>
          <w:color w:val="auto"/>
        </w:rPr>
      </w:pPr>
    </w:p>
    <w:p>
      <w:pPr>
        <w:jc w:val="both"/>
        <w:ind w:left="640" w:firstLine="940"/>
        <w:spacing w:after="0" w:line="290" w:lineRule="auto"/>
        <w:tabs>
          <w:tab w:leader="none" w:pos="2095"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the Financial Performance Covenants, the Borrower and its Restricted Subsidiaries shall be deemed to have satisfied the requirements of the Financial Performance Covenants as of the relevant date</w:t>
      </w:r>
    </w:p>
    <w:p>
      <w:pPr>
        <w:sectPr>
          <w:pgSz w:w="11900" w:h="16838" w:orient="portrait"/>
          <w:cols w:equalWidth="0" w:num="1">
            <w:col w:w="11420"/>
          </w:cols>
          <w:pgMar w:left="240" w:top="131" w:right="239" w:bottom="0" w:gutter="0" w:footer="0" w:header="0"/>
        </w:sectPr>
      </w:pPr>
    </w:p>
    <w:bookmarkStart w:id="172" w:name="page173"/>
    <w:bookmarkEnd w:id="172"/>
    <w:p>
      <w:pPr>
        <w:jc w:val="both"/>
        <w:ind w:left="640"/>
        <w:spacing w:after="0" w:line="260" w:lineRule="auto"/>
        <w:rPr>
          <w:sz w:val="20"/>
          <w:szCs w:val="20"/>
          <w:color w:val="auto"/>
        </w:rPr>
      </w:pPr>
      <w:r>
        <w:rPr>
          <w:rFonts w:ascii="Arial" w:cs="Arial" w:eastAsia="Arial" w:hAnsi="Arial"/>
          <w:sz w:val="21"/>
          <w:szCs w:val="21"/>
          <w:color w:val="auto"/>
        </w:rPr>
        <w:t>of determination with the same effect as though there had been no failure to comply therewith at such date, and the applicable breach or default of the Financial Performance Covenants that had occurred shall be deemed cured for the purposes of this Agreement;</w:t>
      </w:r>
    </w:p>
    <w:p>
      <w:pPr>
        <w:spacing w:after="0" w:line="165" w:lineRule="exact"/>
        <w:rPr>
          <w:sz w:val="20"/>
          <w:szCs w:val="20"/>
          <w:color w:val="auto"/>
        </w:rPr>
      </w:pPr>
    </w:p>
    <w:p>
      <w:pPr>
        <w:spacing w:after="0" w:line="274"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Borrower shall have notified the Administrative Agent of the exercise of such Cure Right within five (5) Business Days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issuance of the relevant Qualified Equity Interests for cash or the receipt of the cash contributions by Holdings.</w:t>
      </w:r>
    </w:p>
    <w:p>
      <w:pPr>
        <w:spacing w:after="0" w:line="166" w:lineRule="exact"/>
        <w:rPr>
          <w:sz w:val="20"/>
          <w:szCs w:val="20"/>
          <w:color w:val="auto"/>
        </w:rPr>
      </w:pPr>
    </w:p>
    <w:p>
      <w:pPr>
        <w:jc w:val="both"/>
        <w:ind w:firstLine="819"/>
        <w:spacing w:after="0" w:line="254" w:lineRule="auto"/>
        <w:tabs>
          <w:tab w:leader="none" w:pos="126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Notwithstanding anything herein to the contrary, (i) in each four consecutive fiscal quarter period of the Borrower there shall be at least two fiscal quarters in which the Cure Right is not exercised, (ii) during the life of this Agreement, the Cure Right shall not be exercised more than four times and (iii) for purposes of this Section 7.02, the Cure Amount shall be no greater than the amount required for purposes of complying with the Financial Performance Covenants and any amounts in excess thereof shall not be deemed to be a Cure Amount. Notwithstanding any other provision in this Agreement to the contrary, the Cure Amount received pursuant to any exercise of the Cure Right shall be disregarded for purposes of determining any financial ratio based conditions or any available basket under Article 6 of this Agreement.</w:t>
      </w:r>
    </w:p>
    <w:p>
      <w:pPr>
        <w:spacing w:after="0" w:line="193"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ARTICLE 8</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Administrative Agent and Collateral Agent</w:t>
      </w:r>
    </w:p>
    <w:p>
      <w:pPr>
        <w:spacing w:after="0" w:line="241"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18"/>
          <w:szCs w:val="18"/>
          <w:color w:val="auto"/>
        </w:rPr>
        <w:t>Each Lender hereby irrevocably appoints the Administrative Agent its agent and authorizes the Administrative Agent to take such actions on its behalf and to exercise such powers as are delegated to it by the terms of the Loan Documents, together with such actions and powers as are reasonably incidental thereto. The Administrative Agent shall also act as the “collateral agent” under the Loan Documents (and for purposes of this Article 8, the Administrative Agent acting in its capacity as such and acting in its capacity as collateral agent shall be referred to collectively as the “</w:t>
      </w:r>
      <w:r>
        <w:rPr>
          <w:rFonts w:ascii="Arial" w:cs="Arial" w:eastAsia="Arial" w:hAnsi="Arial"/>
          <w:sz w:val="18"/>
          <w:szCs w:val="18"/>
          <w:b w:val="1"/>
          <w:bCs w:val="1"/>
          <w:color w:val="auto"/>
        </w:rPr>
        <w:t>Agent</w:t>
      </w:r>
      <w:r>
        <w:rPr>
          <w:rFonts w:ascii="Arial" w:cs="Arial" w:eastAsia="Arial" w:hAnsi="Arial"/>
          <w:sz w:val="18"/>
          <w:szCs w:val="18"/>
          <w:color w:val="auto"/>
        </w:rPr>
        <w:t>” or the “</w:t>
      </w:r>
      <w:r>
        <w:rPr>
          <w:rFonts w:ascii="Arial" w:cs="Arial" w:eastAsia="Arial" w:hAnsi="Arial"/>
          <w:sz w:val="18"/>
          <w:szCs w:val="18"/>
          <w:b w:val="1"/>
          <w:bCs w:val="1"/>
          <w:color w:val="auto"/>
        </w:rPr>
        <w:t>Agents</w:t>
      </w:r>
      <w:r>
        <w:rPr>
          <w:rFonts w:ascii="Arial" w:cs="Arial" w:eastAsia="Arial" w:hAnsi="Arial"/>
          <w:sz w:val="18"/>
          <w:szCs w:val="18"/>
          <w:color w:val="auto"/>
        </w:rPr>
        <w:t>”), and each of the Lenders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hereunder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8 and Article 9 (including Section 9.03 as though such co-agents, sub-agents and attorneys-in-fact were the “collateral agent” under the Loan Documents) as if set forth in full herein with respect thereto.</w:t>
      </w:r>
    </w:p>
    <w:p>
      <w:pPr>
        <w:spacing w:after="0" w:line="176"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7"/>
          <w:szCs w:val="17"/>
          <w:color w:val="auto"/>
        </w:rPr>
        <w:t>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Security Documents and (ii) negotiate, enforce or settle any claim, action or proceeding affecting the Lenders in their capacity as such, at the direction of the Required Lenders, which negotiation, enforcement or settlement will be binding upon each Lender. In the event that any obligations (other than the Secured Obligations) are permitted to be incurred hereunder and secured by Liens permitted to be incurred hereunder on all or a portion of the Collateral, each Lender authorizes each Agent to enter into intercreditor agreements, subordination agreements and amendments to the Security Documents to reflect such arrangements on terms acceptable to such Agent.</w:t>
      </w:r>
    </w:p>
    <w:p>
      <w:pPr>
        <w:spacing w:after="0" w:line="153"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The institution serving as the Administrative Agent and/or the Collateral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the Agent hereunder in its individual capacity. Such bank and its Affiliates may accept deposits from, lend money to and generally engage in any kind of business with Holdings, the Borrower or any Subsidiary or other Affiliate thereof as if it were not an Agent hereunder.</w:t>
      </w:r>
    </w:p>
    <w:p>
      <w:pPr>
        <w:spacing w:after="0" w:line="178" w:lineRule="exact"/>
        <w:rPr>
          <w:sz w:val="20"/>
          <w:szCs w:val="20"/>
          <w:color w:val="auto"/>
        </w:rPr>
      </w:pPr>
    </w:p>
    <w:p>
      <w:pPr>
        <w:jc w:val="both"/>
        <w:ind w:firstLine="630"/>
        <w:spacing w:after="0" w:line="260" w:lineRule="auto"/>
        <w:rPr>
          <w:sz w:val="20"/>
          <w:szCs w:val="20"/>
          <w:color w:val="auto"/>
        </w:rPr>
      </w:pPr>
      <w:r>
        <w:rPr>
          <w:rFonts w:ascii="Arial" w:cs="Arial" w:eastAsia="Arial" w:hAnsi="Arial"/>
          <w:sz w:val="18"/>
          <w:szCs w:val="18"/>
          <w:color w:val="auto"/>
        </w:rPr>
        <w:t xml:space="preserve">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Section 9.02);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Agent shall be required to take any action that, in its opinion or the opinion of its counsel, may expose such Agent to liability or that is contrary to any Loan Document or applicable law, and (c) except as expressly set forth in the Loan Documents, neither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jurisdiction in a final and non-appealable judgment. Neither Agent shall be deemed to have knowledge of any Default unless and until written notice thereof is given to such Agent by Holdings,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any Lien purported to be created by the Security Documents, (vi) the value or the sufficiency of any Collateral, (vii) the financial condition or business affairs of any Loan Party or any other Person liable for the payment of any Secured Obligations or as to the use of the proceeds of the Loans, (viii) the properties, books or records of any Loan Party, (ix) the existence or possible existence of any Event of Default or Default or (x) the satisfaction of any condition set forth in Article 4 or elsewhere in any Loan Document, other than to confirm receipt of items expressly required to be delivered to such Agent.</w:t>
      </w:r>
    </w:p>
    <w:p>
      <w:pPr>
        <w:spacing w:after="0" w:line="185" w:lineRule="exact"/>
        <w:rPr>
          <w:sz w:val="20"/>
          <w:szCs w:val="20"/>
          <w:color w:val="auto"/>
        </w:rPr>
      </w:pPr>
    </w:p>
    <w:p>
      <w:pPr>
        <w:jc w:val="both"/>
        <w:ind w:firstLine="630"/>
        <w:spacing w:after="0" w:line="294" w:lineRule="auto"/>
        <w:rPr>
          <w:sz w:val="20"/>
          <w:szCs w:val="20"/>
          <w:color w:val="auto"/>
        </w:rPr>
      </w:pPr>
      <w:r>
        <w:rPr>
          <w:rFonts w:ascii="Arial" w:cs="Arial" w:eastAsia="Arial" w:hAnsi="Arial"/>
          <w:sz w:val="17"/>
          <w:szCs w:val="17"/>
          <w:color w:val="auto"/>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Each Agent may also rely upon any statement made to it orally or by telephone and believed by it to have been made by the proper Person, and shall not incur any liability for relying thereon. Each Agent may</w:t>
      </w:r>
    </w:p>
    <w:p>
      <w:pPr>
        <w:sectPr>
          <w:pgSz w:w="11900" w:h="16838" w:orient="portrait"/>
          <w:cols w:equalWidth="0" w:num="1">
            <w:col w:w="11420"/>
          </w:cols>
          <w:pgMar w:left="240" w:top="132" w:right="239" w:bottom="0" w:gutter="0" w:footer="0" w:header="0"/>
        </w:sectPr>
      </w:pPr>
    </w:p>
    <w:bookmarkStart w:id="173" w:name="page174"/>
    <w:bookmarkEnd w:id="173"/>
    <w:p>
      <w:pPr>
        <w:jc w:val="both"/>
        <w:spacing w:after="0" w:line="275" w:lineRule="auto"/>
        <w:rPr>
          <w:sz w:val="20"/>
          <w:szCs w:val="20"/>
          <w:color w:val="auto"/>
        </w:rPr>
      </w:pPr>
      <w:r>
        <w:rPr>
          <w:rFonts w:ascii="Arial" w:cs="Arial" w:eastAsia="Arial" w:hAnsi="Arial"/>
          <w:sz w:val="19"/>
          <w:szCs w:val="19"/>
          <w:color w:val="auto"/>
        </w:rPr>
        <w:t>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7"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178" w:lineRule="exact"/>
        <w:rPr>
          <w:sz w:val="20"/>
          <w:szCs w:val="20"/>
          <w:color w:val="auto"/>
        </w:rPr>
      </w:pPr>
    </w:p>
    <w:p>
      <w:pPr>
        <w:jc w:val="both"/>
        <w:ind w:firstLine="630"/>
        <w:spacing w:after="0" w:line="276" w:lineRule="auto"/>
        <w:rPr>
          <w:sz w:val="20"/>
          <w:szCs w:val="20"/>
          <w:color w:val="auto"/>
        </w:rPr>
      </w:pPr>
      <w:r>
        <w:rPr>
          <w:rFonts w:ascii="Arial" w:cs="Arial" w:eastAsia="Arial" w:hAnsi="Arial"/>
          <w:sz w:val="17"/>
          <w:szCs w:val="17"/>
          <w:color w:val="auto"/>
        </w:rPr>
        <w:t>Subject to the appointment and acceptance of a successor Agent as provided below, either Agent may resign at any time upon 30 days’ notice to the Lenders and the Borrower. If the Administrative Agent becomes the subject of a bankruptcy or insolvency proceeding, or has had a receiver, conservator, trustee or custodian appointed for it, or has consented to, approved of or acquiesced in any such proceeding or appointment or has a parent company that has become the subject of a bankruptcy or insolvency proceeding, or has had a receiver, conservator, trustee or custodian appointed for it, or has consented to, approved of or acquiesced in any such proceeding or appointment and the Administrative Agent is not performing its role hereunder as Administrative Agent, then the Administrative Agent may be removed as the Administrative Agent hereunder at the request of the Borrower and the Required Lenders. Upon receipt of any such notice of resignation or upon such removal, the Required Lenders shall have the right, with the Borrower’s consent (such consent not to be unreasonably withheld or delayed) (provided that no consent of the Borrower shall be required if an Event of Default under Section 7.01(a), (b), (h) or (i) has occurred and is continuing), to appoint a successor. If no successor shall have been so appointed by the Required Lenders and shall have accepted such appointment within 30 days after the retiring Agent gives notice of its resignation, then the retiring Agent may, on behalf of the Lenders and each Issuing Bank, appoint a successor Agent which shall be a bank with an office in New York, New York, or an Affiliate of any such bank. If no successor Agent has been appointed pursuant to the immediately preceding sentence by the 30th day after the date such notice of resignation was given by such Agent, such Agent’s resignation shall become effective and the Required Lenders shall thereafter perform all the duties of such Agent hereunder and/or under any other Loan Document until such time, if any, as the Required Lenders appoint a successor Administrative Agent and/or Collateral Agent, as the case may be.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Article and Section 9.03 shall continue in effect for the benefit of such retiring Agent, its sub-agents and their respective Related Parties in respect of any actions taken or omitted to be taken by any of them while acting as Agent. For the avoidance of doubt, the Former Agent shall have all the right, privileges and immunities provided to the “Administrative Agent” in the Loan Documents in connection with its acting as the Administrative Agent under the Existing Credit Agreement.</w:t>
      </w:r>
    </w:p>
    <w:p>
      <w:pPr>
        <w:spacing w:after="0" w:line="173" w:lineRule="exact"/>
        <w:rPr>
          <w:sz w:val="20"/>
          <w:szCs w:val="20"/>
          <w:color w:val="auto"/>
        </w:rPr>
      </w:pPr>
    </w:p>
    <w:p>
      <w:pPr>
        <w:jc w:val="both"/>
        <w:ind w:firstLine="630"/>
        <w:spacing w:after="0" w:line="248" w:lineRule="auto"/>
        <w:rPr>
          <w:sz w:val="20"/>
          <w:szCs w:val="20"/>
          <w:color w:val="auto"/>
        </w:rPr>
      </w:pPr>
      <w:r>
        <w:rPr>
          <w:rFonts w:ascii="Arial" w:cs="Arial" w:eastAsia="Arial" w:hAnsi="Arial"/>
          <w:sz w:val="19"/>
          <w:szCs w:val="19"/>
          <w:color w:val="auto"/>
        </w:rPr>
        <w:t>Each Lender acknowledges and represents and warrants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 Neither Agent shall have any duty or responsibility, either initially or on a continuing basis, to make any investigation or any appraisal on behalf of Lenders or to provide any Lender with any credit or other information with respect thereto, whether coming into its possession before the making of the Loans or at any time or times thereafter, and neither Agent shall have any responsibility with respect to the accuracy or completeness of any information provided to Lenders.</w:t>
      </w:r>
    </w:p>
    <w:p>
      <w:pPr>
        <w:spacing w:after="0" w:line="186"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8" w:lineRule="exact"/>
        <w:rPr>
          <w:sz w:val="20"/>
          <w:szCs w:val="20"/>
          <w:color w:val="auto"/>
        </w:rPr>
      </w:pPr>
    </w:p>
    <w:p>
      <w:pPr>
        <w:jc w:val="both"/>
        <w:ind w:firstLine="635"/>
        <w:spacing w:after="0" w:line="252" w:lineRule="auto"/>
        <w:tabs>
          <w:tab w:leader="none" w:pos="109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outstanding Letters of Credit and all other Secured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Sections 2.12 and 9.03) allowed in such judicial proceeding; and</w:t>
      </w:r>
    </w:p>
    <w:p>
      <w:pPr>
        <w:spacing w:after="0" w:line="178" w:lineRule="exact"/>
        <w:rPr>
          <w:rFonts w:ascii="Arial" w:cs="Arial" w:eastAsia="Arial" w:hAnsi="Arial"/>
          <w:sz w:val="19"/>
          <w:szCs w:val="19"/>
          <w:color w:val="auto"/>
        </w:rPr>
      </w:pPr>
    </w:p>
    <w:p>
      <w:pPr>
        <w:ind w:left="1060" w:hanging="425"/>
        <w:spacing w:after="0"/>
        <w:tabs>
          <w:tab w:leader="none" w:pos="10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 same;</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each Agent any amount due for the reasonable compensation, expenses, disbursements and advances of such Agent and its agents and counsel, and any other amounts due such Agent under Sections 2.12 and 9.03.</w:t>
      </w:r>
    </w:p>
    <w:p>
      <w:pPr>
        <w:spacing w:after="0" w:line="161"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Secured Obligations or the rights of any Lender to authorize the Administrative Agent to vote in respect of the claim of any Lender in any such proceeding.</w:t>
      </w:r>
    </w:p>
    <w:p>
      <w:pPr>
        <w:spacing w:after="0" w:line="172"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7"/>
          <w:szCs w:val="17"/>
          <w:color w:val="auto"/>
        </w:rPr>
        <w:t>To the extent required by any applicable law, the Administrative Agent may deduct or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or for any other reason), such Lender shall indemnify and hold harmless the Administrative Agent (to the extent that the Administrative Agent has not already been reimbursed by the Borrower pursuant to Section 2.15 and without limiting any obligation of the Borrower to do so pursuant to such Section) fully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w:t>
      </w:r>
    </w:p>
    <w:p>
      <w:pPr>
        <w:sectPr>
          <w:pgSz w:w="11900" w:h="16838" w:orient="portrait"/>
          <w:cols w:equalWidth="0" w:num="1">
            <w:col w:w="11420"/>
          </w:cols>
          <w:pgMar w:left="240" w:top="121" w:right="239" w:bottom="0" w:gutter="0" w:footer="0" w:header="0"/>
        </w:sectPr>
      </w:pPr>
    </w:p>
    <w:bookmarkStart w:id="174" w:name="page175"/>
    <w:bookmarkEnd w:id="174"/>
    <w:p>
      <w:pPr>
        <w:jc w:val="both"/>
        <w:spacing w:after="0" w:line="274" w:lineRule="auto"/>
        <w:rPr>
          <w:sz w:val="20"/>
          <w:szCs w:val="20"/>
          <w:color w:val="auto"/>
        </w:rPr>
      </w:pPr>
      <w:r>
        <w:rPr>
          <w:rFonts w:ascii="Arial" w:cs="Arial" w:eastAsia="Arial" w:hAnsi="Arial"/>
          <w:sz w:val="18"/>
          <w:szCs w:val="18"/>
          <w:color w:val="auto"/>
        </w:rPr>
        <w:t>absent manifest error. Each Lender hereby authorizes the Administrative Agent to set off and apply any and all amounts at any time owing to such Lender under this Agreement or any other Loan Document against any amount due to the Administrative Agent under this Article 8. The agreements in this Article 8 shall survive the resignation and/or replacement of the Administrative Agent, any assignment of rights by, or the replacement of, a Lender, the termination of this Agreement and the repayment, satisfaction or discharge of all other obligations.</w:t>
      </w:r>
    </w:p>
    <w:p>
      <w:pPr>
        <w:spacing w:after="0" w:line="158"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Notwithstanding any other provision of this Agreement or any provision of any other Loan Document, the Lead Arranger is named as such for recognition purposes only, and in its capacity as such shall have no duties, responsibilities or liabilities with respect to this Agreement or any other Loan Document; it being understood and agreed that the Lead Arranger shall be entitled to all indemnification and reimbursement rights in favor of the Agents provided herein and in the other Loan Documents. Without limitation of the foregoing, the Lead Arranger in its capacity as such shall not, by reason of this Agreement or any other Loan Document, have any fiduciary relationship in respect of any Lender, any Loan Party or any other Person.</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term “Lender” in this Article 8 shall include any Issuing Bank.</w:t>
      </w:r>
    </w:p>
    <w:p>
      <w:pPr>
        <w:spacing w:after="0" w:line="236"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ARTICLE 9</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Miscellaneous</w:t>
      </w:r>
    </w:p>
    <w:p>
      <w:pPr>
        <w:spacing w:after="0" w:line="249"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9.01. </w:t>
      </w:r>
      <w:r>
        <w:rPr>
          <w:rFonts w:ascii="Arial" w:cs="Arial" w:eastAsia="Arial" w:hAnsi="Arial"/>
          <w:sz w:val="21"/>
          <w:szCs w:val="21"/>
          <w:i w:val="1"/>
          <w:iCs w:val="1"/>
          <w:color w:val="auto"/>
        </w:rPr>
        <w:t>Notices</w:t>
      </w:r>
      <w:r>
        <w:rPr>
          <w:rFonts w:ascii="Arial" w:cs="Arial" w:eastAsia="Arial" w:hAnsi="Arial"/>
          <w:sz w:val="19"/>
          <w:szCs w:val="19"/>
          <w:color w:val="auto"/>
        </w:rPr>
        <w:t>.</w:t>
      </w:r>
      <w:r>
        <w:rPr>
          <w:rFonts w:ascii="Arial" w:cs="Arial" w:eastAsia="Arial" w:hAnsi="Arial"/>
          <w:sz w:val="21"/>
          <w:szCs w:val="21"/>
          <w:color w:val="auto"/>
        </w:rPr>
        <w:t xml:space="preserve"> (%3) </w:t>
      </w:r>
      <w:r>
        <w:rPr>
          <w:rFonts w:ascii="Arial" w:cs="Arial" w:eastAsia="Arial" w:hAnsi="Arial"/>
          <w:sz w:val="19"/>
          <w:szCs w:val="19"/>
          <w:color w:val="auto"/>
        </w:rPr>
        <w:t>Except in the case of notices and other communications expressly permitted to be given by telephone, all</w:t>
      </w:r>
      <w:r>
        <w:rPr>
          <w:rFonts w:ascii="Arial" w:cs="Arial" w:eastAsia="Arial" w:hAnsi="Arial"/>
          <w:sz w:val="21"/>
          <w:szCs w:val="21"/>
          <w:color w:val="auto"/>
        </w:rPr>
        <w:t xml:space="preserve"> </w:t>
      </w:r>
      <w:r>
        <w:rPr>
          <w:rFonts w:ascii="Arial" w:cs="Arial" w:eastAsia="Arial" w:hAnsi="Arial"/>
          <w:sz w:val="19"/>
          <w:szCs w:val="19"/>
          <w:color w:val="auto"/>
        </w:rPr>
        <w:t>notices and other communications provided for herein shall be in writing and shall be delivered by hand or overnight courier service, mailed by certified or registered mail or sent by fax or other electronic transmission, as follows:</w:t>
      </w:r>
    </w:p>
    <w:p>
      <w:pPr>
        <w:spacing w:after="0" w:line="179" w:lineRule="exact"/>
        <w:rPr>
          <w:sz w:val="20"/>
          <w:szCs w:val="20"/>
          <w:color w:val="auto"/>
        </w:rPr>
      </w:pPr>
    </w:p>
    <w:p>
      <w:pPr>
        <w:ind w:left="640" w:firstLine="940"/>
        <w:spacing w:after="0" w:line="286" w:lineRule="auto"/>
        <w:tabs>
          <w:tab w:leader="none" w:pos="1984"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if to Holdings, the Borrower, the Administrative Agent or the Issuing Bank, to the address, fax number, e-mail address or telephone number specified for such Person on Schedule 9.01; and</w:t>
      </w:r>
    </w:p>
    <w:p>
      <w:pPr>
        <w:spacing w:after="0" w:line="146" w:lineRule="exact"/>
        <w:rPr>
          <w:rFonts w:ascii="Arial" w:cs="Arial" w:eastAsia="Arial" w:hAnsi="Arial"/>
          <w:sz w:val="21"/>
          <w:szCs w:val="21"/>
          <w:color w:val="auto"/>
        </w:rPr>
      </w:pPr>
    </w:p>
    <w:p>
      <w:pPr>
        <w:jc w:val="both"/>
        <w:ind w:left="640" w:firstLine="940"/>
        <w:spacing w:after="0" w:line="260" w:lineRule="auto"/>
        <w:tabs>
          <w:tab w:leader="none" w:pos="2148"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if to any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66"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7" w:lineRule="exact"/>
        <w:rPr>
          <w:sz w:val="20"/>
          <w:szCs w:val="20"/>
          <w:color w:val="auto"/>
        </w:rPr>
      </w:pPr>
    </w:p>
    <w:p>
      <w:pPr>
        <w:jc w:val="both"/>
        <w:ind w:firstLine="819"/>
        <w:spacing w:after="0" w:line="257" w:lineRule="auto"/>
        <w:tabs>
          <w:tab w:leader="none" w:pos="1260" w:val="left"/>
        </w:tabs>
        <w:numPr>
          <w:ilvl w:val="0"/>
          <w:numId w:val="164"/>
        </w:numPr>
        <w:rPr>
          <w:rFonts w:ascii="Arial" w:cs="Arial" w:eastAsia="Arial" w:hAnsi="Arial"/>
          <w:sz w:val="21"/>
          <w:szCs w:val="21"/>
          <w:color w:val="auto"/>
        </w:rPr>
      </w:pPr>
      <w:r>
        <w:rPr>
          <w:rFonts w:ascii="Arial" w:cs="Arial" w:eastAsia="Arial" w:hAnsi="Arial"/>
          <w:sz w:val="21"/>
          <w:szCs w:val="21"/>
          <w:i w:val="1"/>
          <w:iCs w:val="1"/>
          <w:color w:val="auto"/>
        </w:rPr>
        <w:t>Electronic Communications</w:t>
      </w:r>
      <w:r>
        <w:rPr>
          <w:rFonts w:ascii="Arial" w:cs="Arial" w:eastAsia="Arial" w:hAnsi="Arial"/>
          <w:sz w:val="21"/>
          <w:szCs w:val="21"/>
          <w:color w:val="auto"/>
        </w:rPr>
        <w:t>. Notices and other communications to the Lenders and the Issuing Bank hereunder may be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delivered or furnished by electronic communication (including e-mail and Internet or intranet websites) pursuant to procedures reasonably approved by the Administrative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foregoing shall not apply to notices to any Lender or the Issuing Bank pursuant to Article 2 if such Lender or the Issuing Bank, as applicable has notified the Administrative Agent that it is incapable of receiving notices under such Article by electronic communication.</w:t>
      </w:r>
    </w:p>
    <w:p>
      <w:pPr>
        <w:spacing w:after="0" w:line="168"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7" w:lineRule="exact"/>
        <w:rPr>
          <w:sz w:val="20"/>
          <w:szCs w:val="20"/>
          <w:color w:val="auto"/>
        </w:rPr>
      </w:pPr>
    </w:p>
    <w:p>
      <w:pPr>
        <w:ind w:left="1340" w:hanging="521"/>
        <w:spacing w:after="0"/>
        <w:tabs>
          <w:tab w:leader="none" w:pos="1340" w:val="left"/>
        </w:tabs>
        <w:numPr>
          <w:ilvl w:val="0"/>
          <w:numId w:val="165"/>
        </w:numPr>
        <w:rPr>
          <w:rFonts w:ascii="Arial" w:cs="Arial" w:eastAsia="Arial" w:hAnsi="Arial"/>
          <w:sz w:val="21"/>
          <w:szCs w:val="21"/>
          <w:color w:val="auto"/>
        </w:rPr>
      </w:pPr>
      <w:r>
        <w:rPr>
          <w:rFonts w:ascii="Arial" w:cs="Arial" w:eastAsia="Arial" w:hAnsi="Arial"/>
          <w:sz w:val="21"/>
          <w:szCs w:val="21"/>
          <w:i w:val="1"/>
          <w:iCs w:val="1"/>
          <w:color w:val="auto"/>
        </w:rPr>
        <w:t xml:space="preserve">The Platform. </w:t>
      </w:r>
      <w:r>
        <w:rPr>
          <w:rFonts w:ascii="Arial" w:cs="Arial" w:eastAsia="Arial" w:hAnsi="Arial"/>
          <w:sz w:val="21"/>
          <w:szCs w:val="21"/>
          <w:color w:val="auto"/>
        </w:rPr>
        <w:t>THE PLATFORM IS PROVIDED “AS IS” AND “AS AVAILABLE.” THE AGENT PARTIES (AS</w:t>
      </w:r>
    </w:p>
    <w:p>
      <w:pPr>
        <w:spacing w:after="0" w:line="25" w:lineRule="exact"/>
        <w:rPr>
          <w:rFonts w:ascii="Arial" w:cs="Arial" w:eastAsia="Arial" w:hAnsi="Arial"/>
          <w:sz w:val="21"/>
          <w:szCs w:val="21"/>
          <w:color w:val="auto"/>
        </w:rPr>
      </w:pPr>
    </w:p>
    <w:p>
      <w:pPr>
        <w:jc w:val="both"/>
        <w:spacing w:after="0" w:line="263" w:lineRule="auto"/>
        <w:rPr>
          <w:rFonts w:ascii="Arial" w:cs="Arial" w:eastAsia="Arial" w:hAnsi="Arial"/>
          <w:sz w:val="21"/>
          <w:szCs w:val="21"/>
          <w:color w:val="auto"/>
        </w:rPr>
      </w:pPr>
      <w:r>
        <w:rPr>
          <w:rFonts w:ascii="Arial" w:cs="Arial" w:eastAsia="Arial" w:hAnsi="Arial"/>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0"/>
          <w:szCs w:val="20"/>
          <w:b w:val="1"/>
          <w:bCs w:val="1"/>
          <w:color w:val="auto"/>
        </w:rPr>
        <w:t>Agent Parties</w:t>
      </w:r>
      <w:r>
        <w:rPr>
          <w:rFonts w:ascii="Arial" w:cs="Arial" w:eastAsia="Arial" w:hAnsi="Arial"/>
          <w:sz w:val="20"/>
          <w:szCs w:val="20"/>
          <w:color w:val="auto"/>
        </w:rPr>
        <w:t xml:space="preserve">”) have any liability to Holdings, the Borrower, any Lender, the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170" w:lineRule="exact"/>
        <w:rPr>
          <w:rFonts w:ascii="Arial" w:cs="Arial" w:eastAsia="Arial" w:hAnsi="Arial"/>
          <w:sz w:val="21"/>
          <w:szCs w:val="21"/>
          <w:color w:val="auto"/>
        </w:rPr>
      </w:pPr>
    </w:p>
    <w:p>
      <w:pPr>
        <w:jc w:val="both"/>
        <w:ind w:firstLine="819"/>
        <w:spacing w:after="0" w:line="296" w:lineRule="auto"/>
        <w:tabs>
          <w:tab w:leader="none" w:pos="1233" w:val="left"/>
        </w:tabs>
        <w:numPr>
          <w:ilvl w:val="0"/>
          <w:numId w:val="165"/>
        </w:numPr>
        <w:rPr>
          <w:rFonts w:ascii="Arial" w:cs="Arial" w:eastAsia="Arial" w:hAnsi="Arial"/>
          <w:sz w:val="19"/>
          <w:szCs w:val="19"/>
          <w:color w:val="auto"/>
        </w:rPr>
      </w:pPr>
      <w:r>
        <w:rPr>
          <w:rFonts w:ascii="Arial" w:cs="Arial" w:eastAsia="Arial" w:hAnsi="Arial"/>
          <w:sz w:val="19"/>
          <w:szCs w:val="19"/>
          <w:i w:val="1"/>
          <w:iCs w:val="1"/>
          <w:color w:val="auto"/>
        </w:rPr>
        <w:t xml:space="preserve">Public Lenders. </w:t>
      </w:r>
      <w:r>
        <w:rPr>
          <w:rFonts w:ascii="Arial" w:cs="Arial" w:eastAsia="Arial" w:hAnsi="Arial"/>
          <w:sz w:val="19"/>
          <w:szCs w:val="19"/>
          <w:color w:val="auto"/>
        </w:rPr>
        <w:t>Each Public Lender agrees to cause at least one individual at or on behalf of such Public Lender to at all</w:t>
      </w:r>
      <w:r>
        <w:rPr>
          <w:rFonts w:ascii="Arial" w:cs="Arial" w:eastAsia="Arial" w:hAnsi="Arial"/>
          <w:sz w:val="19"/>
          <w:szCs w:val="19"/>
          <w:i w:val="1"/>
          <w:iCs w:val="1"/>
          <w:color w:val="auto"/>
        </w:rPr>
        <w:t xml:space="preserve"> </w:t>
      </w:r>
      <w:r>
        <w:rPr>
          <w:rFonts w:ascii="Arial" w:cs="Arial" w:eastAsia="Arial" w:hAnsi="Arial"/>
          <w:sz w:val="19"/>
          <w:szCs w:val="19"/>
          <w:color w:val="auto"/>
        </w:rPr>
        <w:t>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w:t>
      </w:r>
    </w:p>
    <w:p>
      <w:pPr>
        <w:sectPr>
          <w:pgSz w:w="11900" w:h="16838" w:orient="portrait"/>
          <w:cols w:equalWidth="0" w:num="1">
            <w:col w:w="11420"/>
          </w:cols>
          <w:pgMar w:left="240" w:top="122" w:right="239" w:bottom="0" w:gutter="0" w:footer="0" w:header="0"/>
        </w:sectPr>
      </w:pPr>
    </w:p>
    <w:bookmarkStart w:id="175" w:name="page176"/>
    <w:bookmarkEnd w:id="175"/>
    <w:p>
      <w:pPr>
        <w:spacing w:after="0" w:line="273" w:lineRule="auto"/>
        <w:rPr>
          <w:sz w:val="20"/>
          <w:szCs w:val="20"/>
          <w:color w:val="auto"/>
        </w:rPr>
      </w:pPr>
      <w:r>
        <w:rPr>
          <w:rFonts w:ascii="Arial" w:cs="Arial" w:eastAsia="Arial" w:hAnsi="Arial"/>
          <w:sz w:val="21"/>
          <w:szCs w:val="21"/>
          <w:color w:val="auto"/>
        </w:rPr>
        <w:t>“Public Side Information” portion of the Platform and that may contain material non-public information with respect to the Borrower or its securities for purposes of United States Federal or state securities laws.</w:t>
      </w:r>
    </w:p>
    <w:p>
      <w:pPr>
        <w:spacing w:after="0" w:line="159" w:lineRule="exact"/>
        <w:rPr>
          <w:sz w:val="20"/>
          <w:szCs w:val="20"/>
          <w:color w:val="auto"/>
        </w:rPr>
      </w:pPr>
    </w:p>
    <w:p>
      <w:pPr>
        <w:jc w:val="both"/>
        <w:ind w:firstLine="819"/>
        <w:spacing w:after="0" w:line="254" w:lineRule="auto"/>
        <w:tabs>
          <w:tab w:leader="none" w:pos="1222" w:val="left"/>
        </w:tabs>
        <w:numPr>
          <w:ilvl w:val="0"/>
          <w:numId w:val="166"/>
        </w:numPr>
        <w:rPr>
          <w:rFonts w:ascii="Arial" w:cs="Arial" w:eastAsia="Arial" w:hAnsi="Arial"/>
          <w:sz w:val="21"/>
          <w:szCs w:val="21"/>
          <w:color w:val="auto"/>
        </w:rPr>
      </w:pPr>
      <w:r>
        <w:rPr>
          <w:rFonts w:ascii="Arial" w:cs="Arial" w:eastAsia="Arial" w:hAnsi="Arial"/>
          <w:sz w:val="21"/>
          <w:szCs w:val="21"/>
          <w:i w:val="1"/>
          <w:iCs w:val="1"/>
          <w:color w:val="auto"/>
        </w:rPr>
        <w:t>Change of Address, Etc</w:t>
      </w:r>
      <w:r>
        <w:rPr>
          <w:rFonts w:ascii="Arial" w:cs="Arial" w:eastAsia="Arial" w:hAnsi="Arial"/>
          <w:sz w:val="21"/>
          <w:szCs w:val="21"/>
          <w:color w:val="auto"/>
        </w:rPr>
        <w:t>. Each of Holdings, the Borrower, the Administrative Agent and the Issuing Bank may change its</w:t>
      </w:r>
      <w:r>
        <w:rPr>
          <w:rFonts w:ascii="Arial" w:cs="Arial" w:eastAsia="Arial" w:hAnsi="Arial"/>
          <w:sz w:val="21"/>
          <w:szCs w:val="21"/>
          <w:i w:val="1"/>
          <w:iCs w:val="1"/>
          <w:color w:val="auto"/>
        </w:rPr>
        <w:t xml:space="preserve"> </w:t>
      </w:r>
      <w:r>
        <w:rPr>
          <w:rFonts w:ascii="Arial" w:cs="Arial" w:eastAsia="Arial" w:hAnsi="Arial"/>
          <w:sz w:val="21"/>
          <w:szCs w:val="21"/>
          <w:color w:val="auto"/>
        </w:rPr>
        <w:t>address, electronic mail address, fax or telephone number for notices and other communications or website hereunder by notice to the other parties hereto. Each Lender may change its address, fax or telephone number for notices and other communications hereunder by notice to the Borrower, the Administrative Agent and the Issuing Bank.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79" w:lineRule="exact"/>
        <w:rPr>
          <w:rFonts w:ascii="Arial" w:cs="Arial" w:eastAsia="Arial" w:hAnsi="Arial"/>
          <w:sz w:val="21"/>
          <w:szCs w:val="21"/>
          <w:color w:val="auto"/>
        </w:rPr>
      </w:pPr>
    </w:p>
    <w:p>
      <w:pPr>
        <w:jc w:val="both"/>
        <w:ind w:firstLine="819"/>
        <w:spacing w:after="0" w:line="266" w:lineRule="auto"/>
        <w:tabs>
          <w:tab w:leader="none" w:pos="1317" w:val="left"/>
        </w:tabs>
        <w:numPr>
          <w:ilvl w:val="0"/>
          <w:numId w:val="166"/>
        </w:numPr>
        <w:rPr>
          <w:rFonts w:ascii="Arial" w:cs="Arial" w:eastAsia="Arial" w:hAnsi="Arial"/>
          <w:sz w:val="20"/>
          <w:szCs w:val="20"/>
          <w:color w:val="auto"/>
        </w:rPr>
      </w:pPr>
      <w:r>
        <w:rPr>
          <w:rFonts w:ascii="Arial" w:cs="Arial" w:eastAsia="Arial" w:hAnsi="Arial"/>
          <w:sz w:val="20"/>
          <w:szCs w:val="20"/>
          <w:i w:val="1"/>
          <w:iCs w:val="1"/>
          <w:color w:val="auto"/>
        </w:rPr>
        <w:t>Reliance by Administrative Agent, Issuing Bank and Lenders</w:t>
      </w:r>
      <w:r>
        <w:rPr>
          <w:rFonts w:ascii="Arial" w:cs="Arial" w:eastAsia="Arial" w:hAnsi="Arial"/>
          <w:sz w:val="20"/>
          <w:szCs w:val="20"/>
          <w:color w:val="auto"/>
        </w:rPr>
        <w:t>. The Administrative Agent, the Issuing Bank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Administrative Agent may be recorded by the Administrative Agent and each of the parties hereto hereby consents to such recording.</w:t>
      </w:r>
    </w:p>
    <w:p>
      <w:pPr>
        <w:spacing w:after="0" w:line="173"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i w:val="1"/>
          <w:iCs w:val="1"/>
          <w:color w:val="auto"/>
        </w:rPr>
        <w:t>Waivers; Amendments</w:t>
      </w:r>
      <w:r>
        <w:rPr>
          <w:rFonts w:ascii="Arial" w:cs="Arial" w:eastAsia="Arial" w:hAnsi="Arial"/>
          <w:sz w:val="17"/>
          <w:szCs w:val="17"/>
          <w:color w:val="auto"/>
        </w:rPr>
        <w:t>.</w:t>
      </w:r>
      <w:r>
        <w:rPr>
          <w:rFonts w:ascii="Arial" w:cs="Arial" w:eastAsia="Arial" w:hAnsi="Arial"/>
          <w:sz w:val="19"/>
          <w:szCs w:val="19"/>
          <w:color w:val="auto"/>
        </w:rPr>
        <w:t xml:space="preserve"> (%3) </w:t>
      </w:r>
      <w:r>
        <w:rPr>
          <w:rFonts w:ascii="Arial" w:cs="Arial" w:eastAsia="Arial" w:hAnsi="Arial"/>
          <w:sz w:val="17"/>
          <w:szCs w:val="17"/>
          <w:color w:val="auto"/>
        </w:rPr>
        <w:t>No failure or delay by the Administrative Agent, any Issuing Bank or any Lender in</w:t>
      </w:r>
      <w:r>
        <w:rPr>
          <w:rFonts w:ascii="Arial" w:cs="Arial" w:eastAsia="Arial" w:hAnsi="Arial"/>
          <w:sz w:val="19"/>
          <w:szCs w:val="19"/>
          <w:color w:val="auto"/>
        </w:rPr>
        <w:t xml:space="preserve"> </w:t>
      </w:r>
      <w:r>
        <w:rPr>
          <w:rFonts w:ascii="Arial" w:cs="Arial" w:eastAsia="Arial" w:hAnsi="Arial"/>
          <w:sz w:val="17"/>
          <w:szCs w:val="17"/>
          <w:color w:val="auto"/>
        </w:rPr>
        <w:t>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159" w:lineRule="exact"/>
        <w:rPr>
          <w:sz w:val="20"/>
          <w:szCs w:val="20"/>
          <w:color w:val="auto"/>
        </w:rPr>
      </w:pPr>
    </w:p>
    <w:p>
      <w:pPr>
        <w:jc w:val="both"/>
        <w:ind w:firstLine="819"/>
        <w:spacing w:after="0" w:line="276" w:lineRule="auto"/>
        <w:tabs>
          <w:tab w:leader="none" w:pos="123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Except as provided in Section 2.18 with respect to any Incremental Revolving Facility Amendment or Incremental Term Facility Amendment (including to provide for provisions relating to the issuance of letters of credit and swingline loans and provisions with respect to “defaulting lenders”), Section 2.19 with respect to any Refinancing Amendment, Section 6.15 with respect to a change in the fiscal year of Holdings and the Borrower or Section 2.12(b) with respect to an alternate rate of interest, neither this Agreement nor any Loan Document nor any provision hereof or thereof may be waived, amended or modified except, in the case of this Agreement, pursuant to an agreement or agreements in writing entered into by Holdings, the Borrower and the 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 such agreement shall (i) increase the Commitment of any Lender without the written consent of such Lender (it being understood that (x) a waiver of any condition precedent set forth in paragraphs (a) and (b) of Section 4.02 or the waiver of any Default, mandatory prepayment or mandatory reduction of the Commitments shall not constitute an extension or increase of any Commitment of any Lender and (y) a waiver of any condition precedent set forth in paragraph (c) of Section 4.02 shall require the consent of each Revolving Lender), (ii) reduce the principal amount of any Loan or LC Disbursement or reduce the rate of interest thereon, or reduce any fees payable hereunder, without the written consent of each Lender directly and adversely affected thereby (it being understood that any change to the definition of Total Leverage Ratio, Total Net Leverage Ratio or in the component definitions thereof shall not constitute a reduction of interest or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only the consent of the Required Lenders shall be necessary to waive any obligation of the Borrower to pay default interest pursuant to Section 2.11(c), (iii) postpone the maturity of any Loan, or the date of any scheduled amortization payment of the principal amount of any Term Loan under Section 2.08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(iv) change Section 2.16(b) or (c) in a manner that would alter the pro rata sharing of payments required thereby, without the written consent of the Lenders holding a Majority in Interest of the outstanding Loans and unused Commitments of each adversely affected Class, (v) change any of the provisions of this Section without the written consent of each Lender directly and adversely affected thereby, (vi) change the percentage set forth in the definition of “Required Lenders”,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all or substantially all the value of the Guarantees under the Guarantee Agreement (except as expressly provided in the Guarantee Agreement) without the written consent of each Lender (other than a Defaulting Lender) (except as expressly provided in the Security Documents), (viii) release all or substantially all the Collateral from the Liens of the Security Documents, without the written consent of each Lender (other than a Defaulting Lender), (ix) change any provisions of any Loan Document in a manner that by its terms adversely affects the rights in respect of payments due to Lenders holding Loans of any Class differently than those holding Loans of any other Class, without the written consent of Lenders (other than a Defaulting Lender)</w:t>
      </w:r>
    </w:p>
    <w:p>
      <w:pPr>
        <w:sectPr>
          <w:pgSz w:w="11900" w:h="16838" w:orient="portrait"/>
          <w:cols w:equalWidth="0" w:num="1">
            <w:col w:w="11420"/>
          </w:cols>
          <w:pgMar w:left="240" w:top="131" w:right="239" w:bottom="0" w:gutter="0" w:footer="0" w:header="0"/>
        </w:sectPr>
      </w:pPr>
    </w:p>
    <w:bookmarkStart w:id="176" w:name="page177"/>
    <w:bookmarkEnd w:id="176"/>
    <w:p>
      <w:pPr>
        <w:jc w:val="both"/>
        <w:spacing w:after="0" w:line="278" w:lineRule="auto"/>
        <w:rPr>
          <w:sz w:val="20"/>
          <w:szCs w:val="20"/>
          <w:color w:val="auto"/>
        </w:rPr>
      </w:pPr>
      <w:r>
        <w:rPr>
          <w:rFonts w:ascii="Arial" w:cs="Arial" w:eastAsia="Arial" w:hAnsi="Arial"/>
          <w:sz w:val="19"/>
          <w:szCs w:val="19"/>
          <w:color w:val="auto"/>
        </w:rPr>
        <w:t xml:space="preserve">holding a Majority in Interest of the outstanding Loans and unused Commitments of each affected Class, or (x) change the rights of the Term Lenders to decline mandatory prepayments as provided in Section 2.09 or the rights of any Additional Lenders of any Class to decline mandatory prepayments of Term Loans of such Class as provided in the applicable Refinancing Amendment, without the written consent of a Majority in Interest of the Term Lenders or Additional Lenders of such Class, as applicable;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w:t>
      </w:r>
    </w:p>
    <w:p>
      <w:pPr>
        <w:spacing w:after="0" w:line="3" w:lineRule="exact"/>
        <w:rPr>
          <w:sz w:val="20"/>
          <w:szCs w:val="20"/>
          <w:color w:val="auto"/>
        </w:rPr>
      </w:pPr>
    </w:p>
    <w:p>
      <w:pPr>
        <w:jc w:val="both"/>
        <w:ind w:firstLine="5"/>
        <w:spacing w:after="0" w:line="276" w:lineRule="auto"/>
        <w:tabs>
          <w:tab w:leader="none" w:pos="3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no such agreement shall amend, modify or otherwise affect the rights or duties of the Administrative Agent or any Issuing Bank without the prior written consent of the Administrative Agent or such Issuing Bank, as the case may be, and (B) any provision of this Agreement or any other Loan Document may be amended by an agreement in writing entered into by Holdings,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Notwithstanding the foregoing, (a) this Agreement may be amended (or amended and restated) with the written consent of the Required Lenders, the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collateral security documents and related documents executed by Foreign Subsidiaries in connection with this Agreement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or (iii) to cause such guarantee, collateral security document or other document to be consistent with this Agreement and the other Loan Documents.</w:t>
      </w:r>
    </w:p>
    <w:p>
      <w:pPr>
        <w:spacing w:after="0" w:line="153" w:lineRule="exact"/>
        <w:rPr>
          <w:rFonts w:ascii="Arial" w:cs="Arial" w:eastAsia="Arial" w:hAnsi="Arial"/>
          <w:sz w:val="19"/>
          <w:szCs w:val="19"/>
          <w:color w:val="auto"/>
        </w:rPr>
      </w:pPr>
    </w:p>
    <w:p>
      <w:pPr>
        <w:jc w:val="both"/>
        <w:ind w:firstLine="819"/>
        <w:spacing w:after="0" w:line="278" w:lineRule="auto"/>
        <w:tabs>
          <w:tab w:leader="none" w:pos="1247" w:val="left"/>
        </w:tabs>
        <w:numPr>
          <w:ilvl w:val="1"/>
          <w:numId w:val="168"/>
        </w:numPr>
        <w:rPr>
          <w:rFonts w:ascii="Arial" w:cs="Arial" w:eastAsia="Arial" w:hAnsi="Arial"/>
          <w:sz w:val="19"/>
          <w:szCs w:val="19"/>
          <w:color w:val="auto"/>
        </w:rPr>
      </w:pPr>
      <w:r>
        <w:rPr>
          <w:rFonts w:ascii="Arial" w:cs="Arial" w:eastAsia="Arial" w:hAnsi="Arial"/>
          <w:sz w:val="19"/>
          <w:szCs w:val="19"/>
          <w:color w:val="auto"/>
        </w:rPr>
        <w:t>In connection with any proposed amendment, modification, waiver or termination (a “</w:t>
      </w:r>
      <w:r>
        <w:rPr>
          <w:rFonts w:ascii="Arial" w:cs="Arial" w:eastAsia="Arial" w:hAnsi="Arial"/>
          <w:sz w:val="19"/>
          <w:szCs w:val="19"/>
          <w:b w:val="1"/>
          <w:bCs w:val="1"/>
          <w:color w:val="auto"/>
        </w:rPr>
        <w:t>Proposed Change</w:t>
      </w:r>
      <w:r>
        <w:rPr>
          <w:rFonts w:ascii="Arial" w:cs="Arial" w:eastAsia="Arial" w:hAnsi="Arial"/>
          <w:sz w:val="19"/>
          <w:szCs w:val="19"/>
          <w:color w:val="auto"/>
        </w:rPr>
        <w:t>”) requiring the consent of all Lenders or all directly and adversely affected Lenders, if the consent of the Required Lenders (and, to the extent any Proposed Change requires the consent of Lenders holding Loans of any Class pursuant to clause (iv), (ix) or (x) of paragraph (b) of this Section,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9"/>
          <w:szCs w:val="19"/>
          <w:b w:val="1"/>
          <w:bCs w:val="1"/>
          <w:color w:val="auto"/>
        </w:rPr>
        <w:t>Non-Consenting Lender</w:t>
      </w:r>
      <w:r>
        <w:rPr>
          <w:rFonts w:ascii="Arial" w:cs="Arial" w:eastAsia="Arial" w:hAnsi="Arial"/>
          <w:sz w:val="19"/>
          <w:szCs w:val="19"/>
          <w:color w:val="auto"/>
        </w:rPr>
        <w:t xml:space="preserve">”), then, so long as the Lender that is acting as Administrative Agent is not a Non-Consenting Lender,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each Issuing Bank), which consent shall not unreasonably be withheld, (b) such Non-Consenting Lender shall have received payment of an amount equal to the outstanding par principal amount of its Loans and participations in LC Disbursements, accrued interest thereon, accrued fees and all other amounts payable to it hereunder (including pursuant to Section 2.09(a)(i)) from the Eligible Assignee (to the extent of such outstanding principal and accrued interest and fees) or the Borrower (in the case of all other amounts) and (c) unless waived, the Borrower or such Eligible Assignee shall have paid to the Administrative Agent the processing and recordation fee specified in Section 9.04(b).</w:t>
      </w:r>
    </w:p>
    <w:p>
      <w:pPr>
        <w:spacing w:after="0" w:line="162" w:lineRule="exact"/>
        <w:rPr>
          <w:rFonts w:ascii="Arial" w:cs="Arial" w:eastAsia="Arial" w:hAnsi="Arial"/>
          <w:sz w:val="19"/>
          <w:szCs w:val="19"/>
          <w:color w:val="auto"/>
        </w:rPr>
      </w:pPr>
    </w:p>
    <w:p>
      <w:pPr>
        <w:ind w:left="1220" w:hanging="401"/>
        <w:spacing w:after="0"/>
        <w:tabs>
          <w:tab w:leader="none" w:pos="122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[Reserved].</w:t>
      </w:r>
    </w:p>
    <w:p>
      <w:pPr>
        <w:spacing w:after="0" w:line="230" w:lineRule="exact"/>
        <w:rPr>
          <w:rFonts w:ascii="Arial" w:cs="Arial" w:eastAsia="Arial" w:hAnsi="Arial"/>
          <w:sz w:val="21"/>
          <w:szCs w:val="21"/>
          <w:color w:val="auto"/>
        </w:rPr>
      </w:pPr>
    </w:p>
    <w:p>
      <w:pPr>
        <w:jc w:val="both"/>
        <w:ind w:firstLine="819"/>
        <w:spacing w:after="0" w:line="267" w:lineRule="auto"/>
        <w:tabs>
          <w:tab w:leader="none" w:pos="126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 xml:space="preserve">Notwithstanding anything in this Agreement or the other Loan Documents to the contrary, the Revolving Commitments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w:t>
      </w:r>
    </w:p>
    <w:p>
      <w:pPr>
        <w:spacing w:after="0" w:line="171" w:lineRule="exact"/>
        <w:rPr>
          <w:sz w:val="20"/>
          <w:szCs w:val="20"/>
          <w:color w:val="auto"/>
        </w:rPr>
      </w:pPr>
    </w:p>
    <w:p>
      <w:pPr>
        <w:jc w:val="both"/>
        <w:ind w:firstLine="630"/>
        <w:spacing w:after="0" w:line="309"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i w:val="1"/>
          <w:iCs w:val="1"/>
          <w:color w:val="auto"/>
        </w:rPr>
        <w:t>Expenses; Indemnity; Damage Waiver</w:t>
      </w:r>
      <w:r>
        <w:rPr>
          <w:rFonts w:ascii="Arial" w:cs="Arial" w:eastAsia="Arial" w:hAnsi="Arial"/>
          <w:sz w:val="17"/>
          <w:szCs w:val="17"/>
          <w:color w:val="auto"/>
        </w:rPr>
        <w:t>.</w:t>
      </w:r>
      <w:r>
        <w:rPr>
          <w:rFonts w:ascii="Arial" w:cs="Arial" w:eastAsia="Arial" w:hAnsi="Arial"/>
          <w:sz w:val="19"/>
          <w:szCs w:val="19"/>
          <w:color w:val="auto"/>
        </w:rPr>
        <w:t xml:space="preserve"> (%3) </w:t>
      </w:r>
      <w:r>
        <w:rPr>
          <w:rFonts w:ascii="Arial" w:cs="Arial" w:eastAsia="Arial" w:hAnsi="Arial"/>
          <w:sz w:val="17"/>
          <w:szCs w:val="17"/>
          <w:color w:val="auto"/>
        </w:rPr>
        <w:t>The Borrower shall pay (i) all reasonable and documented or invoiced</w:t>
      </w:r>
      <w:r>
        <w:rPr>
          <w:rFonts w:ascii="Arial" w:cs="Arial" w:eastAsia="Arial" w:hAnsi="Arial"/>
          <w:sz w:val="19"/>
          <w:szCs w:val="19"/>
          <w:color w:val="auto"/>
        </w:rPr>
        <w:t xml:space="preserve"> </w:t>
      </w:r>
      <w:r>
        <w:rPr>
          <w:rFonts w:ascii="Arial" w:cs="Arial" w:eastAsia="Arial" w:hAnsi="Arial"/>
          <w:sz w:val="17"/>
          <w:szCs w:val="17"/>
          <w:color w:val="auto"/>
        </w:rPr>
        <w:t>out-of-pocket costs and expenses incurred by the Administrative Agent, the Lead Arranger and their Affiliates (without duplication), including the reasonable fees, charges and disbursements of Cahill Gordon &amp; Reindel LLP and to the extent reasonably determined by the Administrative Agent to be necessary, one local counsel in each applicable jurisdiction (exclusive of any reasonably necessary special counsel) for the Administrative Agent and, in the case of an actual or reasonably perceived conflict of interest, one additional counsel per affected party, and any other counsel retained with the Borrower’s consent (such consent not to be unreasonably withheld or delayed), in connection with the syndication of the credit facilities provided for herein, and the preparation, execution, delivery and administration of the Loan Documents or any amendments, modifications or waivers of the provisions thereof (whether or not successful) (ii) all reasonable and documented or invoiced out-of-pocket costs and expenses incurred by each Issuing Bank in connection with the issuance, amendment, renewal or extension of any Letter of Credit or any demand for payment thereunder and (iii) all reasonable and documented or invoiced out-of-pocket expenses incurred by the Administrative Agent, each Issuing Bank or any Lender, including the fees, charges and disbursements of counsel for the Administrative Agent, the Issuing Banks and the Lenders, in connection with the enforcement or protection of any rights or remedies (A) in connection with the Loan Documents (including all such costs and expenses incurred during any legal proceeding, including any proceeding under any Debtor Relief Laws), including its rights under this Section or (B) in connection with the Loans made or Letters of Credit issued hereunder, including all such out-of-pocket costs and expenses incurred during</w:t>
      </w:r>
    </w:p>
    <w:p>
      <w:pPr>
        <w:sectPr>
          <w:pgSz w:w="11900" w:h="16838" w:orient="portrait"/>
          <w:cols w:equalWidth="0" w:num="1">
            <w:col w:w="11420"/>
          </w:cols>
          <w:pgMar w:left="240" w:top="132" w:right="239" w:bottom="0" w:gutter="0" w:footer="0" w:header="0"/>
        </w:sectPr>
      </w:pPr>
    </w:p>
    <w:bookmarkStart w:id="177" w:name="page178"/>
    <w:bookmarkEnd w:id="177"/>
    <w:p>
      <w:pPr>
        <w:spacing w:after="0" w:line="11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 xml:space="preserve">any workout, restructuring or negotiations in respect of such Loans or Letters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counsel shall be limited to one lead counsel and such local counsel (exclusive of any reasonably necessary special counsel) as may reasonably be deemed necessary by the Administrative Agent in each relevant jurisdiction and, in the case of an actual or reasonably perceived conflict of interest, one additional counsel per affected party, and any other counsel retained with the Borrower’s consent (such consent not to be unreasonably withheld or delayed).</w:t>
      </w:r>
    </w:p>
    <w:p>
      <w:pPr>
        <w:spacing w:after="0" w:line="141" w:lineRule="exact"/>
        <w:rPr>
          <w:sz w:val="20"/>
          <w:szCs w:val="20"/>
          <w:color w:val="auto"/>
        </w:rPr>
      </w:pPr>
    </w:p>
    <w:p>
      <w:pPr>
        <w:jc w:val="both"/>
        <w:ind w:firstLine="819"/>
        <w:spacing w:after="0" w:line="276" w:lineRule="auto"/>
        <w:tabs>
          <w:tab w:leader="none" w:pos="126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Borrower shall indemnify the Administrative Agent, each Issuing Bank, each Lender, the Lead Arranger, and each Related Party of any of the foregoing Persons (each such Person being called an “</w:t>
      </w:r>
      <w:r>
        <w:rPr>
          <w:rFonts w:ascii="Arial" w:cs="Arial" w:eastAsia="Arial" w:hAnsi="Arial"/>
          <w:sz w:val="19"/>
          <w:szCs w:val="19"/>
          <w:b w:val="1"/>
          <w:bCs w:val="1"/>
          <w:color w:val="auto"/>
        </w:rPr>
        <w:t>Indemnitee</w:t>
      </w:r>
      <w:r>
        <w:rPr>
          <w:rFonts w:ascii="Arial" w:cs="Arial" w:eastAsia="Arial" w:hAnsi="Arial"/>
          <w:sz w:val="19"/>
          <w:szCs w:val="19"/>
          <w:color w:val="auto"/>
        </w:rPr>
        <w:t>”) against, and hold each Indemnitee harmless from, any and all losses, claims, damages, liabilities and reasonable and documented or invoiced out-of-pocket fees and expenses of any counsel for any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counsel shall be limited to one lead counsel and such local counsel (exclusive of any reasonably necessary special counsel) as may reasonably be deemed necessary by the Indemnitees in each relevant jurisdiction and, in the case of an actual or perceived conflict of interest, one additional counsel per affected party), incurred by or asserted against any Indemnitee by any third party or by the Borrower, Holdings or any Subsidiary arising out of, in connection with, or as a result of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at, to or from any Mortgaged Property or any other property currently or formerly owned or operated by Holdings, the Borrower or any Subsidiary, or any other Environmental Liability related in any way to Holdings, the Borrower or any Subsidiary, or (iv) any actual or prospective claim, litigation, investigation or proceeding relating to any of the foregoing, whether based on contract, tort or any other theory, whether brought by a third party or by the Borrower, Holdings or any Subsidiary and regardless of whether any Indemnitee is a party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costs or related expenses (x) resulted from the gross negligence, bad faith or willful misconduct of such Indemnitee or its Related Parties (as determined by a court of competent jurisdiction in a final and non-appealable judgment), (y) resulted from a material breach of the Loan Documents by such Indemnitee or its Related Parties (as determined by a court of competent jurisdiction in a final and non-appealable judgment) or (z) arise from disputes between or among Indemnitees that do not involve an act or omission by Holdings, the Borrower or any Restricted Subsidiary, except that the Administrative Agent and the Lead Arranger shall be indemnified in their capacities as such with respect to any dispute under this clause (z).</w:t>
      </w:r>
    </w:p>
    <w:p>
      <w:pPr>
        <w:spacing w:after="0" w:line="177" w:lineRule="exact"/>
        <w:rPr>
          <w:rFonts w:ascii="Arial" w:cs="Arial" w:eastAsia="Arial" w:hAnsi="Arial"/>
          <w:sz w:val="19"/>
          <w:szCs w:val="19"/>
          <w:color w:val="auto"/>
        </w:rPr>
      </w:pPr>
    </w:p>
    <w:p>
      <w:pPr>
        <w:jc w:val="both"/>
        <w:ind w:firstLine="819"/>
        <w:spacing w:after="0" w:line="266" w:lineRule="auto"/>
        <w:tabs>
          <w:tab w:leader="none" w:pos="123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To the extent that the Borrower fails to pay any amount required to be paid by it to the Administrative Agent, any Issuing Bank or the Lead Arranger under paragraph (a) or (b) of this Section, each Lender severally agrees to pay to the Administrative Agent, such Issuing Bank or the Lead Arranger, as the case may be, such Lender’s pro rata share (determined as of the time that the applicable unreimbursed expense or indemnity payment is sought) of such unpaid amount,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unreimbursed expense or indemnified loss, claim, damage, liability or related expense, as the case may be, was incurred by or asserted against the Administrative Agent, such Issuing Bank or the Lead Arranger in its capacity as such. For purposes hereof, a Lender’s “pro rata share” shall be determined based upon its share of the aggregate Revolving Exposures, Term Loans and unused Commitments at such time. The obligations of the Lenders under this paragraph (c) are subject to the last sentence of Section 2.02(a) (which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the Lenders’ obligations under this paragraph (c)).</w:t>
      </w:r>
    </w:p>
    <w:p>
      <w:pPr>
        <w:spacing w:after="0" w:line="173" w:lineRule="exact"/>
        <w:rPr>
          <w:rFonts w:ascii="Arial" w:cs="Arial" w:eastAsia="Arial" w:hAnsi="Arial"/>
          <w:sz w:val="20"/>
          <w:szCs w:val="20"/>
          <w:color w:val="auto"/>
        </w:rPr>
      </w:pPr>
    </w:p>
    <w:p>
      <w:pPr>
        <w:jc w:val="both"/>
        <w:ind w:firstLine="819"/>
        <w:spacing w:after="0" w:line="281" w:lineRule="auto"/>
        <w:tabs>
          <w:tab w:leader="none" w:pos="126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neither Holdings nor the Borrower shall assert, and each hereby waives, any claim against any Indemnitee (i)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indemnity shall not, as to any Indemnitee, be available to the extent that such direct or actual damages are determined by a court of competent jurisdiction by final, non-appealable judgment to have resulted from the gross negligence or willful misconduct of, or a material breach of the Loan Documents by, such Indemnitee or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58" w:lineRule="exact"/>
        <w:rPr>
          <w:rFonts w:ascii="Arial" w:cs="Arial" w:eastAsia="Arial" w:hAnsi="Arial"/>
          <w:sz w:val="19"/>
          <w:szCs w:val="19"/>
          <w:color w:val="auto"/>
        </w:rPr>
      </w:pPr>
    </w:p>
    <w:p>
      <w:pPr>
        <w:jc w:val="both"/>
        <w:ind w:firstLine="819"/>
        <w:spacing w:after="0" w:line="260" w:lineRule="auto"/>
        <w:tabs>
          <w:tab w:leader="none" w:pos="1247"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All amounts due under this Section shall be payable not later than ten (10) Business Days after written demand therefor;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any Indemnitee shall promptly refund an indemnification payment received hereunder to the extent that there is</w:t>
      </w:r>
      <w:r>
        <w:rPr>
          <w:rFonts w:ascii="Arial" w:cs="Arial" w:eastAsia="Arial" w:hAnsi="Arial"/>
          <w:sz w:val="21"/>
          <w:szCs w:val="21"/>
          <w:i w:val="1"/>
          <w:iCs w:val="1"/>
          <w:color w:val="auto"/>
        </w:rPr>
        <w:t xml:space="preserve"> </w:t>
      </w:r>
      <w:r>
        <w:rPr>
          <w:rFonts w:ascii="Arial" w:cs="Arial" w:eastAsia="Arial" w:hAnsi="Arial"/>
          <w:sz w:val="21"/>
          <w:szCs w:val="21"/>
          <w:color w:val="auto"/>
        </w:rPr>
        <w:t>a final judicial determination that such Indemnitee was not entitled to indemnification with respect to such payment pursuant to this Section 9.03.</w:t>
      </w:r>
    </w:p>
    <w:p>
      <w:pPr>
        <w:spacing w:after="0" w:line="174"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9.04. </w:t>
      </w:r>
      <w:r>
        <w:rPr>
          <w:rFonts w:ascii="Arial" w:cs="Arial" w:eastAsia="Arial" w:hAnsi="Arial"/>
          <w:sz w:val="20"/>
          <w:szCs w:val="20"/>
          <w:i w:val="1"/>
          <w:iCs w:val="1"/>
          <w:color w:val="auto"/>
        </w:rPr>
        <w:t>Successors and Assigns</w:t>
      </w:r>
      <w:r>
        <w:rPr>
          <w:rFonts w:ascii="Arial" w:cs="Arial" w:eastAsia="Arial" w:hAnsi="Arial"/>
          <w:sz w:val="18"/>
          <w:szCs w:val="18"/>
          <w:color w:val="auto"/>
        </w:rPr>
        <w:t>.</w:t>
      </w:r>
      <w:r>
        <w:rPr>
          <w:rFonts w:ascii="Arial" w:cs="Arial" w:eastAsia="Arial" w:hAnsi="Arial"/>
          <w:sz w:val="20"/>
          <w:szCs w:val="20"/>
          <w:color w:val="auto"/>
        </w:rPr>
        <w:t xml:space="preserve"> (%3) </w:t>
      </w:r>
      <w:r>
        <w:rPr>
          <w:rFonts w:ascii="Arial" w:cs="Arial" w:eastAsia="Arial" w:hAnsi="Arial"/>
          <w:sz w:val="18"/>
          <w:szCs w:val="18"/>
          <w:color w:val="auto"/>
        </w:rPr>
        <w:t>The provisions of this Agreement shall be binding upon and inure to the benefit of the</w:t>
      </w:r>
      <w:r>
        <w:rPr>
          <w:rFonts w:ascii="Arial" w:cs="Arial" w:eastAsia="Arial" w:hAnsi="Arial"/>
          <w:sz w:val="20"/>
          <w:szCs w:val="20"/>
          <w:color w:val="auto"/>
        </w:rPr>
        <w:t xml:space="preserve"> </w:t>
      </w:r>
      <w:r>
        <w:rPr>
          <w:rFonts w:ascii="Arial" w:cs="Arial" w:eastAsia="Arial" w:hAnsi="Arial"/>
          <w:sz w:val="18"/>
          <w:szCs w:val="18"/>
          <w:color w:val="auto"/>
        </w:rPr>
        <w:t>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the Indemnitees and, to the extent expressly contemplated hereby, the Related Parties of each of the Administrative Agent, the Issuing Bank and the Lenders) any legal or equitable right, remedy or claim under or by reason of this Agreement.</w:t>
      </w:r>
    </w:p>
    <w:p>
      <w:pPr>
        <w:sectPr>
          <w:pgSz w:w="11900" w:h="16949" w:orient="portrait"/>
          <w:cols w:equalWidth="0" w:num="1">
            <w:col w:w="11420"/>
          </w:cols>
          <w:pgMar w:left="240" w:top="136" w:right="239" w:bottom="0" w:gutter="0" w:footer="0" w:header="0"/>
        </w:sectPr>
      </w:pPr>
    </w:p>
    <w:bookmarkStart w:id="178" w:name="page179"/>
    <w:bookmarkEnd w:id="178"/>
    <w:p>
      <w:pPr>
        <w:jc w:val="both"/>
        <w:ind w:left="-819" w:firstLine="819"/>
        <w:spacing w:after="0" w:line="263" w:lineRule="auto"/>
        <w:tabs>
          <w:tab w:leader="none" w:pos="508"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(%4)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 (A) the Borrower;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consent of the Borrower shall be required for an assignment (x) solely in the case of Term Loans, to any Lender, an Affiliate of any Lender or an Approved Fund, (y) solely in the case of Revolving Loans and Revolving Commitments, to any Revolving Lender or (z) if an Event of Default under Section 7.01(a), (b), (h) or (i) has occurred and is continuing;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further </w:t>
      </w:r>
      <w:r>
        <w:rPr>
          <w:rFonts w:ascii="Arial" w:cs="Arial" w:eastAsia="Arial" w:hAnsi="Arial"/>
          <w:sz w:val="20"/>
          <w:szCs w:val="20"/>
          <w:color w:val="auto"/>
        </w:rPr>
        <w:t>that if any such purported assignment is to a Competitor (other than any such assignment to the Lead Arranger (or any Affiliate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of the Lead Arranger) for the purpose of facilitating bona fide trades of Term Loans to entities that are not Disqualified Lenders), the Borrower may unreasonably withhold its consent;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solely in the case of Term Loans, no consent of the Administrative Agent shall be required for an assignment to any Lender, an Affiliate of any Lender or an Approved Fund and (C) solely in the case of Revolving Loans and Revolving Commitments, each Issuing Bank;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for the avoidance of doubt, no consent of any Issuing Bank shall be required for an assignment of all or any portion of a Term Loan or Term Commitment. Notwithstanding anything in this Section 9.04 to the contrary, if the consent of the Borrower is required by this paragraph with respect to any assignment and the Borrower has not given the Administrative Agent written notice of its objection to such assignment within five (5) Business Days after written notice to the Borrower, the Borrower shall be deemed to have consented to such assignment.</w:t>
      </w:r>
    </w:p>
    <w:p>
      <w:pPr>
        <w:spacing w:after="0" w:line="175" w:lineRule="exact"/>
        <w:rPr>
          <w:rFonts w:ascii="Arial" w:cs="Arial" w:eastAsia="Arial" w:hAnsi="Arial"/>
          <w:sz w:val="20"/>
          <w:szCs w:val="20"/>
          <w:color w:val="auto"/>
        </w:rPr>
      </w:pPr>
    </w:p>
    <w:p>
      <w:pPr>
        <w:jc w:val="both"/>
        <w:ind w:left="-179" w:firstLine="940"/>
        <w:spacing w:after="0" w:line="276" w:lineRule="auto"/>
        <w:tabs>
          <w:tab w:leader="none" w:pos="1139" w:val="left"/>
        </w:tabs>
        <w:numPr>
          <w:ilvl w:val="1"/>
          <w:numId w:val="170"/>
        </w:numPr>
        <w:rPr>
          <w:rFonts w:ascii="Arial" w:cs="Arial" w:eastAsia="Arial" w:hAnsi="Arial"/>
          <w:sz w:val="19"/>
          <w:szCs w:val="19"/>
          <w:color w:val="auto"/>
        </w:rPr>
      </w:pPr>
      <w:r>
        <w:rPr>
          <w:rFonts w:ascii="Arial" w:cs="Arial" w:eastAsia="Arial" w:hAnsi="Arial"/>
          <w:sz w:val="19"/>
          <w:szCs w:val="19"/>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$5,000,000 (and integral multiples of $1,000,000 in excess thereof) or, in the case of a Term Loan $250,000 (and integral multiples thereof), unless the Borrower and the Administrative Agent otherwise consent (such consent not to be unreasonably withheld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consent of the Borrower shall be required if an Event of Default under Section 7.01(a), (b), (h) or (i) has occurred and is continuing, (B) each partial assignment shall be made as an assignment of a proportionate part of all the assigning Lender’s rights and obligations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by the Administrative Agent, manually, in each case together (unless waived by the Administrative Agent) with a processing and recordation fee of $3,500;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Administrative Agent, in its sole discretion, may elect to waive such processing and recordation fee;</w:t>
      </w:r>
      <w:r>
        <w:rPr>
          <w:rFonts w:ascii="Arial" w:cs="Arial" w:eastAsia="Arial" w:hAnsi="Arial"/>
          <w:sz w:val="19"/>
          <w:szCs w:val="19"/>
          <w:i w:val="1"/>
          <w:iCs w:val="1"/>
          <w:color w:val="auto"/>
        </w:rPr>
        <w:t xml:space="preserve"> provided further </w:t>
      </w:r>
      <w:r>
        <w:rPr>
          <w:rFonts w:ascii="Arial" w:cs="Arial" w:eastAsia="Arial" w:hAnsi="Arial"/>
          <w:sz w:val="19"/>
          <w:szCs w:val="19"/>
          <w:color w:val="auto"/>
        </w:rPr>
        <w:t>that assignments made pursuant to Section 2.17(b) or Section 9.02(c) shall not require the signature of the assigning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Lender to become effective (D) the assignee, if it shall not be a Lender, shall deliver to the Administrative Agent any tax forms required by Section 2.15(e)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Issuing Bank may be made unless (1) the assignee shall be or become an Issuing Bank, and assume a ratable portion of the rights and obligations of such assignor in its capacity as Issuing Bank, or (2) the assignor agrees, in its discretion, to retain all of its rights with respect to and obligations to issue Letters of Credit hereunder in which case the Applicable Fronting Exposure of such assignor may exceed such assignor’s Revolving Commitment for purposes of Section 2.22(a) by an amount not to exceed the difference between the assignor’s Revolving Commitment prior to such assignment and the assignor’s Revolving Commitment following such assignment;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consent of the Borrower shall be required if an Event of Default under Section 7.01(a), (b), (h) or (i) has occurred and is continuing.</w:t>
      </w:r>
    </w:p>
    <w:p>
      <w:pPr>
        <w:spacing w:after="0" w:line="166" w:lineRule="exact"/>
        <w:rPr>
          <w:rFonts w:ascii="Arial" w:cs="Arial" w:eastAsia="Arial" w:hAnsi="Arial"/>
          <w:sz w:val="19"/>
          <w:szCs w:val="19"/>
          <w:color w:val="auto"/>
        </w:rPr>
      </w:pPr>
    </w:p>
    <w:p>
      <w:pPr>
        <w:jc w:val="both"/>
        <w:ind w:left="-179" w:firstLine="940"/>
        <w:spacing w:after="0" w:line="265" w:lineRule="auto"/>
        <w:tabs>
          <w:tab w:leader="none" w:pos="1276" w:val="left"/>
        </w:tabs>
        <w:numPr>
          <w:ilvl w:val="1"/>
          <w:numId w:val="170"/>
        </w:numPr>
        <w:rPr>
          <w:rFonts w:ascii="Arial" w:cs="Arial" w:eastAsia="Arial" w:hAnsi="Arial"/>
          <w:sz w:val="20"/>
          <w:szCs w:val="20"/>
          <w:color w:val="auto"/>
        </w:rPr>
      </w:pPr>
      <w:r>
        <w:rPr>
          <w:rFonts w:ascii="Arial" w:cs="Arial" w:eastAsia="Arial" w:hAnsi="Arial"/>
          <w:sz w:val="20"/>
          <w:szCs w:val="20"/>
          <w:color w:val="auto"/>
        </w:rPr>
        <w:t>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w:t>
      </w:r>
    </w:p>
    <w:p>
      <w:pPr>
        <w:spacing w:after="0" w:line="172" w:lineRule="exact"/>
        <w:rPr>
          <w:rFonts w:ascii="Arial" w:cs="Arial" w:eastAsia="Arial" w:hAnsi="Arial"/>
          <w:sz w:val="20"/>
          <w:szCs w:val="20"/>
          <w:color w:val="auto"/>
        </w:rPr>
      </w:pPr>
    </w:p>
    <w:p>
      <w:pPr>
        <w:jc w:val="both"/>
        <w:ind w:left="-179" w:firstLine="940"/>
        <w:spacing w:after="0" w:line="307" w:lineRule="auto"/>
        <w:tabs>
          <w:tab w:leader="none" w:pos="1335"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and interest amounts of the Loans and LC Disbursements owing to, each</w:t>
      </w:r>
    </w:p>
    <w:p>
      <w:pPr>
        <w:sectPr>
          <w:pgSz w:w="11900" w:h="16838" w:orient="portrait"/>
          <w:cols w:equalWidth="0" w:num="1">
            <w:col w:w="10601"/>
          </w:cols>
          <w:pgMar w:left="1059" w:top="341" w:right="239" w:bottom="0" w:gutter="0" w:footer="0" w:header="0"/>
        </w:sectPr>
      </w:pPr>
    </w:p>
    <w:bookmarkStart w:id="179" w:name="page180"/>
    <w:bookmarkEnd w:id="179"/>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Lender pursuant to the terms hereof from time to time (the “</w:t>
      </w:r>
      <w:r>
        <w:rPr>
          <w:rFonts w:ascii="Arial" w:cs="Arial" w:eastAsia="Arial" w:hAnsi="Arial"/>
          <w:sz w:val="21"/>
          <w:szCs w:val="21"/>
          <w:b w:val="1"/>
          <w:bCs w:val="1"/>
          <w:color w:val="auto"/>
        </w:rPr>
        <w:t>Register</w:t>
      </w:r>
      <w:r>
        <w:rPr>
          <w:rFonts w:ascii="Arial" w:cs="Arial" w:eastAsia="Arial" w:hAnsi="Arial"/>
          <w:sz w:val="21"/>
          <w:szCs w:val="21"/>
          <w:color w:val="auto"/>
        </w:rPr>
        <w:t>”).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180" w:lineRule="exact"/>
        <w:rPr>
          <w:sz w:val="20"/>
          <w:szCs w:val="20"/>
          <w:color w:val="auto"/>
        </w:rPr>
      </w:pPr>
    </w:p>
    <w:p>
      <w:pPr>
        <w:jc w:val="both"/>
        <w:ind w:firstLine="940"/>
        <w:spacing w:after="0" w:line="287" w:lineRule="auto"/>
        <w:tabs>
          <w:tab w:leader="none" w:pos="1502" w:val="left"/>
        </w:tabs>
        <w:numPr>
          <w:ilvl w:val="1"/>
          <w:numId w:val="171"/>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1" w:lineRule="exact"/>
        <w:rPr>
          <w:rFonts w:ascii="Arial" w:cs="Arial" w:eastAsia="Arial" w:hAnsi="Arial"/>
          <w:sz w:val="19"/>
          <w:szCs w:val="19"/>
          <w:color w:val="auto"/>
        </w:rPr>
      </w:pPr>
    </w:p>
    <w:p>
      <w:pPr>
        <w:jc w:val="both"/>
        <w:ind w:firstLine="940"/>
        <w:spacing w:after="0" w:line="255" w:lineRule="auto"/>
        <w:tabs>
          <w:tab w:leader="none" w:pos="1443" w:val="left"/>
        </w:tabs>
        <w:numPr>
          <w:ilvl w:val="1"/>
          <w:numId w:val="171"/>
        </w:numPr>
        <w:rPr>
          <w:rFonts w:ascii="Arial" w:cs="Arial" w:eastAsia="Arial" w:hAnsi="Arial"/>
          <w:sz w:val="21"/>
          <w:szCs w:val="21"/>
          <w:color w:val="auto"/>
        </w:rPr>
      </w:pPr>
      <w:r>
        <w:rPr>
          <w:rFonts w:ascii="Arial" w:cs="Arial" w:eastAsia="Arial" w:hAnsi="Arial"/>
          <w:sz w:val="21"/>
          <w:szCs w:val="21"/>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rFonts w:ascii="Arial" w:cs="Arial" w:eastAsia="Arial" w:hAnsi="Arial"/>
          <w:sz w:val="21"/>
          <w:szCs w:val="21"/>
          <w:color w:val="auto"/>
        </w:rPr>
      </w:pPr>
    </w:p>
    <w:p>
      <w:pPr>
        <w:jc w:val="both"/>
        <w:ind w:left="-640" w:firstLine="819"/>
        <w:spacing w:after="0" w:line="263" w:lineRule="auto"/>
        <w:tabs>
          <w:tab w:leader="none" w:pos="73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(%4) Any Lender may, without the consent of the Borrower, the Administrative Agent or the Issuing Banks, sell participations to one or more banks or other Persons other than a natural person, any VV Holder, any Affiliate of Vincent Viola (including any trust established for the benefit of his spouse or children), a Disqualified Lender, Holdings, any Intermediate Parent, the Borrower or any of the Borrower’s Subsidiaries (a “</w:t>
      </w:r>
      <w:r>
        <w:rPr>
          <w:rFonts w:ascii="Arial" w:cs="Arial" w:eastAsia="Arial" w:hAnsi="Arial"/>
          <w:sz w:val="20"/>
          <w:szCs w:val="20"/>
          <w:b w:val="1"/>
          <w:bCs w:val="1"/>
          <w:color w:val="auto"/>
        </w:rPr>
        <w:t>Participant</w:t>
      </w:r>
      <w:r>
        <w:rPr>
          <w:rFonts w:ascii="Arial" w:cs="Arial" w:eastAsia="Arial" w:hAnsi="Arial"/>
          <w:sz w:val="20"/>
          <w:szCs w:val="20"/>
          <w:color w:val="auto"/>
        </w:rPr>
        <w:t xml:space="preserve">”) in all or a portion of such Lender’s rights and obligations under this Agreement (including all or a portion of its Commitment and the Loans owing to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agreement or instrument may provide that such Lender will not, without the consent of the Participant, agree to any amendment, modification or waiver described in the first proviso to Section 9.02(b) that directly and adversely affects such Participant. Subject to paragraph (c)(iii) of this Section, the Borrower agrees that each Participant shall be entitled to the benefits of Sections 2.13, 2.14 and 2.15 (subject to the obligations and limitations of such Sections, including Section 2.15(e), provided that any forms required to be delivered by any Participant pursuant to Section 2.15(e) shall be provided solely to the participating Lender))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Participant agrees to be subject to Section 2.16(c) as though it were a Lender.</w:t>
      </w:r>
    </w:p>
    <w:p>
      <w:pPr>
        <w:spacing w:after="0" w:line="172" w:lineRule="exact"/>
        <w:rPr>
          <w:rFonts w:ascii="Arial" w:cs="Arial" w:eastAsia="Arial" w:hAnsi="Arial"/>
          <w:sz w:val="20"/>
          <w:szCs w:val="20"/>
          <w:color w:val="auto"/>
        </w:rPr>
      </w:pPr>
    </w:p>
    <w:p>
      <w:pPr>
        <w:jc w:val="both"/>
        <w:ind w:firstLine="940"/>
        <w:spacing w:after="0" w:line="255" w:lineRule="auto"/>
        <w:tabs>
          <w:tab w:leader="none" w:pos="1449" w:val="left"/>
        </w:tabs>
        <w:numPr>
          <w:ilvl w:val="1"/>
          <w:numId w:val="172"/>
        </w:numPr>
        <w:rPr>
          <w:rFonts w:ascii="Arial" w:cs="Arial" w:eastAsia="Arial" w:hAnsi="Arial"/>
          <w:sz w:val="21"/>
          <w:szCs w:val="21"/>
          <w:color w:val="auto"/>
        </w:rPr>
      </w:pPr>
      <w:r>
        <w:rPr>
          <w:rFonts w:ascii="Arial" w:cs="Arial" w:eastAsia="Arial" w:hAnsi="Arial"/>
          <w:sz w:val="21"/>
          <w:szCs w:val="21"/>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21"/>
          <w:szCs w:val="21"/>
          <w:b w:val="1"/>
          <w:bCs w:val="1"/>
          <w:color w:val="auto"/>
        </w:rPr>
        <w:t>Participant</w:t>
      </w:r>
      <w:r>
        <w:rPr>
          <w:rFonts w:ascii="Arial" w:cs="Arial" w:eastAsia="Arial" w:hAnsi="Arial"/>
          <w:sz w:val="21"/>
          <w:szCs w:val="21"/>
          <w:color w:val="auto"/>
        </w:rPr>
        <w:t xml:space="preserve"> </w:t>
      </w:r>
      <w:r>
        <w:rPr>
          <w:rFonts w:ascii="Arial" w:cs="Arial" w:eastAsia="Arial" w:hAnsi="Arial"/>
          <w:sz w:val="21"/>
          <w:szCs w:val="21"/>
          <w:b w:val="1"/>
          <w:bCs w:val="1"/>
          <w:color w:val="auto"/>
        </w:rPr>
        <w:t>Register</w:t>
      </w:r>
      <w:r>
        <w:rPr>
          <w:rFonts w:ascii="Arial" w:cs="Arial" w:eastAsia="Arial" w:hAnsi="Arial"/>
          <w:sz w:val="21"/>
          <w:szCs w:val="21"/>
          <w:color w:val="auto"/>
        </w:rPr>
        <w:t>”). The entries in the Participant Register shall be conclusive, absent manifest error, and such Lender shall treat each</w:t>
      </w:r>
      <w:r>
        <w:rPr>
          <w:rFonts w:ascii="Arial" w:cs="Arial" w:eastAsia="Arial" w:hAnsi="Arial"/>
          <w:sz w:val="21"/>
          <w:szCs w:val="21"/>
          <w:b w:val="1"/>
          <w:bCs w:val="1"/>
          <w:color w:val="auto"/>
        </w:rPr>
        <w:t xml:space="preserve"> </w:t>
      </w:r>
      <w:r>
        <w:rPr>
          <w:rFonts w:ascii="Arial" w:cs="Arial" w:eastAsia="Arial" w:hAnsi="Arial"/>
          <w:sz w:val="21"/>
          <w:szCs w:val="21"/>
          <w:color w:val="auto"/>
        </w:rPr>
        <w:t>person whose name is recorded in the Participant Register as the owner of such participation for all purposes of this Agreement notwithstanding any notice to the contrary.</w:t>
      </w:r>
    </w:p>
    <w:p>
      <w:pPr>
        <w:spacing w:after="0" w:line="179" w:lineRule="exact"/>
        <w:rPr>
          <w:rFonts w:ascii="Arial" w:cs="Arial" w:eastAsia="Arial" w:hAnsi="Arial"/>
          <w:sz w:val="21"/>
          <w:szCs w:val="21"/>
          <w:color w:val="auto"/>
        </w:rPr>
      </w:pPr>
    </w:p>
    <w:p>
      <w:pPr>
        <w:jc w:val="both"/>
        <w:ind w:firstLine="940"/>
        <w:spacing w:after="0" w:line="267" w:lineRule="auto"/>
        <w:tabs>
          <w:tab w:leader="none" w:pos="1416" w:val="left"/>
        </w:tabs>
        <w:numPr>
          <w:ilvl w:val="1"/>
          <w:numId w:val="172"/>
        </w:numPr>
        <w:rPr>
          <w:rFonts w:ascii="Arial" w:cs="Arial" w:eastAsia="Arial" w:hAnsi="Arial"/>
          <w:sz w:val="21"/>
          <w:szCs w:val="21"/>
          <w:color w:val="auto"/>
        </w:rPr>
      </w:pPr>
      <w:r>
        <w:rPr>
          <w:rFonts w:ascii="Arial" w:cs="Arial" w:eastAsia="Arial" w:hAnsi="Arial"/>
          <w:sz w:val="21"/>
          <w:szCs w:val="21"/>
          <w:color w:val="auto"/>
        </w:rPr>
        <w:t>A Participant shall not be entitled to receive any greater payment under Section 2.13 or Section 2.15 than the applicable Lender would have been entitled to receive with respect to the participation sold to such Participant, unless the sale of the participation to such Participant is made with the Borrower’s prior written consent.</w:t>
      </w:r>
    </w:p>
    <w:p>
      <w:pPr>
        <w:spacing w:after="0" w:line="165" w:lineRule="exact"/>
        <w:rPr>
          <w:rFonts w:ascii="Arial" w:cs="Arial" w:eastAsia="Arial" w:hAnsi="Arial"/>
          <w:sz w:val="21"/>
          <w:szCs w:val="21"/>
          <w:color w:val="auto"/>
        </w:rPr>
      </w:pPr>
    </w:p>
    <w:p>
      <w:pPr>
        <w:jc w:val="both"/>
        <w:ind w:left="-640" w:firstLine="819"/>
        <w:spacing w:after="0" w:line="273" w:lineRule="auto"/>
        <w:tabs>
          <w:tab w:leader="none" w:pos="687"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61" w:lineRule="exact"/>
        <w:rPr>
          <w:rFonts w:ascii="Arial" w:cs="Arial" w:eastAsia="Arial" w:hAnsi="Arial"/>
          <w:sz w:val="20"/>
          <w:szCs w:val="20"/>
          <w:color w:val="auto"/>
        </w:rPr>
      </w:pPr>
    </w:p>
    <w:p>
      <w:pPr>
        <w:jc w:val="both"/>
        <w:ind w:left="-640" w:firstLine="819"/>
        <w:spacing w:after="0" w:line="283" w:lineRule="auto"/>
        <w:tabs>
          <w:tab w:leader="none" w:pos="65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w:t>
      </w:r>
    </w:p>
    <w:p>
      <w:pPr>
        <w:sectPr>
          <w:pgSz w:w="11900" w:h="16908" w:orient="portrait"/>
          <w:cols w:equalWidth="0" w:num="1">
            <w:col w:w="10780"/>
          </w:cols>
          <w:pgMar w:left="880" w:top="125" w:right="239" w:bottom="0" w:gutter="0" w:footer="0" w:header="0"/>
        </w:sectPr>
      </w:pPr>
    </w:p>
    <w:bookmarkStart w:id="180" w:name="page181"/>
    <w:bookmarkEnd w:id="180"/>
    <w:p>
      <w:pPr>
        <w:spacing w:after="0" w:line="69"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7" w:lineRule="exact"/>
        <w:rPr>
          <w:sz w:val="20"/>
          <w:szCs w:val="20"/>
          <w:color w:val="auto"/>
        </w:rPr>
      </w:pPr>
    </w:p>
    <w:p>
      <w:pPr>
        <w:ind w:left="1220" w:hanging="401"/>
        <w:spacing w:after="0"/>
        <w:tabs>
          <w:tab w:leader="none" w:pos="122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[Reserved].</w:t>
      </w:r>
    </w:p>
    <w:p>
      <w:pPr>
        <w:spacing w:after="0" w:line="230" w:lineRule="exact"/>
        <w:rPr>
          <w:rFonts w:ascii="Arial" w:cs="Arial" w:eastAsia="Arial" w:hAnsi="Arial"/>
          <w:sz w:val="21"/>
          <w:szCs w:val="21"/>
          <w:color w:val="auto"/>
        </w:rPr>
      </w:pPr>
    </w:p>
    <w:p>
      <w:pPr>
        <w:ind w:left="1200" w:hanging="381"/>
        <w:spacing w:after="0"/>
        <w:tabs>
          <w:tab w:leader="none" w:pos="120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[Reserved].</w:t>
      </w:r>
    </w:p>
    <w:p>
      <w:pPr>
        <w:spacing w:after="0" w:line="230" w:lineRule="exact"/>
        <w:rPr>
          <w:rFonts w:ascii="Arial" w:cs="Arial" w:eastAsia="Arial" w:hAnsi="Arial"/>
          <w:sz w:val="21"/>
          <w:szCs w:val="21"/>
          <w:color w:val="auto"/>
        </w:rPr>
      </w:pPr>
    </w:p>
    <w:p>
      <w:pPr>
        <w:jc w:val="both"/>
        <w:ind w:firstLine="819"/>
        <w:spacing w:after="0" w:line="265" w:lineRule="auto"/>
        <w:tabs>
          <w:tab w:leader="none" w:pos="1299"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Section 9.04 or any other provision of this Agreement, so long as no Default or Event of Default has occurred and is continuing or would result therefrom, each Lender shall have the right at any time to sell, assign or transfer all or a portion of its Term Commitments or Term Loans to Holdings or one of its Subsidiaries on a non pro rata basis through one or more open market purchases;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the assigning Lender and the purchaser shall execute and deliver to the Administrative Agent a Borrower Assignment and Assumption which shall include a representation to the assigning Lender at the time of assignment that the it does not possess material non-public information (or, if Holdings or a parent company of Holdings is not at the time a public reporting company, material information of a type that would not reasonably be expected to be publicly available if Holdings or such parent company was a public reporting company) with respect to Holdings and its Subsidiaries that has not been disclosed to the assigning Lender or the Lenders generally (other than the Lenders that have elected not to receive material non-public information), (ii) any Loans so repurchased shall be immediately canceled, and (iii) no proceeds of Loans under the Revolving Facility shall be utilized to make such purchases.</w:t>
      </w:r>
    </w:p>
    <w:p>
      <w:pPr>
        <w:spacing w:after="0" w:line="173" w:lineRule="exact"/>
        <w:rPr>
          <w:sz w:val="20"/>
          <w:szCs w:val="20"/>
          <w:color w:val="auto"/>
        </w:rPr>
      </w:pPr>
    </w:p>
    <w:p>
      <w:pPr>
        <w:jc w:val="both"/>
        <w:ind w:firstLine="630"/>
        <w:spacing w:after="0" w:line="309"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i w:val="1"/>
          <w:iCs w:val="1"/>
          <w:color w:val="auto"/>
        </w:rPr>
        <w:t>Survival</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All covenants, agreements, representations and warranties made by the Loan Parties in the Loan Documents and</w:t>
      </w:r>
      <w:r>
        <w:rPr>
          <w:rFonts w:ascii="Arial" w:cs="Arial" w:eastAsia="Arial" w:hAnsi="Arial"/>
          <w:sz w:val="19"/>
          <w:szCs w:val="19"/>
          <w:color w:val="auto"/>
        </w:rPr>
        <w:t xml:space="preserve"> </w:t>
      </w:r>
      <w:r>
        <w:rPr>
          <w:rFonts w:ascii="Arial" w:cs="Arial" w:eastAsia="Arial" w:hAnsi="Arial"/>
          <w:sz w:val="17"/>
          <w:szCs w:val="17"/>
          <w:color w:val="auto"/>
        </w:rPr>
        <w:t>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2.13, 2.14, 2.15, 9.03, 9.08 and Article 8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Section 2.22.</w:t>
      </w:r>
    </w:p>
    <w:p>
      <w:pPr>
        <w:spacing w:after="0" w:line="154" w:lineRule="exact"/>
        <w:rPr>
          <w:sz w:val="20"/>
          <w:szCs w:val="20"/>
          <w:color w:val="auto"/>
        </w:rPr>
      </w:pPr>
    </w:p>
    <w:p>
      <w:pPr>
        <w:jc w:val="both"/>
        <w:ind w:firstLine="630"/>
        <w:spacing w:after="0" w:line="311"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i w:val="1"/>
          <w:iCs w:val="1"/>
          <w:color w:val="auto"/>
        </w:rPr>
        <w:t>Counterparts; Integration; Effectiveness</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This Agreement may be executed in counterparts (and by different parties</w:t>
      </w:r>
      <w:r>
        <w:rPr>
          <w:rFonts w:ascii="Arial" w:cs="Arial" w:eastAsia="Arial" w:hAnsi="Arial"/>
          <w:sz w:val="19"/>
          <w:szCs w:val="19"/>
          <w:color w:val="auto"/>
        </w:rPr>
        <w:t xml:space="preserve"> </w:t>
      </w:r>
      <w:r>
        <w:rPr>
          <w:rFonts w:ascii="Arial" w:cs="Arial" w:eastAsia="Arial" w:hAnsi="Arial"/>
          <w:sz w:val="17"/>
          <w:szCs w:val="17"/>
          <w:color w:val="auto"/>
        </w:rPr>
        <w:t>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spacing w:after="0" w:line="158" w:lineRule="exact"/>
        <w:rPr>
          <w:sz w:val="20"/>
          <w:szCs w:val="20"/>
          <w:color w:val="auto"/>
        </w:rPr>
      </w:pPr>
    </w:p>
    <w:p>
      <w:pPr>
        <w:jc w:val="both"/>
        <w:ind w:firstLine="630"/>
        <w:spacing w:after="0" w:line="312" w:lineRule="auto"/>
        <w:rPr>
          <w:sz w:val="20"/>
          <w:szCs w:val="20"/>
          <w:color w:val="auto"/>
        </w:rPr>
      </w:pPr>
      <w:r>
        <w:rPr>
          <w:rFonts w:ascii="Arial" w:cs="Arial" w:eastAsia="Arial" w:hAnsi="Arial"/>
          <w:sz w:val="19"/>
          <w:szCs w:val="19"/>
          <w:color w:val="auto"/>
        </w:rPr>
        <w:t xml:space="preserve">Section 9.07. </w:t>
      </w:r>
      <w:r>
        <w:rPr>
          <w:rFonts w:ascii="Arial" w:cs="Arial" w:eastAsia="Arial" w:hAnsi="Arial"/>
          <w:sz w:val="19"/>
          <w:szCs w:val="19"/>
          <w:i w:val="1"/>
          <w:iCs w:val="1"/>
          <w:color w:val="auto"/>
        </w:rPr>
        <w:t>Severability</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Any provision of this Agreement held to be invalid, illegal or unenforceable in any jurisdiction shall, as to</w:t>
      </w:r>
      <w:r>
        <w:rPr>
          <w:rFonts w:ascii="Arial" w:cs="Arial" w:eastAsia="Arial" w:hAnsi="Arial"/>
          <w:sz w:val="19"/>
          <w:szCs w:val="19"/>
          <w:color w:val="auto"/>
        </w:rPr>
        <w:t xml:space="preserve"> </w:t>
      </w:r>
      <w:r>
        <w:rPr>
          <w:rFonts w:ascii="Arial" w:cs="Arial" w:eastAsia="Arial" w:hAnsi="Arial"/>
          <w:sz w:val="17"/>
          <w:szCs w:val="17"/>
          <w:color w:val="auto"/>
        </w:rPr>
        <w:t>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Administrative Agent or the Issuing Bank, as applicable, then such provisions shall be deemed to be in effect only to the extent not so limited. The parties hereto shall endeavor in good faith negotiations to replace any invalid, illegal or unenforceable provisions with valid, legal and enforceable provisions the economic effect of which comes as close as reasonably possible to that of the invalid, illegal or unenforceable provisions.</w:t>
      </w:r>
    </w:p>
    <w:p>
      <w:pPr>
        <w:spacing w:after="0" w:line="155" w:lineRule="exact"/>
        <w:rPr>
          <w:sz w:val="20"/>
          <w:szCs w:val="20"/>
          <w:color w:val="auto"/>
        </w:rPr>
      </w:pPr>
    </w:p>
    <w:p>
      <w:pPr>
        <w:jc w:val="both"/>
        <w:ind w:firstLine="630"/>
        <w:spacing w:after="0" w:line="307"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i w:val="1"/>
          <w:iCs w:val="1"/>
          <w:color w:val="auto"/>
        </w:rPr>
        <w:t>Right of Setoff</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If an Event of Default shall have occurred and be continuing, each Lender, each Issuing Bank and each of</w:t>
      </w:r>
      <w:r>
        <w:rPr>
          <w:rFonts w:ascii="Arial" w:cs="Arial" w:eastAsia="Arial" w:hAnsi="Arial"/>
          <w:sz w:val="19"/>
          <w:szCs w:val="19"/>
          <w:color w:val="auto"/>
        </w:rPr>
        <w:t xml:space="preserve"> </w:t>
      </w:r>
      <w:r>
        <w:rPr>
          <w:rFonts w:ascii="Arial" w:cs="Arial" w:eastAsia="Arial" w:hAnsi="Arial"/>
          <w:sz w:val="17"/>
          <w:szCs w:val="17"/>
          <w:color w:val="auto"/>
        </w:rPr>
        <w:t xml:space="preserve">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any such Issuing Bank or any such Affiliate to or for the credit or the account of the Borrower against any of and all the obligations of the Borrower then due and owing under this Agreement held by such Lender or Issuing Bank, irrespective of whether or not such Lender or Issuing Bank shall have made any demand under this Agreement and although (i) such obligations may be contingent or unmatured and (ii) such obligations are owed to a branch or office of such Lender or Issuing Bank different from the branch or office holding such deposit or obligated on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Section</w:t>
      </w:r>
    </w:p>
    <w:p>
      <w:pPr>
        <w:sectPr>
          <w:pgSz w:w="11900" w:h="16907" w:orient="portrait"/>
          <w:cols w:equalWidth="0" w:num="1">
            <w:col w:w="11420"/>
          </w:cols>
          <w:pgMar w:left="240" w:top="131" w:right="239" w:bottom="0" w:gutter="0" w:footer="0" w:header="0"/>
        </w:sectPr>
      </w:pPr>
    </w:p>
    <w:bookmarkStart w:id="181" w:name="page182"/>
    <w:bookmarkEnd w:id="181"/>
    <w:p>
      <w:pPr>
        <w:spacing w:after="0" w:line="5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 xml:space="preserve">2.21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failure to give or any delay in giving such notice shall not affect the validity of any such setoff and application under this Section. The rights of each Lender, each Issuing Bank and their respective Affiliates under this Section are in addition to other rights and remedies (including other rights of setoff) that such Lender, such Issuing Bank and their respective Affiliates may have.</w:t>
      </w:r>
    </w:p>
    <w:p>
      <w:pPr>
        <w:spacing w:after="0" w:line="16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9.09.</w:t>
      </w:r>
      <w:r>
        <w:rPr>
          <w:sz w:val="20"/>
          <w:szCs w:val="20"/>
          <w:color w:val="auto"/>
        </w:rPr>
        <w:tab/>
      </w:r>
      <w:r>
        <w:rPr>
          <w:rFonts w:ascii="Arial" w:cs="Arial" w:eastAsia="Arial" w:hAnsi="Arial"/>
          <w:sz w:val="19"/>
          <w:szCs w:val="19"/>
          <w:i w:val="1"/>
          <w:iCs w:val="1"/>
          <w:color w:val="auto"/>
        </w:rPr>
        <w:t>Governing Law; Jurisdiction; Consent to Service of Process</w:t>
      </w:r>
      <w:r>
        <w:rPr>
          <w:rFonts w:ascii="Arial" w:cs="Arial" w:eastAsia="Arial" w:hAnsi="Arial"/>
          <w:sz w:val="17"/>
          <w:szCs w:val="17"/>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(%3)</w:t>
      </w:r>
      <w:r>
        <w:rPr>
          <w:rFonts w:ascii="Arial" w:cs="Arial" w:eastAsia="Arial" w:hAnsi="Arial"/>
          <w:sz w:val="19"/>
          <w:szCs w:val="19"/>
          <w:i w:val="1"/>
          <w:iCs w:val="1"/>
          <w:color w:val="auto"/>
        </w:rPr>
        <w:t xml:space="preserve"> </w:t>
      </w:r>
      <w:r>
        <w:rPr>
          <w:rFonts w:ascii="Arial" w:cs="Arial" w:eastAsia="Arial" w:hAnsi="Arial"/>
          <w:sz w:val="17"/>
          <w:szCs w:val="17"/>
          <w:color w:val="auto"/>
        </w:rPr>
        <w:t>This Agreement shall be construed in accordance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with and governed by the laws of the State of New York.</w:t>
      </w:r>
    </w:p>
    <w:p>
      <w:pPr>
        <w:spacing w:after="0" w:line="236" w:lineRule="exact"/>
        <w:rPr>
          <w:sz w:val="20"/>
          <w:szCs w:val="20"/>
          <w:color w:val="auto"/>
        </w:rPr>
      </w:pPr>
    </w:p>
    <w:p>
      <w:pPr>
        <w:jc w:val="both"/>
        <w:ind w:firstLine="819"/>
        <w:spacing w:after="0" w:line="266" w:lineRule="auto"/>
        <w:tabs>
          <w:tab w:leader="none" w:pos="122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Holdings or the Borrower or their respective properties in the courts of any jurisdiction.</w:t>
      </w:r>
    </w:p>
    <w:p>
      <w:pPr>
        <w:spacing w:after="0" w:line="167" w:lineRule="exact"/>
        <w:rPr>
          <w:rFonts w:ascii="Arial" w:cs="Arial" w:eastAsia="Arial" w:hAnsi="Arial"/>
          <w:sz w:val="20"/>
          <w:szCs w:val="20"/>
          <w:color w:val="auto"/>
        </w:rPr>
      </w:pPr>
    </w:p>
    <w:p>
      <w:pPr>
        <w:jc w:val="both"/>
        <w:ind w:firstLine="819"/>
        <w:spacing w:after="0" w:line="257" w:lineRule="auto"/>
        <w:tabs>
          <w:tab w:leader="none" w:pos="1273" w:val="left"/>
        </w:tabs>
        <w:numPr>
          <w:ilvl w:val="0"/>
          <w:numId w:val="174"/>
        </w:numPr>
        <w:rPr>
          <w:rFonts w:ascii="Arial" w:cs="Arial" w:eastAsia="Arial" w:hAnsi="Arial"/>
          <w:sz w:val="21"/>
          <w:szCs w:val="21"/>
          <w:color w:val="auto"/>
        </w:rPr>
      </w:pPr>
      <w:r>
        <w:rPr>
          <w:rFonts w:ascii="Arial" w:cs="Arial" w:eastAsia="Arial" w:hAnsi="Arial"/>
          <w:sz w:val="21"/>
          <w:szCs w:val="21"/>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6" w:lineRule="exact"/>
        <w:rPr>
          <w:rFonts w:ascii="Arial" w:cs="Arial" w:eastAsia="Arial" w:hAnsi="Arial"/>
          <w:sz w:val="21"/>
          <w:szCs w:val="21"/>
          <w:color w:val="auto"/>
        </w:rPr>
      </w:pPr>
    </w:p>
    <w:p>
      <w:pPr>
        <w:jc w:val="both"/>
        <w:ind w:firstLine="819"/>
        <w:spacing w:after="0" w:line="267" w:lineRule="auto"/>
        <w:tabs>
          <w:tab w:leader="none" w:pos="1274" w:val="left"/>
        </w:tabs>
        <w:numPr>
          <w:ilvl w:val="0"/>
          <w:numId w:val="174"/>
        </w:numPr>
        <w:rPr>
          <w:rFonts w:ascii="Arial" w:cs="Arial" w:eastAsia="Arial" w:hAnsi="Arial"/>
          <w:sz w:val="21"/>
          <w:szCs w:val="21"/>
          <w:color w:val="auto"/>
        </w:rPr>
      </w:pPr>
      <w:r>
        <w:rPr>
          <w:rFonts w:ascii="Arial" w:cs="Arial" w:eastAsia="Arial" w:hAnsi="Arial"/>
          <w:sz w:val="21"/>
          <w:szCs w:val="21"/>
          <w:color w:val="auto"/>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spacing w:after="0" w:line="165" w:lineRule="exact"/>
        <w:rPr>
          <w:sz w:val="20"/>
          <w:szCs w:val="20"/>
          <w:color w:val="auto"/>
        </w:rPr>
      </w:pPr>
    </w:p>
    <w:p>
      <w:pPr>
        <w:jc w:val="both"/>
        <w:ind w:firstLine="630"/>
        <w:spacing w:after="0" w:line="272"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i w:val="1"/>
          <w:iCs w:val="1"/>
          <w:color w:val="auto"/>
        </w:rPr>
        <w:t>Waiver of Jury Trial</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EACH PARTY HERETO HEREBY WAIVES, TO THE FULLEST EXTENT PERMITTED BY</w:t>
      </w:r>
      <w:r>
        <w:rPr>
          <w:rFonts w:ascii="Arial" w:cs="Arial" w:eastAsia="Arial" w:hAnsi="Arial"/>
          <w:sz w:val="21"/>
          <w:szCs w:val="21"/>
          <w:color w:val="auto"/>
        </w:rPr>
        <w:t xml:space="preserve"> </w:t>
      </w:r>
      <w:r>
        <w:rPr>
          <w:rFonts w:ascii="Arial" w:cs="Arial" w:eastAsia="Arial" w:hAnsi="Arial"/>
          <w:sz w:val="19"/>
          <w:szCs w:val="19"/>
          <w:color w:val="auto"/>
        </w:rPr>
        <w:t>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5" w:lineRule="exact"/>
        <w:rPr>
          <w:sz w:val="20"/>
          <w:szCs w:val="20"/>
          <w:color w:val="auto"/>
        </w:rPr>
      </w:pPr>
    </w:p>
    <w:p>
      <w:pPr>
        <w:jc w:val="both"/>
        <w:ind w:firstLine="630"/>
        <w:spacing w:after="0" w:line="294" w:lineRule="auto"/>
        <w:rPr>
          <w:sz w:val="20"/>
          <w:szCs w:val="20"/>
          <w:color w:val="auto"/>
        </w:rPr>
      </w:pPr>
      <w:r>
        <w:rPr>
          <w:rFonts w:ascii="Arial" w:cs="Arial" w:eastAsia="Arial" w:hAnsi="Arial"/>
          <w:sz w:val="20"/>
          <w:szCs w:val="20"/>
          <w:color w:val="auto"/>
        </w:rPr>
        <w:t xml:space="preserve">Section 9.11. </w:t>
      </w:r>
      <w:r>
        <w:rPr>
          <w:rFonts w:ascii="Arial" w:cs="Arial" w:eastAsia="Arial" w:hAnsi="Arial"/>
          <w:sz w:val="20"/>
          <w:szCs w:val="20"/>
          <w:i w:val="1"/>
          <w:iCs w:val="1"/>
          <w:color w:val="auto"/>
        </w:rPr>
        <w:t>Headings</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Article and Section headings and the Table of Contents used herein are for convenience of reference only, are</w:t>
      </w:r>
      <w:r>
        <w:rPr>
          <w:rFonts w:ascii="Arial" w:cs="Arial" w:eastAsia="Arial" w:hAnsi="Arial"/>
          <w:sz w:val="20"/>
          <w:szCs w:val="20"/>
          <w:color w:val="auto"/>
        </w:rPr>
        <w:t xml:space="preserve"> </w:t>
      </w:r>
      <w:r>
        <w:rPr>
          <w:rFonts w:ascii="Arial" w:cs="Arial" w:eastAsia="Arial" w:hAnsi="Arial"/>
          <w:sz w:val="18"/>
          <w:szCs w:val="18"/>
          <w:color w:val="auto"/>
        </w:rPr>
        <w:t>not part of this Agreement and shall not affect the construction of, or be taken into consideration in interpreting, this Agreement.</w:t>
      </w:r>
    </w:p>
    <w:p>
      <w:pPr>
        <w:spacing w:after="0" w:line="158" w:lineRule="exact"/>
        <w:rPr>
          <w:sz w:val="20"/>
          <w:szCs w:val="20"/>
          <w:color w:val="auto"/>
        </w:rPr>
      </w:pPr>
    </w:p>
    <w:p>
      <w:pPr>
        <w:jc w:val="both"/>
        <w:ind w:firstLine="630"/>
        <w:spacing w:after="0" w:line="306"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i w:val="1"/>
          <w:iCs w:val="1"/>
          <w:color w:val="auto"/>
        </w:rPr>
        <w:t>Confidentiality</w:t>
      </w:r>
      <w:r>
        <w:rPr>
          <w:rFonts w:ascii="Arial" w:cs="Arial" w:eastAsia="Arial" w:hAnsi="Arial"/>
          <w:sz w:val="17"/>
          <w:szCs w:val="17"/>
          <w:color w:val="auto"/>
        </w:rPr>
        <w:t>.</w:t>
      </w:r>
      <w:r>
        <w:rPr>
          <w:rFonts w:ascii="Arial" w:cs="Arial" w:eastAsia="Arial" w:hAnsi="Arial"/>
          <w:sz w:val="19"/>
          <w:szCs w:val="19"/>
          <w:color w:val="auto"/>
        </w:rPr>
        <w:t xml:space="preserve"> (%3) </w:t>
      </w:r>
      <w:r>
        <w:rPr>
          <w:rFonts w:ascii="Arial" w:cs="Arial" w:eastAsia="Arial" w:hAnsi="Arial"/>
          <w:sz w:val="17"/>
          <w:szCs w:val="17"/>
          <w:color w:val="auto"/>
        </w:rPr>
        <w:t>Each of the Administrative Agent, the Issuing Banks and the Lenders agrees to maintain the</w:t>
      </w:r>
      <w:r>
        <w:rPr>
          <w:rFonts w:ascii="Arial" w:cs="Arial" w:eastAsia="Arial" w:hAnsi="Arial"/>
          <w:sz w:val="19"/>
          <w:szCs w:val="19"/>
          <w:color w:val="auto"/>
        </w:rPr>
        <w:t xml:space="preserve"> </w:t>
      </w:r>
      <w:r>
        <w:rPr>
          <w:rFonts w:ascii="Arial" w:cs="Arial" w:eastAsia="Arial" w:hAnsi="Arial"/>
          <w:sz w:val="17"/>
          <w:szCs w:val="17"/>
          <w:color w:val="auto"/>
        </w:rPr>
        <w:t xml:space="preserve">confidentiality of the Information (as defined below), except that Information may be disclosed (i) to its and its Affiliates’ directors, officers, employees, trustees and agents, including accountants, legal counsel and other agents and advisors and numbering, administration and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Section 9.12 shall constitute a breach of this Section 9.12 by the Administrative Agent, such Issuing Bank or the relevant Lender, as applicable), (ii) to the extent requested by any regulatory authority or self-regulatory authority, required by applicable law or by any subpoena or similar legal process;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to the extent permitted by law and other than in connection with routine audits and reviews by regulatory and self-regulatory authorities, each Lender and the Administrative Agent shall notify the Borrower as promptly as practicable of any such requested or required disclosure in connection with any legal or regulatory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in no event shall any Lender or the Administrative Agent be obligated or required to return any materials furnished by the Borrower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Subsidiary of Holdings, (iii) to any other party to this Agreement, (iv) in connection with the exercise of any remedies hereunder or any suit, action or proceeding relating to this Agreement or the enforcement of rights hereunder, (v) subject to an agreement containing confidentiality undertakings substantially similar to those of this Section,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 (C) any pledgee referred to in Section 9.04(d) (it being understood that each Person identified as a “Disqualified Lender” on Schedule 1.01 may be disclosed to any assignee or Participant, or prospective assignee or Participant, in reliance on this clause (v)), (vi) if required by any rating agency;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any such disclosure, such rating agency shall have agreed in writing to maintain the confidentiality of such Information or (vii) to the extent such Information (x) becomes publicly available other than as a result of a breach of this Section or (y) becomes available to the Administrative Agent, any Issuing Bank, any Lender or any of their respective Affiliates on a nonconfidential basis from a source other than Holdings or the Borrower. In addition, the Administrative Agent and the Lead Arranger may disclose the existence of this Agreement and information about this Agreement (other than any Information) to market data collectors and similar services providers to the lending industry to the extent reasonably required by</w:t>
      </w:r>
    </w:p>
    <w:p>
      <w:pPr>
        <w:sectPr>
          <w:pgSz w:w="11900" w:h="16898" w:orient="portrait"/>
          <w:cols w:equalWidth="0" w:num="1">
            <w:col w:w="11420"/>
          </w:cols>
          <w:pgMar w:left="240" w:top="136" w:right="239" w:bottom="0" w:gutter="0" w:footer="0" w:header="0"/>
        </w:sectPr>
      </w:pPr>
    </w:p>
    <w:bookmarkStart w:id="182" w:name="page183"/>
    <w:bookmarkEnd w:id="182"/>
    <w:p>
      <w:pPr>
        <w:spacing w:after="0" w:line="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such market data collectors or service providers to enable such party to receive league table credit for such party’s role in connection with this Agreement and the Transactions. For the purposes hereof,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means all information received from Holdings or the Borrower relating to Holdings, the Borrower, any other Subsidiary or their business, other than any such information that is available to the Administrative Agent, any Issuing Bank or any Lender on a nonconfidential basis prior to disclosure by Holdings, the Borrower or any Subsidiary and other than information pertaining to this Agreement routinely provided by arrangers to data service providers, including league table providers, that serve the lending industry;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information received from Holdings,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8" w:lineRule="exact"/>
        <w:rPr>
          <w:sz w:val="20"/>
          <w:szCs w:val="20"/>
          <w:color w:val="auto"/>
        </w:rPr>
      </w:pPr>
    </w:p>
    <w:p>
      <w:pPr>
        <w:jc w:val="both"/>
        <w:ind w:firstLine="819"/>
        <w:spacing w:after="0" w:line="254" w:lineRule="auto"/>
        <w:tabs>
          <w:tab w:leader="none" w:pos="1261" w:val="left"/>
        </w:tabs>
        <w:numPr>
          <w:ilvl w:val="0"/>
          <w:numId w:val="175"/>
        </w:numPr>
        <w:rPr>
          <w:rFonts w:ascii="Arial" w:cs="Arial" w:eastAsia="Arial" w:hAnsi="Arial"/>
          <w:sz w:val="21"/>
          <w:szCs w:val="21"/>
          <w:color w:val="auto"/>
        </w:rPr>
      </w:pPr>
      <w:r>
        <w:rPr>
          <w:rFonts w:ascii="Arial" w:cs="Arial" w:eastAsia="Arial" w:hAnsi="Arial"/>
          <w:sz w:val="21"/>
          <w:szCs w:val="21"/>
          <w:color w:val="auto"/>
        </w:rPr>
        <w:t>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79" w:lineRule="exact"/>
        <w:rPr>
          <w:rFonts w:ascii="Arial" w:cs="Arial" w:eastAsia="Arial" w:hAnsi="Arial"/>
          <w:sz w:val="21"/>
          <w:szCs w:val="21"/>
          <w:color w:val="auto"/>
        </w:rPr>
      </w:pPr>
    </w:p>
    <w:p>
      <w:pPr>
        <w:jc w:val="both"/>
        <w:ind w:firstLine="819"/>
        <w:spacing w:after="0" w:line="252" w:lineRule="auto"/>
        <w:tabs>
          <w:tab w:leader="none" w:pos="1338" w:val="left"/>
        </w:tabs>
        <w:numPr>
          <w:ilvl w:val="0"/>
          <w:numId w:val="175"/>
        </w:numPr>
        <w:rPr>
          <w:rFonts w:ascii="Arial" w:cs="Arial" w:eastAsia="Arial" w:hAnsi="Arial"/>
          <w:sz w:val="21"/>
          <w:szCs w:val="21"/>
          <w:color w:val="auto"/>
        </w:rPr>
      </w:pPr>
      <w:r>
        <w:rPr>
          <w:rFonts w:ascii="Arial" w:cs="Arial" w:eastAsia="Arial" w:hAnsi="Arial"/>
          <w:sz w:val="21"/>
          <w:szCs w:val="2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5"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9.13. </w:t>
      </w:r>
      <w:r>
        <w:rPr>
          <w:rFonts w:ascii="Arial" w:cs="Arial" w:eastAsia="Arial" w:hAnsi="Arial"/>
          <w:sz w:val="20"/>
          <w:szCs w:val="20"/>
          <w:i w:val="1"/>
          <w:iCs w:val="1"/>
          <w:color w:val="auto"/>
        </w:rPr>
        <w:t>USA Patriot Act</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Each Lender that is subject to the USA Patriot Act and the Administrative Agent (for itself and not on</w:t>
      </w:r>
      <w:r>
        <w:rPr>
          <w:rFonts w:ascii="Arial" w:cs="Arial" w:eastAsia="Arial" w:hAnsi="Arial"/>
          <w:sz w:val="20"/>
          <w:szCs w:val="20"/>
          <w:color w:val="auto"/>
        </w:rPr>
        <w:t xml:space="preserve"> </w:t>
      </w:r>
      <w:r>
        <w:rPr>
          <w:rFonts w:ascii="Arial" w:cs="Arial" w:eastAsia="Arial" w:hAnsi="Arial"/>
          <w:sz w:val="18"/>
          <w:szCs w:val="18"/>
          <w:color w:val="auto"/>
        </w:rPr>
        <w:t>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spacing w:after="0" w:line="168" w:lineRule="exact"/>
        <w:rPr>
          <w:sz w:val="20"/>
          <w:szCs w:val="20"/>
          <w:color w:val="auto"/>
        </w:rPr>
      </w:pPr>
    </w:p>
    <w:p>
      <w:pPr>
        <w:jc w:val="both"/>
        <w:ind w:firstLine="630"/>
        <w:spacing w:after="0" w:line="303"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i w:val="1"/>
          <w:iCs w:val="1"/>
          <w:color w:val="auto"/>
        </w:rPr>
        <w:t>Release of Liens and Guarantees</w:t>
      </w:r>
      <w:r>
        <w:rPr>
          <w:rFonts w:ascii="Arial" w:cs="Arial" w:eastAsia="Arial" w:hAnsi="Arial"/>
          <w:sz w:val="17"/>
          <w:szCs w:val="17"/>
          <w:color w:val="auto"/>
        </w:rPr>
        <w:t>.</w:t>
      </w:r>
      <w:r>
        <w:rPr>
          <w:rFonts w:ascii="Arial" w:cs="Arial" w:eastAsia="Arial" w:hAnsi="Arial"/>
          <w:sz w:val="19"/>
          <w:szCs w:val="19"/>
          <w:color w:val="auto"/>
        </w:rPr>
        <w:t xml:space="preserve"> (%3) </w:t>
      </w:r>
      <w:r>
        <w:rPr>
          <w:rFonts w:ascii="Arial" w:cs="Arial" w:eastAsia="Arial" w:hAnsi="Arial"/>
          <w:sz w:val="17"/>
          <w:szCs w:val="17"/>
          <w:color w:val="auto"/>
        </w:rPr>
        <w:t>A Subsidiary Loan Party shall automatically be released from its obligations</w:t>
      </w:r>
      <w:r>
        <w:rPr>
          <w:rFonts w:ascii="Arial" w:cs="Arial" w:eastAsia="Arial" w:hAnsi="Arial"/>
          <w:sz w:val="19"/>
          <w:szCs w:val="19"/>
          <w:color w:val="auto"/>
        </w:rPr>
        <w:t xml:space="preserve"> </w:t>
      </w:r>
      <w:r>
        <w:rPr>
          <w:rFonts w:ascii="Arial" w:cs="Arial" w:eastAsia="Arial" w:hAnsi="Arial"/>
          <w:sz w:val="17"/>
          <w:szCs w:val="17"/>
          <w:color w:val="auto"/>
        </w:rPr>
        <w:t>under the Loan Documents, and all security interests created by the Security Documents in Collateral owned by such Subsidiary Loan Party shall be automatically released, (1) upon the consummation of any transaction permitted by this Agreement as a result of which such Subsidiary Loan Party ceases to be a Restricted Subsidiary (including pursuant to a merger with a Subsidiary that is not a Loan Party or designation as an Unrestricted Subsidiary), (2) upon the request of the Borrower in connection with a transaction permitted under Section 6.14(a), as a result of which such Subsidiary Loan Party ceases to be a Wholly Owned Subsidiary, (3) upon the request of the Borrower, if permitted pursuant to Section 6.14(b) or</w:t>
      </w:r>
    </w:p>
    <w:p>
      <w:pPr>
        <w:spacing w:after="0" w:line="4" w:lineRule="exact"/>
        <w:rPr>
          <w:sz w:val="20"/>
          <w:szCs w:val="20"/>
          <w:color w:val="auto"/>
        </w:rPr>
      </w:pPr>
    </w:p>
    <w:p>
      <w:pPr>
        <w:jc w:val="both"/>
        <w:ind w:firstLine="5"/>
        <w:spacing w:after="0" w:line="293" w:lineRule="auto"/>
        <w:tabs>
          <w:tab w:leader="none" w:pos="2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upon the request of the Borrower, if such Subsidiary Loan Party becomes a Regulated Subsidiary or an Excluded Subsidiary. Upon any sale or other transfer by any Loan Party (other than to Holdings, the Borrower or any Subsidiary Loan Party) of any Collateral in a transaction permitted under this Agreement, or upon the effectiveness of any written consent to the release of the security interest created under any Security Document in any Collateral or the release of Holdings or any Subsidiary Loan Party from its Guarantee under the Guarantee Agreement pursuant to Section 9.02, the security interests in such Collateral created by the Security Documents or such guarantee shall be automatically released. Upon termination of the aggregate Commitments and payment in full of all Secured Obligations (other than contingent indemnification obligations) and the expiration or termination of all Letters of Credit (including as a result of obtaining the consent of the applicable Issuing Bank as described in Section 9.05), all obligations under the Loan Documents and all security interests created by the Security Documents shall be automatically released. In connection with any termination or release pursuant to this Section, the Administrative Agent shall execute and deliver to any Loan Party, at such Loan Party’s expense, all documents that such Loan Party shall reasonably request to evidence such termination or release so long as the Borrower or applicable Loan Party shall have provided the Administrative Agent such certifications or documents as the Administrative Agent shall reasonably request in order to demonstrate compliance with this Agreement.</w:t>
      </w:r>
    </w:p>
    <w:p>
      <w:pPr>
        <w:spacing w:after="0" w:line="165" w:lineRule="exact"/>
        <w:rPr>
          <w:rFonts w:ascii="Arial" w:cs="Arial" w:eastAsia="Arial" w:hAnsi="Arial"/>
          <w:sz w:val="18"/>
          <w:szCs w:val="18"/>
          <w:color w:val="auto"/>
        </w:rPr>
      </w:pPr>
    </w:p>
    <w:p>
      <w:pPr>
        <w:jc w:val="both"/>
        <w:ind w:firstLine="819"/>
        <w:spacing w:after="0" w:line="286" w:lineRule="auto"/>
        <w:tabs>
          <w:tab w:leader="none" w:pos="1353" w:val="left"/>
        </w:tabs>
        <w:numPr>
          <w:ilvl w:val="1"/>
          <w:numId w:val="176"/>
        </w:numPr>
        <w:rPr>
          <w:rFonts w:ascii="Arial" w:cs="Arial" w:eastAsia="Arial" w:hAnsi="Arial"/>
          <w:sz w:val="20"/>
          <w:szCs w:val="20"/>
          <w:color w:val="auto"/>
        </w:rPr>
      </w:pPr>
      <w:r>
        <w:rPr>
          <w:rFonts w:ascii="Arial" w:cs="Arial" w:eastAsia="Arial" w:hAnsi="Arial"/>
          <w:sz w:val="20"/>
          <w:szCs w:val="20"/>
          <w:color w:val="auto"/>
        </w:rPr>
        <w:t>The Administrative Agent will, at the Borrower’s expense, execute and deliver to the applicable Loan Party such documents as such Loan Party may reasonably request to subordinate its Lien on any property granted to or held by the Administrative Agent under any Loan Document to the holder of any Lien on such property that is permitted by Section 6.02(iv).</w:t>
      </w:r>
    </w:p>
    <w:p>
      <w:pPr>
        <w:spacing w:after="0" w:line="149" w:lineRule="exact"/>
        <w:rPr>
          <w:rFonts w:ascii="Arial" w:cs="Arial" w:eastAsia="Arial" w:hAnsi="Arial"/>
          <w:sz w:val="20"/>
          <w:szCs w:val="20"/>
          <w:color w:val="auto"/>
        </w:rPr>
      </w:pPr>
    </w:p>
    <w:p>
      <w:pPr>
        <w:jc w:val="both"/>
        <w:ind w:firstLine="819"/>
        <w:spacing w:after="0" w:line="257" w:lineRule="auto"/>
        <w:tabs>
          <w:tab w:leader="none" w:pos="1312" w:val="left"/>
        </w:tabs>
        <w:numPr>
          <w:ilvl w:val="1"/>
          <w:numId w:val="176"/>
        </w:numPr>
        <w:rPr>
          <w:rFonts w:ascii="Arial" w:cs="Arial" w:eastAsia="Arial" w:hAnsi="Arial"/>
          <w:sz w:val="21"/>
          <w:szCs w:val="21"/>
          <w:color w:val="auto"/>
        </w:rPr>
      </w:pPr>
      <w:r>
        <w:rPr>
          <w:rFonts w:ascii="Arial" w:cs="Arial" w:eastAsia="Arial" w:hAnsi="Arial"/>
          <w:sz w:val="21"/>
          <w:szCs w:val="21"/>
          <w:color w:val="auto"/>
        </w:rPr>
        <w:t>Each of the Lenders and the Issuing Bank irrevocably authorizes the Administrative Agent to provide any release or evidence of release, termination or subordination contemplated by this Section 9.14. Upon request by the Administrative Agent at any time, the Required Lenders will confirm in writing the Administrative Agent’s authority to release or subordinate its interest in particular types or items of property, or to release any Loan Party from its obligations under any Loan Document, in each case in accordance with the terms of the Loan Document and this Section 9.14.</w:t>
      </w:r>
    </w:p>
    <w:p>
      <w:pPr>
        <w:spacing w:after="0" w:line="177" w:lineRule="exact"/>
        <w:rPr>
          <w:sz w:val="20"/>
          <w:szCs w:val="20"/>
          <w:color w:val="auto"/>
        </w:rPr>
      </w:pPr>
    </w:p>
    <w:p>
      <w:pPr>
        <w:jc w:val="both"/>
        <w:ind w:firstLine="630"/>
        <w:spacing w:after="0" w:line="317"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i w:val="1"/>
          <w:iCs w:val="1"/>
          <w:color w:val="auto"/>
        </w:rPr>
        <w:t>No Advisory or Fiduciary Responsibility</w:t>
      </w:r>
      <w:r>
        <w:rPr>
          <w:rFonts w:ascii="Arial" w:cs="Arial" w:eastAsia="Arial" w:hAnsi="Arial"/>
          <w:sz w:val="17"/>
          <w:szCs w:val="17"/>
          <w:i w:val="1"/>
          <w:iCs w:val="1"/>
          <w:color w:val="auto"/>
        </w:rPr>
        <w:t>.</w:t>
      </w:r>
      <w:r>
        <w:rPr>
          <w:rFonts w:ascii="Arial" w:cs="Arial" w:eastAsia="Arial" w:hAnsi="Arial"/>
          <w:sz w:val="19"/>
          <w:szCs w:val="19"/>
          <w:color w:val="auto"/>
        </w:rPr>
        <w:t xml:space="preserve"> </w:t>
      </w:r>
      <w:r>
        <w:rPr>
          <w:rFonts w:ascii="Arial" w:cs="Arial" w:eastAsia="Arial" w:hAnsi="Arial"/>
          <w:sz w:val="17"/>
          <w:szCs w:val="17"/>
          <w:color w:val="auto"/>
        </w:rPr>
        <w:t>In connection with all aspects of each transaction contemplated hereby</w:t>
      </w:r>
      <w:r>
        <w:rPr>
          <w:rFonts w:ascii="Arial" w:cs="Arial" w:eastAsia="Arial" w:hAnsi="Arial"/>
          <w:sz w:val="19"/>
          <w:szCs w:val="19"/>
          <w:color w:val="auto"/>
        </w:rPr>
        <w:t xml:space="preserve"> </w:t>
      </w:r>
      <w:r>
        <w:rPr>
          <w:rFonts w:ascii="Arial" w:cs="Arial" w:eastAsia="Arial" w:hAnsi="Arial"/>
          <w:sz w:val="17"/>
          <w:szCs w:val="17"/>
          <w:color w:val="auto"/>
        </w:rPr>
        <w:t>(including in connection with any amendment, waiver or other modification hereof or of any other Loan Document), each of the Borrower and Holdings acknowledges and agrees that (i) (A) the arranging and other services regarding this Agreement provided by the Administrative Agent, the Lenders and the Lead Arranger are arm’s-length commercial transactions between the Borrower, Holdings and their respective Affiliates, on the one hand, and the Administrative Agent, the Lenders and the Lead Arranger, on the other hand, (B) each of the Borrower and Holdings has consulted its</w:t>
      </w:r>
    </w:p>
    <w:p>
      <w:pPr>
        <w:sectPr>
          <w:pgSz w:w="11900" w:h="16917" w:orient="portrait"/>
          <w:cols w:equalWidth="0" w:num="1">
            <w:col w:w="11420"/>
          </w:cols>
          <w:pgMar w:left="240" w:top="136" w:right="239" w:bottom="0" w:gutter="0" w:footer="0" w:header="0"/>
        </w:sectPr>
      </w:pPr>
    </w:p>
    <w:bookmarkStart w:id="183" w:name="page184"/>
    <w:bookmarkEnd w:id="183"/>
    <w:p>
      <w:pPr>
        <w:jc w:val="both"/>
        <w:spacing w:after="0" w:line="306" w:lineRule="auto"/>
        <w:rPr>
          <w:sz w:val="20"/>
          <w:szCs w:val="20"/>
          <w:color w:val="auto"/>
        </w:rPr>
      </w:pPr>
      <w:r>
        <w:rPr>
          <w:rFonts w:ascii="Arial" w:cs="Arial" w:eastAsia="Arial" w:hAnsi="Arial"/>
          <w:sz w:val="17"/>
          <w:szCs w:val="17"/>
          <w:color w:val="auto"/>
        </w:rPr>
        <w:t>own legal, accounting, regulatory and tax advisors to the extent it has deemed appropriate, and (C) each of the Borrower and Holdings is capable of evaluating, and understands and accepts, the terms, risks and conditions of the transactions contemplated hereby and by the other Loan Documents;</w:t>
      </w:r>
    </w:p>
    <w:p>
      <w:pPr>
        <w:jc w:val="both"/>
        <w:ind w:firstLine="5"/>
        <w:spacing w:after="0" w:line="312" w:lineRule="auto"/>
        <w:tabs>
          <w:tab w:leader="none" w:pos="29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each of the Administrative Agent, the Lenders and the Lead Arranger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Administrative Agent, the Lenders and the Lead Arranger has any obligation to the Borrower, Holdings or any of their respective Affiliates with respect to the transactions contemplated hereby except those obligations expressly set forth herein and in the other Loan Documents; and (iii) the Administrative Agent, the Lenders and the Lead Arranger and their respective Affiliates may be engaged in a broad range of transactions that involve interests that differ from those of the Borrower, Holdings and their respective Affiliates, and none of the Administrative Agent, the Lenders and the Lead Arranger has any obligation to disclose any of such interests to the Borrower, Holdings or any of their respective Affiliates. To the fullest extent permitted by law, each of the Borrower and Holdings hereby waives and releases any claims that it may have against the Administrative Agent, the Lenders and the Lead Arranger with respect to any breach or alleged breach of agency or fiduciary duty in connection with any aspect of any transaction contemplated hereby.</w:t>
      </w:r>
    </w:p>
    <w:p>
      <w:pPr>
        <w:spacing w:after="0" w:line="158"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9.16. </w:t>
      </w:r>
      <w:r>
        <w:rPr>
          <w:rFonts w:ascii="Arial" w:cs="Arial" w:eastAsia="Arial" w:hAnsi="Arial"/>
          <w:sz w:val="20"/>
          <w:szCs w:val="20"/>
          <w:i w:val="1"/>
          <w:iCs w:val="1"/>
          <w:color w:val="auto"/>
        </w:rPr>
        <w:t>Interest Rate Limitation</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Notwithstanding anything to the contrary contained in any Loan Document, the interest paid or</w:t>
      </w:r>
      <w:r>
        <w:rPr>
          <w:rFonts w:ascii="Arial" w:cs="Arial" w:eastAsia="Arial" w:hAnsi="Arial"/>
          <w:sz w:val="20"/>
          <w:szCs w:val="20"/>
          <w:color w:val="auto"/>
        </w:rPr>
        <w:t xml:space="preserve"> </w:t>
      </w:r>
      <w:r>
        <w:rPr>
          <w:rFonts w:ascii="Arial" w:cs="Arial" w:eastAsia="Arial" w:hAnsi="Arial"/>
          <w:sz w:val="18"/>
          <w:szCs w:val="18"/>
          <w:color w:val="auto"/>
        </w:rPr>
        <w:t>agreed to be paid under the Loan Documents shall not exceed the maximum rate of non-usurious interest permitted by applicable law (the “</w:t>
      </w:r>
      <w:r>
        <w:rPr>
          <w:rFonts w:ascii="Arial" w:cs="Arial" w:eastAsia="Arial" w:hAnsi="Arial"/>
          <w:sz w:val="18"/>
          <w:szCs w:val="18"/>
          <w:b w:val="1"/>
          <w:bCs w:val="1"/>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9" w:lineRule="exact"/>
        <w:rPr>
          <w:sz w:val="20"/>
          <w:szCs w:val="20"/>
          <w:color w:val="auto"/>
        </w:rPr>
      </w:pPr>
    </w:p>
    <w:p>
      <w:pPr>
        <w:jc w:val="both"/>
        <w:ind w:firstLine="630"/>
        <w:spacing w:after="0" w:line="272" w:lineRule="auto"/>
        <w:rPr>
          <w:sz w:val="20"/>
          <w:szCs w:val="20"/>
          <w:color w:val="auto"/>
        </w:rPr>
      </w:pPr>
      <w:r>
        <w:rPr>
          <w:rFonts w:ascii="Arial" w:cs="Arial" w:eastAsia="Arial" w:hAnsi="Arial"/>
          <w:sz w:val="21"/>
          <w:szCs w:val="21"/>
          <w:color w:val="auto"/>
        </w:rPr>
        <w:t xml:space="preserve">Section 9.17. </w:t>
      </w:r>
      <w:r>
        <w:rPr>
          <w:rFonts w:ascii="Arial" w:cs="Arial" w:eastAsia="Arial" w:hAnsi="Arial"/>
          <w:sz w:val="21"/>
          <w:szCs w:val="21"/>
          <w:i w:val="1"/>
          <w:iCs w:val="1"/>
          <w:color w:val="auto"/>
        </w:rPr>
        <w:t>Lender Action</w:t>
      </w:r>
      <w:r>
        <w:rPr>
          <w:rFonts w:ascii="Arial" w:cs="Arial" w:eastAsia="Arial" w:hAnsi="Arial"/>
          <w:sz w:val="19"/>
          <w:szCs w:val="19"/>
          <w:i w:val="1"/>
          <w:iCs w:val="1"/>
          <w:color w:val="auto"/>
        </w:rPr>
        <w:t>.</w:t>
      </w:r>
      <w:r>
        <w:rPr>
          <w:rFonts w:ascii="Arial" w:cs="Arial" w:eastAsia="Arial" w:hAnsi="Arial"/>
          <w:sz w:val="21"/>
          <w:szCs w:val="21"/>
          <w:color w:val="auto"/>
        </w:rPr>
        <w:t xml:space="preserve"> </w:t>
      </w:r>
      <w:r>
        <w:rPr>
          <w:rFonts w:ascii="Arial" w:cs="Arial" w:eastAsia="Arial" w:hAnsi="Arial"/>
          <w:sz w:val="19"/>
          <w:szCs w:val="19"/>
          <w:color w:val="auto"/>
        </w:rPr>
        <w:t>Each Lender and the Issuing Bank agrees that it shall not take or institute any actions or proceedings,</w:t>
      </w:r>
      <w:r>
        <w:rPr>
          <w:rFonts w:ascii="Arial" w:cs="Arial" w:eastAsia="Arial" w:hAnsi="Arial"/>
          <w:sz w:val="21"/>
          <w:szCs w:val="21"/>
          <w:color w:val="auto"/>
        </w:rPr>
        <w:t xml:space="preserve"> </w:t>
      </w:r>
      <w:r>
        <w:rPr>
          <w:rFonts w:ascii="Arial" w:cs="Arial" w:eastAsia="Arial" w:hAnsi="Arial"/>
          <w:sz w:val="19"/>
          <w:szCs w:val="19"/>
          <w:color w:val="auto"/>
        </w:rPr>
        <w:t>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The provisions of this Section 9.17 are for the sole benefit of the Lenders and the Issuing Bank and shall not afford any right to, or constitute a defense available to, any Loan Party.</w:t>
      </w:r>
    </w:p>
    <w:p>
      <w:pPr>
        <w:spacing w:after="0" w:line="183"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20"/>
          <w:szCs w:val="20"/>
          <w:color w:val="auto"/>
        </w:rPr>
        <w:t xml:space="preserve">Section 9.18. </w:t>
      </w:r>
      <w:r>
        <w:rPr>
          <w:rFonts w:ascii="Arial" w:cs="Arial" w:eastAsia="Arial" w:hAnsi="Arial"/>
          <w:sz w:val="20"/>
          <w:szCs w:val="20"/>
          <w:i w:val="1"/>
          <w:iCs w:val="1"/>
          <w:color w:val="auto"/>
        </w:rPr>
        <w:t>Marshalling; Payments Set Aside</w:t>
      </w:r>
      <w:r>
        <w:rPr>
          <w:rFonts w:ascii="Arial" w:cs="Arial" w:eastAsia="Arial" w:hAnsi="Arial"/>
          <w:sz w:val="18"/>
          <w:szCs w:val="18"/>
          <w:i w:val="1"/>
          <w:i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Neither the Administrative Agent nor any Lender shall be under any obligation to</w:t>
      </w:r>
      <w:r>
        <w:rPr>
          <w:rFonts w:ascii="Arial" w:cs="Arial" w:eastAsia="Arial" w:hAnsi="Arial"/>
          <w:sz w:val="20"/>
          <w:szCs w:val="20"/>
          <w:color w:val="auto"/>
        </w:rPr>
        <w:t xml:space="preserve"> </w:t>
      </w:r>
      <w:r>
        <w:rPr>
          <w:rFonts w:ascii="Arial" w:cs="Arial" w:eastAsia="Arial" w:hAnsi="Arial"/>
          <w:sz w:val="18"/>
          <w:szCs w:val="18"/>
          <w:color w:val="auto"/>
        </w:rPr>
        <w:t>marshal any assets in favor of any Loan Party or any other Person or against or in payment of any or all of the Secured Obligations. To the extent that any Loan Party makes a payment or payments to the Administrative Agent or Lenders (or to the Administrative Agent, on behalf of Lenders), or the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69"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9.19. </w:t>
      </w:r>
      <w:r>
        <w:rPr>
          <w:rFonts w:ascii="Arial" w:cs="Arial" w:eastAsia="Arial" w:hAnsi="Arial"/>
          <w:sz w:val="21"/>
          <w:szCs w:val="21"/>
          <w:i w:val="1"/>
          <w:iCs w:val="1"/>
          <w:color w:val="auto"/>
        </w:rPr>
        <w:t>Margin Stock; Collateral</w:t>
      </w:r>
      <w:r>
        <w:rPr>
          <w:rFonts w:ascii="Arial" w:cs="Arial" w:eastAsia="Arial" w:hAnsi="Arial"/>
          <w:sz w:val="19"/>
          <w:szCs w:val="19"/>
          <w:color w:val="auto"/>
        </w:rPr>
        <w:t>. Each of the Lenders represents to the Administrative Agent and each of the other Lenders that</w:t>
      </w:r>
      <w:r>
        <w:rPr>
          <w:rFonts w:ascii="Arial" w:cs="Arial" w:eastAsia="Arial" w:hAnsi="Arial"/>
          <w:sz w:val="21"/>
          <w:szCs w:val="21"/>
          <w:color w:val="auto"/>
        </w:rPr>
        <w:t xml:space="preserve"> </w:t>
      </w:r>
      <w:r>
        <w:rPr>
          <w:rFonts w:ascii="Arial" w:cs="Arial" w:eastAsia="Arial" w:hAnsi="Arial"/>
          <w:sz w:val="19"/>
          <w:szCs w:val="19"/>
          <w:color w:val="auto"/>
        </w:rPr>
        <w:t>it in good faith is not relying upon any margin stock (within the meaning of Regulation U of the Board of Governors) as collateral in the extension or maintenance of the credit provided in this Agreement.</w:t>
      </w:r>
    </w:p>
    <w:p>
      <w:pPr>
        <w:spacing w:after="0" w:line="179"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21"/>
          <w:szCs w:val="21"/>
          <w:color w:val="auto"/>
        </w:rPr>
        <w:t xml:space="preserve">Section 9.20. </w:t>
      </w:r>
      <w:r>
        <w:rPr>
          <w:rFonts w:ascii="Arial" w:cs="Arial" w:eastAsia="Arial" w:hAnsi="Arial"/>
          <w:sz w:val="21"/>
          <w:szCs w:val="21"/>
          <w:i w:val="1"/>
          <w:iCs w:val="1"/>
          <w:color w:val="auto"/>
        </w:rPr>
        <w:t>Acknowledgement and Consent to Bail</w:t>
      </w:r>
      <w:r>
        <w:rPr>
          <w:rFonts w:ascii="Arial" w:cs="Arial" w:eastAsia="Arial" w:hAnsi="Arial"/>
          <w:sz w:val="21"/>
          <w:szCs w:val="21"/>
          <w:color w:val="auto"/>
        </w:rPr>
        <w:t>-</w:t>
      </w:r>
      <w:r>
        <w:rPr>
          <w:rFonts w:ascii="Arial" w:cs="Arial" w:eastAsia="Arial" w:hAnsi="Arial"/>
          <w:sz w:val="21"/>
          <w:szCs w:val="21"/>
          <w:i w:val="1"/>
          <w:iCs w:val="1"/>
          <w:color w:val="auto"/>
        </w:rPr>
        <w:t>in of EEA Financial Institutions</w:t>
      </w:r>
      <w:r>
        <w:rPr>
          <w:rFonts w:ascii="Arial" w:cs="Arial" w:eastAsia="Arial" w:hAnsi="Arial"/>
          <w:sz w:val="19"/>
          <w:szCs w:val="19"/>
          <w:color w:val="auto"/>
        </w:rPr>
        <w:t>. Notwithstanding anything to the contrary in</w:t>
      </w:r>
      <w:r>
        <w:rPr>
          <w:rFonts w:ascii="Arial" w:cs="Arial" w:eastAsia="Arial" w:hAnsi="Arial"/>
          <w:sz w:val="21"/>
          <w:szCs w:val="21"/>
          <w:color w:val="auto"/>
        </w:rPr>
        <w:t xml:space="preserve"> </w:t>
      </w:r>
      <w:r>
        <w:rPr>
          <w:rFonts w:ascii="Arial" w:cs="Arial" w:eastAsia="Arial" w:hAnsi="Arial"/>
          <w:sz w:val="19"/>
          <w:szCs w:val="19"/>
          <w:color w:val="auto"/>
        </w:rPr>
        <w:t>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2" w:lineRule="exact"/>
        <w:rPr>
          <w:sz w:val="20"/>
          <w:szCs w:val="20"/>
          <w:color w:val="auto"/>
        </w:rPr>
      </w:pPr>
    </w:p>
    <w:p>
      <w:pPr>
        <w:ind w:firstLine="819"/>
        <w:spacing w:after="0" w:line="286" w:lineRule="auto"/>
        <w:tabs>
          <w:tab w:leader="none" w:pos="1327"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an EEA Resolution Authority to any such liabilities arising hereunder which may be payable to it by any party hereto that is an EEA Financial Institution; and</w:t>
      </w:r>
    </w:p>
    <w:p>
      <w:pPr>
        <w:spacing w:after="0" w:line="146" w:lineRule="exact"/>
        <w:rPr>
          <w:rFonts w:ascii="Arial" w:cs="Arial" w:eastAsia="Arial" w:hAnsi="Arial"/>
          <w:sz w:val="21"/>
          <w:szCs w:val="21"/>
          <w:color w:val="auto"/>
        </w:rPr>
      </w:pPr>
    </w:p>
    <w:p>
      <w:pPr>
        <w:ind w:left="1240" w:hanging="421"/>
        <w:spacing w:after="0"/>
        <w:tabs>
          <w:tab w:leader="none" w:pos="124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to the extent applicable:</w:t>
      </w:r>
    </w:p>
    <w:p>
      <w:pPr>
        <w:spacing w:after="0" w:line="230" w:lineRule="exact"/>
        <w:rPr>
          <w:rFonts w:ascii="Arial" w:cs="Arial" w:eastAsia="Arial" w:hAnsi="Arial"/>
          <w:sz w:val="21"/>
          <w:szCs w:val="21"/>
          <w:color w:val="auto"/>
        </w:rPr>
      </w:pPr>
    </w:p>
    <w:p>
      <w:pPr>
        <w:ind w:left="1960" w:hanging="380"/>
        <w:spacing w:after="0"/>
        <w:tabs>
          <w:tab w:leader="none" w:pos="1960" w:val="left"/>
        </w:tabs>
        <w:numPr>
          <w:ilvl w:val="1"/>
          <w:numId w:val="178"/>
        </w:numPr>
        <w:rPr>
          <w:rFonts w:ascii="Arial" w:cs="Arial" w:eastAsia="Arial" w:hAnsi="Arial"/>
          <w:sz w:val="21"/>
          <w:szCs w:val="21"/>
          <w:color w:val="auto"/>
        </w:rPr>
      </w:pPr>
      <w:r>
        <w:rPr>
          <w:rFonts w:ascii="Arial" w:cs="Arial" w:eastAsia="Arial" w:hAnsi="Arial"/>
          <w:sz w:val="21"/>
          <w:szCs w:val="21"/>
          <w:color w:val="auto"/>
        </w:rPr>
        <w:t>reduction in full or in part or cancellation of any such liability;</w:t>
      </w:r>
    </w:p>
    <w:p>
      <w:pPr>
        <w:spacing w:after="0" w:line="230" w:lineRule="exact"/>
        <w:rPr>
          <w:rFonts w:ascii="Arial" w:cs="Arial" w:eastAsia="Arial" w:hAnsi="Arial"/>
          <w:sz w:val="21"/>
          <w:szCs w:val="21"/>
          <w:color w:val="auto"/>
        </w:rPr>
      </w:pPr>
    </w:p>
    <w:p>
      <w:pPr>
        <w:jc w:val="both"/>
        <w:ind w:left="640" w:firstLine="940"/>
        <w:spacing w:after="0" w:line="260" w:lineRule="auto"/>
        <w:tabs>
          <w:tab w:leader="none" w:pos="2082" w:val="left"/>
        </w:tabs>
        <w:numPr>
          <w:ilvl w:val="1"/>
          <w:numId w:val="178"/>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4" w:lineRule="exact"/>
        <w:rPr>
          <w:rFonts w:ascii="Arial" w:cs="Arial" w:eastAsia="Arial" w:hAnsi="Arial"/>
          <w:sz w:val="21"/>
          <w:szCs w:val="21"/>
          <w:color w:val="auto"/>
        </w:rPr>
      </w:pPr>
    </w:p>
    <w:p>
      <w:pPr>
        <w:ind w:left="640" w:firstLine="940"/>
        <w:spacing w:after="0" w:line="286" w:lineRule="auto"/>
        <w:tabs>
          <w:tab w:leader="none" w:pos="2127" w:val="left"/>
        </w:tabs>
        <w:numPr>
          <w:ilvl w:val="1"/>
          <w:numId w:val="178"/>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any EEA Resolution Authority.</w:t>
      </w:r>
    </w:p>
    <w:p>
      <w:pPr>
        <w:spacing w:after="0" w:line="146"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9.21.</w:t>
      </w:r>
      <w:r>
        <w:rPr>
          <w:sz w:val="20"/>
          <w:szCs w:val="20"/>
          <w:color w:val="auto"/>
        </w:rPr>
        <w:tab/>
      </w:r>
      <w:r>
        <w:rPr>
          <w:rFonts w:ascii="Arial" w:cs="Arial" w:eastAsia="Arial" w:hAnsi="Arial"/>
          <w:sz w:val="19"/>
          <w:szCs w:val="19"/>
          <w:i w:val="1"/>
          <w:iCs w:val="1"/>
          <w:color w:val="auto"/>
        </w:rPr>
        <w:t>Certain ERISA Matters</w:t>
      </w:r>
      <w:r>
        <w:rPr>
          <w:rFonts w:ascii="Arial" w:cs="Arial" w:eastAsia="Arial" w:hAnsi="Arial"/>
          <w:sz w:val="19"/>
          <w:szCs w:val="19"/>
          <w:color w:val="auto"/>
        </w:rPr>
        <w:t>.</w:t>
      </w:r>
    </w:p>
    <w:p>
      <w:pPr>
        <w:sectPr>
          <w:pgSz w:w="11900" w:h="16838" w:orient="portrait"/>
          <w:cols w:equalWidth="0" w:num="1">
            <w:col w:w="11420"/>
          </w:cols>
          <w:pgMar w:left="240" w:top="136" w:right="239" w:bottom="244" w:gutter="0" w:footer="0" w:header="0"/>
        </w:sectPr>
      </w:pPr>
    </w:p>
    <w:bookmarkStart w:id="184" w:name="page185"/>
    <w:bookmarkEnd w:id="184"/>
    <w:p>
      <w:pPr>
        <w:jc w:val="both"/>
        <w:ind w:left="-819" w:firstLine="819"/>
        <w:spacing w:after="0" w:line="296" w:lineRule="auto"/>
        <w:tabs>
          <w:tab w:leader="none" w:pos="40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at least one of the following is and will be true:</w:t>
      </w:r>
    </w:p>
    <w:p>
      <w:pPr>
        <w:spacing w:after="0" w:line="142" w:lineRule="exact"/>
        <w:rPr>
          <w:rFonts w:ascii="Arial" w:cs="Arial" w:eastAsia="Arial" w:hAnsi="Arial"/>
          <w:sz w:val="19"/>
          <w:szCs w:val="19"/>
          <w:color w:val="auto"/>
        </w:rPr>
      </w:pPr>
    </w:p>
    <w:p>
      <w:pPr>
        <w:ind w:left="-179" w:firstLine="940"/>
        <w:spacing w:after="0" w:line="341" w:lineRule="auto"/>
        <w:tabs>
          <w:tab w:leader="none" w:pos="1205" w:val="left"/>
        </w:tabs>
        <w:numPr>
          <w:ilvl w:val="1"/>
          <w:numId w:val="179"/>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29 CFR § 2510.3-101, as modified by Section 3(42) of ERISA) of one or more Benefit Plans in connection with the Loans, the Letters of Credit or the Commitments,</w:t>
      </w:r>
    </w:p>
    <w:p>
      <w:pPr>
        <w:spacing w:after="0" w:line="100" w:lineRule="exact"/>
        <w:rPr>
          <w:rFonts w:ascii="Arial" w:cs="Arial" w:eastAsia="Arial" w:hAnsi="Arial"/>
          <w:sz w:val="19"/>
          <w:szCs w:val="19"/>
          <w:color w:val="auto"/>
        </w:rPr>
      </w:pPr>
    </w:p>
    <w:p>
      <w:pPr>
        <w:jc w:val="both"/>
        <w:ind w:left="-179" w:firstLine="940"/>
        <w:spacing w:after="0" w:line="268" w:lineRule="auto"/>
        <w:tabs>
          <w:tab w:leader="none" w:pos="1276" w:val="left"/>
        </w:tabs>
        <w:numPr>
          <w:ilvl w:val="1"/>
          <w:numId w:val="179"/>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0" w:lineRule="exact"/>
        <w:rPr>
          <w:rFonts w:ascii="Arial" w:cs="Arial" w:eastAsia="Arial" w:hAnsi="Arial"/>
          <w:sz w:val="20"/>
          <w:szCs w:val="20"/>
          <w:color w:val="auto"/>
        </w:rPr>
      </w:pPr>
    </w:p>
    <w:p>
      <w:pPr>
        <w:jc w:val="both"/>
        <w:ind w:left="-179" w:firstLine="940"/>
        <w:spacing w:after="0" w:line="253" w:lineRule="auto"/>
        <w:tabs>
          <w:tab w:leader="none" w:pos="1348" w:val="left"/>
        </w:tabs>
        <w:numPr>
          <w:ilvl w:val="1"/>
          <w:numId w:val="179"/>
        </w:numPr>
        <w:rPr>
          <w:rFonts w:ascii="Arial" w:cs="Arial" w:eastAsia="Arial" w:hAnsi="Arial"/>
          <w:sz w:val="21"/>
          <w:szCs w:val="21"/>
          <w:color w:val="auto"/>
        </w:rPr>
      </w:pPr>
      <w:r>
        <w:rPr>
          <w:rFonts w:ascii="Arial" w:cs="Arial" w:eastAsia="Arial" w:hAnsi="Arial"/>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1" w:lineRule="exact"/>
        <w:rPr>
          <w:rFonts w:ascii="Arial" w:cs="Arial" w:eastAsia="Arial" w:hAnsi="Arial"/>
          <w:sz w:val="21"/>
          <w:szCs w:val="21"/>
          <w:color w:val="auto"/>
        </w:rPr>
      </w:pPr>
    </w:p>
    <w:p>
      <w:pPr>
        <w:ind w:left="-179" w:firstLine="940"/>
        <w:spacing w:after="0" w:line="286" w:lineRule="auto"/>
        <w:tabs>
          <w:tab w:leader="none" w:pos="1271" w:val="left"/>
        </w:tabs>
        <w:numPr>
          <w:ilvl w:val="1"/>
          <w:numId w:val="179"/>
        </w:numPr>
        <w:rPr>
          <w:rFonts w:ascii="Arial" w:cs="Arial" w:eastAsia="Arial" w:hAnsi="Arial"/>
          <w:sz w:val="21"/>
          <w:szCs w:val="21"/>
          <w:color w:val="auto"/>
        </w:rPr>
      </w:pPr>
      <w:r>
        <w:rPr>
          <w:rFonts w:ascii="Arial" w:cs="Arial" w:eastAsia="Arial" w:hAnsi="Arial"/>
          <w:sz w:val="21"/>
          <w:szCs w:val="21"/>
          <w:color w:val="auto"/>
        </w:rPr>
        <w:t>(iv) such other representation, warranty and covenant as may be agreed in writing between the Administrative Agent, in its sole discretion, and such Lender.</w:t>
      </w:r>
    </w:p>
    <w:p>
      <w:pPr>
        <w:spacing w:after="0" w:line="146" w:lineRule="exact"/>
        <w:rPr>
          <w:rFonts w:ascii="Arial" w:cs="Arial" w:eastAsia="Arial" w:hAnsi="Arial"/>
          <w:sz w:val="21"/>
          <w:szCs w:val="21"/>
          <w:color w:val="auto"/>
        </w:rPr>
      </w:pPr>
    </w:p>
    <w:p>
      <w:pPr>
        <w:jc w:val="both"/>
        <w:ind w:left="-819" w:firstLine="819"/>
        <w:spacing w:after="0" w:line="255" w:lineRule="auto"/>
        <w:tabs>
          <w:tab w:leader="none" w:pos="428" w:val="left"/>
        </w:tabs>
        <w:numPr>
          <w:ilvl w:val="0"/>
          <w:numId w:val="179"/>
        </w:numPr>
        <w:rPr>
          <w:rFonts w:ascii="Arial" w:cs="Arial" w:eastAsia="Arial" w:hAnsi="Arial"/>
          <w:sz w:val="21"/>
          <w:szCs w:val="21"/>
          <w:color w:val="auto"/>
        </w:rPr>
      </w:pPr>
      <w:r>
        <w:rPr>
          <w:rFonts w:ascii="Arial" w:cs="Arial" w:eastAsia="Arial" w:hAnsi="Arial"/>
          <w:sz w:val="21"/>
          <w:szCs w:val="21"/>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w:t>
      </w:r>
    </w:p>
    <w:p>
      <w:pPr>
        <w:spacing w:after="0" w:line="179" w:lineRule="exact"/>
        <w:rPr>
          <w:rFonts w:ascii="Arial" w:cs="Arial" w:eastAsia="Arial" w:hAnsi="Arial"/>
          <w:sz w:val="21"/>
          <w:szCs w:val="21"/>
          <w:color w:val="auto"/>
        </w:rPr>
      </w:pPr>
    </w:p>
    <w:p>
      <w:pPr>
        <w:jc w:val="both"/>
        <w:ind w:left="-179" w:firstLine="940"/>
        <w:spacing w:after="0" w:line="286" w:lineRule="auto"/>
        <w:tabs>
          <w:tab w:leader="none" w:pos="1179" w:val="left"/>
        </w:tabs>
        <w:numPr>
          <w:ilvl w:val="1"/>
          <w:numId w:val="179"/>
        </w:numPr>
        <w:rPr>
          <w:rFonts w:ascii="Arial" w:cs="Arial" w:eastAsia="Arial" w:hAnsi="Arial"/>
          <w:sz w:val="20"/>
          <w:szCs w:val="20"/>
          <w:color w:val="auto"/>
        </w:rPr>
      </w:pPr>
      <w:r>
        <w:rPr>
          <w:rFonts w:ascii="Arial" w:cs="Arial" w:eastAsia="Arial" w:hAnsi="Arial"/>
          <w:sz w:val="20"/>
          <w:szCs w:val="20"/>
          <w:color w:val="auto"/>
        </w:rPr>
        <w:t>none of the Administrative Agent or the Lead Arranger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49" w:lineRule="exact"/>
        <w:rPr>
          <w:rFonts w:ascii="Arial" w:cs="Arial" w:eastAsia="Arial" w:hAnsi="Arial"/>
          <w:sz w:val="20"/>
          <w:szCs w:val="20"/>
          <w:color w:val="auto"/>
        </w:rPr>
      </w:pPr>
    </w:p>
    <w:p>
      <w:pPr>
        <w:jc w:val="both"/>
        <w:ind w:left="-179" w:firstLine="940"/>
        <w:spacing w:after="0" w:line="257" w:lineRule="auto"/>
        <w:tabs>
          <w:tab w:leader="none" w:pos="1368" w:val="left"/>
        </w:tabs>
        <w:numPr>
          <w:ilvl w:val="1"/>
          <w:numId w:val="179"/>
        </w:numPr>
        <w:rPr>
          <w:rFonts w:ascii="Arial" w:cs="Arial" w:eastAsia="Arial" w:hAnsi="Arial"/>
          <w:sz w:val="21"/>
          <w:szCs w:val="21"/>
          <w:color w:val="auto"/>
        </w:rPr>
      </w:pPr>
      <w:r>
        <w:rPr>
          <w:rFonts w:ascii="Arial" w:cs="Arial" w:eastAsia="Arial" w:hAnsi="Arial"/>
          <w:sz w:val="21"/>
          <w:szCs w:val="21"/>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76" w:lineRule="exact"/>
        <w:rPr>
          <w:rFonts w:ascii="Arial" w:cs="Arial" w:eastAsia="Arial" w:hAnsi="Arial"/>
          <w:sz w:val="21"/>
          <w:szCs w:val="21"/>
          <w:color w:val="auto"/>
        </w:rPr>
      </w:pPr>
    </w:p>
    <w:p>
      <w:pPr>
        <w:jc w:val="both"/>
        <w:ind w:left="-179" w:firstLine="940"/>
        <w:spacing w:after="0" w:line="260" w:lineRule="auto"/>
        <w:tabs>
          <w:tab w:leader="none" w:pos="1413" w:val="left"/>
        </w:tabs>
        <w:numPr>
          <w:ilvl w:val="1"/>
          <w:numId w:val="179"/>
        </w:numPr>
        <w:rPr>
          <w:rFonts w:ascii="Arial" w:cs="Arial" w:eastAsia="Arial" w:hAnsi="Arial"/>
          <w:sz w:val="21"/>
          <w:szCs w:val="21"/>
          <w:color w:val="auto"/>
        </w:rPr>
      </w:pPr>
      <w:r>
        <w:rPr>
          <w:rFonts w:ascii="Arial" w:cs="Arial" w:eastAsia="Arial" w:hAnsi="Arial"/>
          <w:sz w:val="21"/>
          <w:szCs w:val="21"/>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74" w:lineRule="exact"/>
        <w:rPr>
          <w:rFonts w:ascii="Arial" w:cs="Arial" w:eastAsia="Arial" w:hAnsi="Arial"/>
          <w:sz w:val="21"/>
          <w:szCs w:val="21"/>
          <w:color w:val="auto"/>
        </w:rPr>
      </w:pPr>
    </w:p>
    <w:p>
      <w:pPr>
        <w:jc w:val="both"/>
        <w:ind w:left="-179" w:firstLine="940"/>
        <w:spacing w:after="0" w:line="296" w:lineRule="auto"/>
        <w:tabs>
          <w:tab w:leader="none" w:pos="1402" w:val="left"/>
        </w:tabs>
        <w:numPr>
          <w:ilvl w:val="1"/>
          <w:numId w:val="179"/>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42" w:lineRule="exact"/>
        <w:rPr>
          <w:rFonts w:ascii="Arial" w:cs="Arial" w:eastAsia="Arial" w:hAnsi="Arial"/>
          <w:sz w:val="19"/>
          <w:szCs w:val="19"/>
          <w:color w:val="auto"/>
        </w:rPr>
      </w:pPr>
    </w:p>
    <w:p>
      <w:pPr>
        <w:jc w:val="both"/>
        <w:ind w:left="-179" w:firstLine="940"/>
        <w:spacing w:after="0" w:line="267" w:lineRule="auto"/>
        <w:tabs>
          <w:tab w:leader="none" w:pos="1199" w:val="left"/>
        </w:tabs>
        <w:numPr>
          <w:ilvl w:val="1"/>
          <w:numId w:val="179"/>
        </w:numPr>
        <w:rPr>
          <w:rFonts w:ascii="Arial" w:cs="Arial" w:eastAsia="Arial" w:hAnsi="Arial"/>
          <w:sz w:val="21"/>
          <w:szCs w:val="21"/>
          <w:color w:val="auto"/>
        </w:rPr>
      </w:pPr>
      <w:r>
        <w:rPr>
          <w:rFonts w:ascii="Arial" w:cs="Arial" w:eastAsia="Arial" w:hAnsi="Arial"/>
          <w:sz w:val="21"/>
          <w:szCs w:val="21"/>
          <w:color w:val="auto"/>
        </w:rPr>
        <w:t>no fee or other compensation is being paid directly to the Administrative Agent or the Lead Arranger or any of their respective Affiliates for investment advice (as opposed to other services) in connection with the Loans, the Letters of Credit, the Commitments or this Agreement.</w:t>
      </w:r>
    </w:p>
    <w:p>
      <w:pPr>
        <w:spacing w:after="0" w:line="165" w:lineRule="exact"/>
        <w:rPr>
          <w:rFonts w:ascii="Arial" w:cs="Arial" w:eastAsia="Arial" w:hAnsi="Arial"/>
          <w:sz w:val="21"/>
          <w:szCs w:val="21"/>
          <w:color w:val="auto"/>
        </w:rPr>
      </w:pPr>
    </w:p>
    <w:p>
      <w:pPr>
        <w:jc w:val="both"/>
        <w:ind w:left="-819" w:firstLine="819"/>
        <w:spacing w:after="0" w:line="283" w:lineRule="auto"/>
        <w:tabs>
          <w:tab w:leader="none" w:pos="40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Administrative Agent and the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w:t>
      </w:r>
    </w:p>
    <w:p>
      <w:pPr>
        <w:sectPr>
          <w:pgSz w:w="11900" w:h="16838" w:orient="portrait"/>
          <w:cols w:equalWidth="0" w:num="1">
            <w:col w:w="10601"/>
          </w:cols>
          <w:pgMar w:left="1059" w:top="131" w:right="239" w:bottom="0" w:gutter="0" w:footer="0" w:header="0"/>
        </w:sectPr>
      </w:pPr>
    </w:p>
    <w:bookmarkStart w:id="185" w:name="page186"/>
    <w:bookmarkEnd w:id="185"/>
    <w:p>
      <w:pPr>
        <w:jc w:val="both"/>
        <w:spacing w:after="0" w:line="327" w:lineRule="auto"/>
        <w:rPr>
          <w:sz w:val="20"/>
          <w:szCs w:val="20"/>
          <w:color w:val="auto"/>
        </w:rPr>
      </w:pPr>
      <w:r>
        <w:rPr>
          <w:rFonts w:ascii="Arial" w:cs="Arial" w:eastAsia="Arial" w:hAnsi="Arial"/>
          <w:sz w:val="19"/>
          <w:szCs w:val="19"/>
          <w:color w:val="auto"/>
        </w:rPr>
        <w:t>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(aaa)</w:t>
      </w:r>
    </w:p>
    <w:p>
      <w:pPr>
        <w:sectPr>
          <w:pgSz w:w="11900" w:h="16838" w:orient="portrait"/>
          <w:cols w:equalWidth="0" w:num="1">
            <w:col w:w="11420"/>
          </w:cols>
          <w:pgMar w:left="240" w:top="131"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30"/>
          <w:szCs w:val="30"/>
          <w:b w:val="1"/>
          <w:bCs w:val="1"/>
          <w:color w:val="1F1F1F"/>
        </w:rPr>
        <w:drawing>
          <wp:anchor simplePos="0" relativeHeight="251657728" behindDoc="1" locked="0" layoutInCell="0" allowOverlap="1">
            <wp:simplePos x="0" y="0"/>
            <wp:positionH relativeFrom="page">
              <wp:posOffset>6772910</wp:posOffset>
            </wp:positionH>
            <wp:positionV relativeFrom="page">
              <wp:posOffset>88900</wp:posOffset>
            </wp:positionV>
            <wp:extent cx="633095" cy="266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33095" cy="266700"/>
                    </a:xfrm>
                    <a:prstGeom prst="rect">
                      <a:avLst/>
                    </a:prstGeom>
                    <a:noFill/>
                  </pic:spPr>
                </pic:pic>
              </a:graphicData>
            </a:graphic>
          </wp:anchor>
        </w:drawing>
        <w:t>Virtu Financial Operating LLC</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9"/>
          <w:szCs w:val="19"/>
          <w:color w:val="1F1F1F"/>
        </w:rPr>
        <w:t>900 Third Avenue, 29</w:t>
      </w:r>
      <w:r>
        <w:rPr>
          <w:rFonts w:ascii="Arial" w:cs="Arial" w:eastAsia="Arial" w:hAnsi="Arial"/>
          <w:sz w:val="13"/>
          <w:szCs w:val="13"/>
          <w:color w:val="1F1F1F"/>
        </w:rPr>
        <w:t>th</w:t>
      </w:r>
      <w:r>
        <w:rPr>
          <w:rFonts w:ascii="Arial" w:cs="Arial" w:eastAsia="Arial" w:hAnsi="Arial"/>
          <w:sz w:val="19"/>
          <w:szCs w:val="19"/>
          <w:color w:val="1F1F1F"/>
        </w:rPr>
        <w:t xml:space="preserve"> Fl. New York, New York 10022 </w:t>
      </w:r>
      <w:r>
        <w:rPr>
          <w:rFonts w:ascii="Arial" w:cs="Arial" w:eastAsia="Arial" w:hAnsi="Arial"/>
          <w:sz w:val="17"/>
          <w:szCs w:val="17"/>
          <w:color w:val="1F1F1F"/>
        </w:rPr>
        <w:t>Telephone:</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color w:val="1F1F1F"/>
        </w:rPr>
        <w:t>212.418.0100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7"/>
          <w:szCs w:val="17"/>
          <w:color w:val="1F1F1F"/>
        </w:rPr>
        <w:t>Facsimile: 212.418.0123</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1F1F1F"/>
        </w:rPr>
        <w:t>June 24, 2015</w:t>
      </w: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7"/>
          <w:szCs w:val="17"/>
          <w:color w:val="1F1F1F"/>
        </w:rPr>
        <w:t>Mr. Stephen Cavoli</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383B62"/>
        </w:rPr>
        <w:t xml:space="preserve">step </w:t>
      </w:r>
      <w:r>
        <w:rPr>
          <w:rFonts w:ascii="Arial" w:cs="Arial" w:eastAsia="Arial" w:hAnsi="Arial"/>
          <w:sz w:val="17"/>
          <w:szCs w:val="17"/>
          <w:u w:val="single" w:color="auto"/>
          <w:color w:val="2F313A"/>
        </w:rPr>
        <w:t>h</w:t>
      </w:r>
      <w:r>
        <w:rPr>
          <w:rFonts w:ascii="Arial" w:cs="Arial" w:eastAsia="Arial" w:hAnsi="Arial"/>
          <w:sz w:val="17"/>
          <w:szCs w:val="17"/>
          <w:u w:val="single" w:color="auto"/>
          <w:color w:val="383B62"/>
        </w:rPr>
        <w:t>encav oli@gmai</w:t>
      </w:r>
      <w:r>
        <w:rPr>
          <w:rFonts w:ascii="Arial" w:cs="Arial" w:eastAsia="Arial" w:hAnsi="Arial"/>
          <w:sz w:val="17"/>
          <w:szCs w:val="17"/>
          <w:u w:val="single" w:color="auto"/>
          <w:color w:val="381864"/>
        </w:rPr>
        <w:t>l</w:t>
      </w:r>
      <w:r>
        <w:rPr>
          <w:rFonts w:ascii="Arial" w:cs="Arial" w:eastAsia="Arial" w:hAnsi="Arial"/>
          <w:sz w:val="17"/>
          <w:szCs w:val="17"/>
          <w:u w:val="single" w:color="auto"/>
          <w:color w:val="494F69"/>
        </w:rPr>
        <w:t>.com</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7"/>
          <w:szCs w:val="17"/>
          <w:color w:val="1F1F1F"/>
        </w:rPr>
        <w:t>Dear Stephen</w:t>
      </w:r>
      <w:r>
        <w:rPr>
          <w:rFonts w:ascii="Arial" w:cs="Arial" w:eastAsia="Arial" w:hAnsi="Arial"/>
          <w:sz w:val="17"/>
          <w:szCs w:val="17"/>
          <w:color w:val="2F313A"/>
        </w:rPr>
        <w:t>:</w:t>
      </w:r>
    </w:p>
    <w:p>
      <w:pPr>
        <w:spacing w:after="0" w:line="211" w:lineRule="exact"/>
        <w:rPr>
          <w:sz w:val="20"/>
          <w:szCs w:val="20"/>
          <w:color w:val="auto"/>
        </w:rPr>
      </w:pPr>
    </w:p>
    <w:p>
      <w:pPr>
        <w:jc w:val="both"/>
        <w:ind w:left="40" w:firstLine="604"/>
        <w:spacing w:after="0" w:line="274" w:lineRule="auto"/>
        <w:rPr>
          <w:sz w:val="20"/>
          <w:szCs w:val="20"/>
          <w:color w:val="auto"/>
        </w:rPr>
      </w:pPr>
      <w:r>
        <w:rPr>
          <w:rFonts w:ascii="Arial" w:cs="Arial" w:eastAsia="Arial" w:hAnsi="Arial"/>
          <w:sz w:val="17"/>
          <w:szCs w:val="17"/>
          <w:color w:val="1F1F1F"/>
        </w:rPr>
        <w:t>Virtu Financial Operating LLC, a Delaware limited liability company (the "Company"), is pleased to offer you the position of Senior Vice President, Strategy and Market Development, with a start date of September 28, 2015 (the "Start Date"). This letter is intended to describe the terms and conditions of your employment with the Company, effective your start date, and to welcome you to the Company.</w:t>
      </w:r>
    </w:p>
    <w:p>
      <w:pPr>
        <w:spacing w:after="0" w:line="170" w:lineRule="exact"/>
        <w:rPr>
          <w:sz w:val="20"/>
          <w:szCs w:val="20"/>
          <w:color w:val="auto"/>
        </w:rPr>
      </w:pPr>
    </w:p>
    <w:p>
      <w:pPr>
        <w:jc w:val="both"/>
        <w:ind w:left="40" w:firstLine="604"/>
        <w:spacing w:after="0" w:line="274" w:lineRule="auto"/>
        <w:rPr>
          <w:sz w:val="20"/>
          <w:szCs w:val="20"/>
          <w:color w:val="auto"/>
        </w:rPr>
      </w:pPr>
      <w:r>
        <w:rPr>
          <w:rFonts w:ascii="Arial" w:cs="Arial" w:eastAsia="Arial" w:hAnsi="Arial"/>
          <w:sz w:val="17"/>
          <w:szCs w:val="17"/>
          <w:color w:val="1F1F1F"/>
        </w:rPr>
        <w:t>You will report to Douglas A. Cifu, Chief Executive Officer of Virtu Financial. This is a full-time regular position, and you agree to devote all of your business time and attention to the business of the Company and, where appropriate, its affiliates. Your starting salary will be the bi-weekly equivalent of Four Hundred Thousand Dollars ($400,000) per year, payable in accordance with our normal payroll procedures.</w:t>
      </w:r>
    </w:p>
    <w:p>
      <w:pPr>
        <w:spacing w:after="0" w:line="157" w:lineRule="exact"/>
        <w:rPr>
          <w:sz w:val="20"/>
          <w:szCs w:val="20"/>
          <w:color w:val="auto"/>
        </w:rPr>
      </w:pPr>
    </w:p>
    <w:p>
      <w:pPr>
        <w:jc w:val="both"/>
        <w:ind w:left="40" w:firstLine="604"/>
        <w:spacing w:after="0" w:line="315" w:lineRule="auto"/>
        <w:rPr>
          <w:sz w:val="20"/>
          <w:szCs w:val="20"/>
          <w:color w:val="auto"/>
        </w:rPr>
      </w:pPr>
      <w:r>
        <w:rPr>
          <w:rFonts w:ascii="Arial" w:cs="Arial" w:eastAsia="Arial" w:hAnsi="Arial"/>
          <w:sz w:val="15"/>
          <w:szCs w:val="15"/>
          <w:color w:val="1F1F1F"/>
        </w:rPr>
        <w:t>You will also be eligible for discretionary bonuses, in the sole and absolute discretion of the Company. You understand that all bonuses are discretionary and are not considered earned until final approval by the Company, and you must be an employee of the Company or one of its affiliates on the date that bonuses are paid by the Company for such year in order to be eligible for any bonus for such period. For the year ended December 31, 2015, you will receive a minimum bonus of Three Hundred Fifty Thousand ($350,000), provided you are employed by the Company or any of its affiliates when bonuses are paid for such year.</w:t>
      </w:r>
    </w:p>
    <w:p>
      <w:pPr>
        <w:spacing w:after="0" w:line="131" w:lineRule="exact"/>
        <w:rPr>
          <w:sz w:val="20"/>
          <w:szCs w:val="20"/>
          <w:color w:val="auto"/>
        </w:rPr>
      </w:pPr>
    </w:p>
    <w:p>
      <w:pPr>
        <w:jc w:val="both"/>
        <w:ind w:left="40" w:firstLine="604"/>
        <w:spacing w:after="0" w:line="265" w:lineRule="auto"/>
        <w:rPr>
          <w:sz w:val="20"/>
          <w:szCs w:val="20"/>
          <w:color w:val="auto"/>
        </w:rPr>
      </w:pPr>
      <w:r>
        <w:rPr>
          <w:rFonts w:ascii="Arial" w:cs="Arial" w:eastAsia="Arial" w:hAnsi="Arial"/>
          <w:sz w:val="17"/>
          <w:szCs w:val="17"/>
          <w:color w:val="1F1F1F"/>
        </w:rPr>
        <w:t>You will also receive as of your start date a grant (the "Grant") of Restricted Stock Units ("RSUs") in Virtu Financial, Inc. ("VF Inc.") in an amount equal to Two Million Dollars ($2,000,000) divided by the closing price of VF Inc.'s Class A Common Stock as of your start date, which RSUs shall vest in four equal installments on the first, second, third and fourth anniversaries of your start date, and which grant shall be subject to the approval of VF Inc.'s Compensation Committee and the terms and conditions of VF Inc.'s 2015 Management Incentive Plan and the terms and conditions of the definitive award documentation.</w:t>
      </w:r>
    </w:p>
    <w:p>
      <w:pPr>
        <w:spacing w:after="0" w:line="168" w:lineRule="exact"/>
        <w:rPr>
          <w:sz w:val="20"/>
          <w:szCs w:val="20"/>
          <w:color w:val="auto"/>
        </w:rPr>
      </w:pPr>
    </w:p>
    <w:p>
      <w:pPr>
        <w:jc w:val="both"/>
        <w:ind w:firstLine="604"/>
        <w:spacing w:after="0" w:line="268" w:lineRule="auto"/>
        <w:rPr>
          <w:sz w:val="20"/>
          <w:szCs w:val="20"/>
          <w:color w:val="auto"/>
        </w:rPr>
      </w:pPr>
      <w:r>
        <w:rPr>
          <w:rFonts w:ascii="Arial" w:cs="Arial" w:eastAsia="Arial" w:hAnsi="Arial"/>
          <w:sz w:val="17"/>
          <w:szCs w:val="17"/>
          <w:color w:val="1F1F1F"/>
        </w:rPr>
        <w:t>In addition, after any applicable waiting period, you will be eligible for all employee benefits offered by the Company to employees in similar positions. The Company retains the right to modify or change its benefits and compensation policy from time to time, as it deems necessary. The Company also retains the right to assign your employment agreement to a Company affiliate or require that your employment be based in any office of the Company or its affiliates. For avoidance of doubt, the position is exempt from overtime requirements.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40"/>
          </w:cols>
          <w:pgMar w:left="320" w:top="1101" w:right="239" w:bottom="1440" w:gutter="0" w:footer="0" w:header="0"/>
        </w:sectPr>
      </w:pPr>
    </w:p>
    <w:bookmarkStart w:id="187" w:name="page188"/>
    <w:bookmarkEnd w:id="187"/>
    <w:p>
      <w:pPr>
        <w:ind w:left="40"/>
        <w:spacing w:after="0"/>
        <w:rPr>
          <w:sz w:val="20"/>
          <w:szCs w:val="20"/>
          <w:color w:val="auto"/>
        </w:rPr>
      </w:pPr>
      <w:r>
        <w:rPr>
          <w:rFonts w:ascii="Arial" w:cs="Arial" w:eastAsia="Arial" w:hAnsi="Arial"/>
          <w:sz w:val="18"/>
          <w:szCs w:val="18"/>
          <w:u w:val="single" w:color="auto"/>
          <w:color w:val="343434"/>
        </w:rPr>
        <w:drawing>
          <wp:anchor simplePos="0" relativeHeight="251657728" behindDoc="1" locked="0" layoutInCell="0" allowOverlap="1">
            <wp:simplePos x="0" y="0"/>
            <wp:positionH relativeFrom="page">
              <wp:posOffset>6772910</wp:posOffset>
            </wp:positionH>
            <wp:positionV relativeFrom="page">
              <wp:posOffset>88900</wp:posOffset>
            </wp:positionV>
            <wp:extent cx="633095" cy="266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33095" cy="266700"/>
                    </a:xfrm>
                    <a:prstGeom prst="rect">
                      <a:avLst/>
                    </a:prstGeom>
                    <a:noFill/>
                  </pic:spPr>
                </pic:pic>
              </a:graphicData>
            </a:graphic>
          </wp:anchor>
        </w:drawing>
        <w:t>At-Will Employment Agreement</w:t>
      </w:r>
    </w:p>
    <w:p>
      <w:pPr>
        <w:spacing w:after="0" w:line="210" w:lineRule="exact"/>
        <w:rPr>
          <w:sz w:val="20"/>
          <w:szCs w:val="20"/>
          <w:color w:val="auto"/>
        </w:rPr>
      </w:pPr>
    </w:p>
    <w:p>
      <w:pPr>
        <w:jc w:val="both"/>
        <w:ind w:left="20" w:firstLine="591"/>
        <w:spacing w:after="0" w:line="283" w:lineRule="auto"/>
        <w:rPr>
          <w:sz w:val="20"/>
          <w:szCs w:val="20"/>
          <w:color w:val="auto"/>
        </w:rPr>
      </w:pPr>
      <w:r>
        <w:rPr>
          <w:rFonts w:ascii="Arial" w:cs="Arial" w:eastAsia="Arial" w:hAnsi="Arial"/>
          <w:sz w:val="16"/>
          <w:szCs w:val="16"/>
          <w:color w:val="1F1F1F"/>
        </w:rPr>
        <w:t>Your employment with the Company is "at-will." Therefore, your employment relationship with the Company is for an unspecified duration and can be terminated at any time, with or without cause or notice, for any reason or no reason whatsoever, at the option of either Company or you. This at-will employment relationship cannot be modified by any express or implied contract, either orally or in writing, except as described below. The at-will relationship also cannot be modified by any Company policies, procedures or practices, nor by any subsequent promotions, increases in compensation, performance evaluations, or changes in job duties. The at-will employment relationship will apply to each position you hold with the Company and can only be amended by an express written agreement signed by a Company officer explicitly stating that your employment is no longer at-will.</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343434"/>
        </w:rPr>
        <w:t xml:space="preserve">Company Policies </w:t>
      </w:r>
      <w:r>
        <w:rPr>
          <w:rFonts w:ascii="Arial" w:cs="Arial" w:eastAsia="Arial" w:hAnsi="Arial"/>
          <w:sz w:val="17"/>
          <w:szCs w:val="17"/>
          <w:u w:val="single" w:color="auto"/>
          <w:color w:val="343434"/>
        </w:rPr>
        <w:t>and</w:t>
      </w:r>
      <w:r>
        <w:rPr>
          <w:rFonts w:ascii="Arial" w:cs="Arial" w:eastAsia="Arial" w:hAnsi="Arial"/>
          <w:sz w:val="18"/>
          <w:szCs w:val="18"/>
          <w:u w:val="single" w:color="auto"/>
          <w:color w:val="343434"/>
        </w:rPr>
        <w:t xml:space="preserve"> Agreements</w:t>
      </w:r>
    </w:p>
    <w:p>
      <w:pPr>
        <w:spacing w:after="0" w:line="210" w:lineRule="exact"/>
        <w:rPr>
          <w:sz w:val="20"/>
          <w:szCs w:val="20"/>
          <w:color w:val="auto"/>
        </w:rPr>
      </w:pPr>
    </w:p>
    <w:p>
      <w:pPr>
        <w:jc w:val="both"/>
        <w:ind w:left="20" w:firstLine="591"/>
        <w:spacing w:after="0" w:line="290" w:lineRule="auto"/>
        <w:rPr>
          <w:sz w:val="20"/>
          <w:szCs w:val="20"/>
          <w:color w:val="auto"/>
        </w:rPr>
      </w:pPr>
      <w:r>
        <w:rPr>
          <w:rFonts w:ascii="Arial" w:cs="Arial" w:eastAsia="Arial" w:hAnsi="Arial"/>
          <w:sz w:val="16"/>
          <w:szCs w:val="16"/>
          <w:color w:val="1F1F1F"/>
        </w:rPr>
        <w:t xml:space="preserve">As an employee of the Company, you will be expected to abide by the Company's rules, regulations, policies and practices. </w:t>
      </w:r>
      <w:r>
        <w:rPr>
          <w:rFonts w:ascii="Arial" w:cs="Arial" w:eastAsia="Arial" w:hAnsi="Arial"/>
          <w:sz w:val="14"/>
          <w:szCs w:val="14"/>
          <w:color w:val="1F1F1F"/>
        </w:rPr>
        <w:t>In</w:t>
      </w:r>
      <w:r>
        <w:rPr>
          <w:rFonts w:ascii="Arial" w:cs="Arial" w:eastAsia="Arial" w:hAnsi="Arial"/>
          <w:sz w:val="16"/>
          <w:szCs w:val="16"/>
          <w:color w:val="1F1F1F"/>
        </w:rPr>
        <w:t xml:space="preserve"> addition, as a condition of your employment, we will ask you to sign a Proprietary Invention Assignment, Noncompetition and Confidentiality Agreement which requires, among other provisions, the assignment of patent rights to any invention made during your employment at the Company. You will also be required to submit satisfactory documentation regarding your identification and right to work in the United States no later than three days after your employment begins.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1F1F1F"/>
        </w:rPr>
        <w:t>Mutual Arbitration</w:t>
      </w:r>
    </w:p>
    <w:p>
      <w:pPr>
        <w:spacing w:after="0" w:line="224" w:lineRule="exact"/>
        <w:rPr>
          <w:sz w:val="20"/>
          <w:szCs w:val="20"/>
          <w:color w:val="auto"/>
        </w:rPr>
      </w:pPr>
    </w:p>
    <w:p>
      <w:pPr>
        <w:jc w:val="both"/>
        <w:ind w:left="20" w:firstLine="591"/>
        <w:spacing w:after="0" w:line="278" w:lineRule="auto"/>
        <w:rPr>
          <w:sz w:val="20"/>
          <w:szCs w:val="20"/>
          <w:color w:val="auto"/>
        </w:rPr>
      </w:pPr>
      <w:r>
        <w:rPr>
          <w:rFonts w:ascii="Arial" w:cs="Arial" w:eastAsia="Arial" w:hAnsi="Arial"/>
          <w:sz w:val="16"/>
          <w:szCs w:val="16"/>
          <w:color w:val="1F1F1F"/>
        </w:rPr>
        <w:t>You and the Company both knowingly and voluntarily agree to a pre-dispute arbitration clause so that should any controversy or dispute arise in connection with your employment, the cessation of your employment or the interpretation of this offer letter, you and the Company agree to arbitration any and all such claims at a site in New York, before a neutral panel of the American Arbitration Association or JAMS, as dictated by the underlying facts and circumstances giving rise to your clairn(s). Where no such forum is required by regulatory rules or directed by a court of competent jurisdiction, such forum shall be selected at the sole discretion of the Company. In the course of any arbitration pursuant to this offer letter, you and the Company agree: (a) to request that a written award be issued by the panel, and (b) that each side is entitled to receive any and all relief they would be entitled to receive in a court proceeding. You and the Company knowingly and voluntarily agree to enter into this arbitration clause and to waive any rights that might otherwise exist to request a jury trial or other court proceeding, except that you agree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The agreement between you and the Company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1F1F1F"/>
        </w:rPr>
        <w:t xml:space="preserve">Verification </w:t>
      </w:r>
      <w:r>
        <w:rPr>
          <w:rFonts w:ascii="Arial" w:cs="Arial" w:eastAsia="Arial" w:hAnsi="Arial"/>
          <w:sz w:val="18"/>
          <w:szCs w:val="18"/>
          <w:u w:val="single" w:color="auto"/>
          <w:color w:val="343434"/>
        </w:rPr>
        <w:t>o</w:t>
      </w:r>
      <w:r>
        <w:rPr>
          <w:rFonts w:ascii="Arial" w:cs="Arial" w:eastAsia="Arial" w:hAnsi="Arial"/>
          <w:sz w:val="18"/>
          <w:szCs w:val="18"/>
          <w:u w:val="single" w:color="auto"/>
          <w:color w:val="4F4F4F"/>
        </w:rPr>
        <w:t>f</w:t>
      </w:r>
      <w:r>
        <w:rPr>
          <w:rFonts w:ascii="Arial" w:cs="Arial" w:eastAsia="Arial" w:hAnsi="Arial"/>
          <w:sz w:val="18"/>
          <w:szCs w:val="18"/>
          <w:u w:val="single" w:color="auto"/>
          <w:color w:val="1F1F1F"/>
        </w:rPr>
        <w:t xml:space="preserve"> </w:t>
      </w:r>
      <w:r>
        <w:rPr>
          <w:rFonts w:ascii="Arial" w:cs="Arial" w:eastAsia="Arial" w:hAnsi="Arial"/>
          <w:sz w:val="17"/>
          <w:szCs w:val="17"/>
          <w:u w:val="single" w:color="auto"/>
          <w:color w:val="343434"/>
        </w:rPr>
        <w:t>Re</w:t>
      </w:r>
      <w:r>
        <w:rPr>
          <w:rFonts w:ascii="Arial" w:cs="Arial" w:eastAsia="Arial" w:hAnsi="Arial"/>
          <w:sz w:val="17"/>
          <w:szCs w:val="17"/>
          <w:u w:val="single" w:color="auto"/>
          <w:color w:val="4F4F4F"/>
        </w:rPr>
        <w:t>s</w:t>
      </w:r>
      <w:r>
        <w:rPr>
          <w:rFonts w:ascii="Arial" w:cs="Arial" w:eastAsia="Arial" w:hAnsi="Arial"/>
          <w:sz w:val="17"/>
          <w:szCs w:val="17"/>
          <w:u w:val="single" w:color="auto"/>
          <w:color w:val="343434"/>
        </w:rPr>
        <w:t>ume</w:t>
      </w:r>
      <w:r>
        <w:rPr>
          <w:rFonts w:ascii="Arial" w:cs="Arial" w:eastAsia="Arial" w:hAnsi="Arial"/>
          <w:sz w:val="18"/>
          <w:szCs w:val="18"/>
          <w:u w:val="single" w:color="auto"/>
          <w:color w:val="1F1F1F"/>
        </w:rPr>
        <w:t xml:space="preserve"> </w:t>
      </w:r>
      <w:r>
        <w:rPr>
          <w:rFonts w:ascii="Arial" w:cs="Arial" w:eastAsia="Arial" w:hAnsi="Arial"/>
          <w:sz w:val="18"/>
          <w:szCs w:val="18"/>
          <w:u w:val="single" w:color="auto"/>
          <w:color w:val="343434"/>
        </w:rPr>
        <w:t>and Job Application</w:t>
      </w:r>
    </w:p>
    <w:p>
      <w:pPr>
        <w:spacing w:after="0" w:line="223"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7"/>
          <w:szCs w:val="17"/>
          <w:color w:val="1F1F1F"/>
        </w:rPr>
        <w:t>You hereby certify that the information contained in your resume and on any documents or in any statements that you have provided to the Company is true and correct to the best of your knowledge. You further authorize the Company to have such information verified and to contact individuals concerning your previous employment and any other pertinent information that they may have. Further, you release all parties and persons from any and all liability for any damages that may result from furnishing such information to the</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00"/>
          </w:cols>
          <w:pgMar w:left="360" w:top="1089" w:right="239" w:bottom="1440" w:gutter="0" w:footer="0" w:header="0"/>
        </w:sectPr>
      </w:pPr>
    </w:p>
    <w:bookmarkStart w:id="188" w:name="page189"/>
    <w:bookmarkEnd w:id="188"/>
    <w:p>
      <w:pPr>
        <w:jc w:val="both"/>
        <w:spacing w:after="0" w:line="264" w:lineRule="auto"/>
        <w:rPr>
          <w:sz w:val="20"/>
          <w:szCs w:val="20"/>
          <w:color w:val="auto"/>
        </w:rPr>
      </w:pPr>
      <w:r>
        <w:rPr>
          <w:rFonts w:ascii="Arial" w:cs="Arial" w:eastAsia="Arial" w:hAnsi="Arial"/>
          <w:sz w:val="17"/>
          <w:szCs w:val="17"/>
          <w:color w:val="212121"/>
        </w:rPr>
        <w:drawing>
          <wp:anchor simplePos="0" relativeHeight="251657728" behindDoc="1" locked="0" layoutInCell="0" allowOverlap="1">
            <wp:simplePos x="0" y="0"/>
            <wp:positionH relativeFrom="page">
              <wp:posOffset>6772910</wp:posOffset>
            </wp:positionH>
            <wp:positionV relativeFrom="page">
              <wp:posOffset>88900</wp:posOffset>
            </wp:positionV>
            <wp:extent cx="633095" cy="266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33095" cy="266700"/>
                    </a:xfrm>
                    <a:prstGeom prst="rect">
                      <a:avLst/>
                    </a:prstGeom>
                    <a:noFill/>
                  </pic:spPr>
                </pic:pic>
              </a:graphicData>
            </a:graphic>
          </wp:anchor>
        </w:drawing>
        <w:t>Company as well as from any use or disclosure of such information by the Company or any of its agents, employees, or representatives. You understand that any misinterpretation, falsification, or material omission of information on this application may result in your failure to receive an offer or, if you are hired, your immediate dismissal from employment, and that this offer is subject to revocation in the event that you have provided fraudulent information during the hiring process, or we discover adverse information in the course of our background check.</w:t>
      </w:r>
    </w:p>
    <w:p>
      <w:pPr>
        <w:spacing w:after="0" w:line="177"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17"/>
          <w:szCs w:val="17"/>
          <w:color w:val="212121"/>
        </w:rPr>
        <w:t>You also understand that all offers of employment are conditioned on the Company's receipt of satisfactory responses to reference requests, the provision of satisfactory proof of your identity and legal authority to work in the United States, and completion of a satisfactory background check.</w:t>
      </w:r>
    </w:p>
    <w:p>
      <w:pPr>
        <w:spacing w:after="0" w:line="164" w:lineRule="exact"/>
        <w:rPr>
          <w:sz w:val="20"/>
          <w:szCs w:val="20"/>
          <w:color w:val="auto"/>
        </w:rPr>
      </w:pPr>
    </w:p>
    <w:p>
      <w:pPr>
        <w:jc w:val="both"/>
        <w:ind w:firstLine="604"/>
        <w:spacing w:after="0" w:line="310" w:lineRule="auto"/>
        <w:rPr>
          <w:sz w:val="20"/>
          <w:szCs w:val="20"/>
          <w:color w:val="auto"/>
        </w:rPr>
      </w:pPr>
      <w:r>
        <w:rPr>
          <w:rFonts w:ascii="Arial" w:cs="Arial" w:eastAsia="Arial" w:hAnsi="Arial"/>
          <w:sz w:val="15"/>
          <w:szCs w:val="15"/>
          <w:color w:val="212121"/>
        </w:rPr>
        <w:t>You agree that you will not disparage the Company, its members, officers, directors, employees or independent contractors in any manner harmful to its business or personal reputation, and you agree to keep confidential any non-public information regarding the Company, its members, officers, directors, employees or independent contractors. You also agree that you will perform your job duties to the best of your abilities at all times. You agree that you will not disclose any confidential proprietary information or trade secrets acquired during your employment with the Company and that this obligation shall continue after your employment with the Company ends.</w:t>
      </w:r>
    </w:p>
    <w:p>
      <w:pPr>
        <w:spacing w:after="0" w:line="146" w:lineRule="exact"/>
        <w:rPr>
          <w:sz w:val="20"/>
          <w:szCs w:val="20"/>
          <w:color w:val="auto"/>
        </w:rPr>
      </w:pPr>
    </w:p>
    <w:p>
      <w:pPr>
        <w:jc w:val="both"/>
        <w:ind w:firstLine="604"/>
        <w:spacing w:after="0" w:line="319" w:lineRule="auto"/>
        <w:rPr>
          <w:sz w:val="20"/>
          <w:szCs w:val="20"/>
          <w:color w:val="auto"/>
        </w:rPr>
      </w:pPr>
      <w:r>
        <w:rPr>
          <w:rFonts w:ascii="Arial" w:cs="Arial" w:eastAsia="Arial" w:hAnsi="Arial"/>
          <w:sz w:val="15"/>
          <w:szCs w:val="15"/>
          <w:color w:val="212121"/>
        </w:rPr>
        <w:t>This letter and the Proprietary Invention Assignment, Noncompetition and Confidentiality Agreement, incorporated by reference herein, set forth the terms of your employment with the Company and supersede any and all prior and contemporaneous negotiations, representations, understandings and agreements, express or implied, whether written or oral. This letter may not be modified or amended, except by a written agreement signed by you and a Company officer.</w:t>
      </w:r>
    </w:p>
    <w:p>
      <w:pPr>
        <w:spacing w:after="0" w:line="139" w:lineRule="exact"/>
        <w:rPr>
          <w:sz w:val="20"/>
          <w:szCs w:val="20"/>
          <w:color w:val="auto"/>
        </w:rPr>
      </w:pPr>
    </w:p>
    <w:p>
      <w:pPr>
        <w:jc w:val="both"/>
        <w:ind w:right="140" w:firstLine="604"/>
        <w:spacing w:after="0" w:line="267" w:lineRule="auto"/>
        <w:rPr>
          <w:sz w:val="20"/>
          <w:szCs w:val="20"/>
          <w:color w:val="auto"/>
        </w:rPr>
      </w:pPr>
      <w:r>
        <w:rPr>
          <w:rFonts w:ascii="Arial" w:cs="Arial" w:eastAsia="Arial" w:hAnsi="Arial"/>
          <w:sz w:val="17"/>
          <w:szCs w:val="17"/>
          <w:color w:val="212121"/>
        </w:rPr>
        <w:t xml:space="preserve">To acknowledge acceptance of the terms above, please sign a copy of this letter and fax it to the Company's General Counsel, Justin Waldie, at (212) 418-0123, or return via email to </w:t>
      </w:r>
      <w:r>
        <w:rPr>
          <w:rFonts w:ascii="Arial" w:cs="Arial" w:eastAsia="Arial" w:hAnsi="Arial"/>
          <w:sz w:val="17"/>
          <w:szCs w:val="17"/>
          <w:color w:val="1D2149"/>
        </w:rPr>
        <w:t>jwaldie</w:t>
      </w:r>
      <w:r>
        <w:rPr>
          <w:rFonts w:ascii="Arial" w:cs="Arial" w:eastAsia="Arial" w:hAnsi="Arial"/>
          <w:sz w:val="17"/>
          <w:szCs w:val="17"/>
          <w:color w:val="212121"/>
        </w:rPr>
        <w:t xml:space="preserve"> </w:t>
      </w:r>
      <w:r>
        <w:rPr>
          <w:rFonts w:ascii="Arial" w:cs="Arial" w:eastAsia="Arial" w:hAnsi="Arial"/>
          <w:sz w:val="17"/>
          <w:szCs w:val="17"/>
          <w:color w:val="525472"/>
        </w:rPr>
        <w:t>@</w:t>
      </w:r>
      <w:r>
        <w:rPr>
          <w:rFonts w:ascii="Arial" w:cs="Arial" w:eastAsia="Arial" w:hAnsi="Arial"/>
          <w:sz w:val="17"/>
          <w:szCs w:val="17"/>
          <w:color w:val="363860"/>
        </w:rPr>
        <w:t>virtu.com</w:t>
      </w:r>
      <w:r>
        <w:rPr>
          <w:rFonts w:ascii="Arial" w:cs="Arial" w:eastAsia="Arial" w:hAnsi="Arial"/>
          <w:sz w:val="17"/>
          <w:szCs w:val="17"/>
          <w:color w:val="212121"/>
        </w:rPr>
        <w:t>. If you have any questions regarding your employment here at Virtu Financial Operating LLC, please feel free to call Justin at (212) 418-0113.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42545</wp:posOffset>
            </wp:positionV>
            <wp:extent cx="72758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391" w:lineRule="exact"/>
        <w:rPr>
          <w:sz w:val="20"/>
          <w:szCs w:val="20"/>
          <w:color w:val="auto"/>
        </w:rPr>
      </w:pPr>
    </w:p>
    <w:p>
      <w:pPr>
        <w:ind w:left="620"/>
        <w:spacing w:after="0"/>
        <w:rPr>
          <w:sz w:val="20"/>
          <w:szCs w:val="20"/>
          <w:color w:val="auto"/>
        </w:rPr>
      </w:pPr>
      <w:r>
        <w:rPr>
          <w:rFonts w:ascii="Arial" w:cs="Arial" w:eastAsia="Arial" w:hAnsi="Arial"/>
          <w:sz w:val="17"/>
          <w:szCs w:val="17"/>
          <w:color w:val="212121"/>
        </w:rPr>
        <w:t>Stephen, we are excited about you joining our team. We all look forward to working with you!</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7"/>
          <w:szCs w:val="17"/>
          <w:color w:val="212121"/>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262255</wp:posOffset>
            </wp:positionV>
            <wp:extent cx="4133850" cy="2041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4133850" cy="204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1119" w:right="239" w:bottom="1440" w:gutter="0" w:footer="0" w:header="0"/>
        </w:sectPr>
      </w:pPr>
    </w:p>
    <w:bookmarkStart w:id="189" w:name="page190"/>
    <w:bookmarkEnd w:id="189"/>
    <w:p>
      <w:pPr>
        <w:jc w:val="center"/>
        <w:ind w:left="2340"/>
        <w:spacing w:after="0"/>
        <w:rPr>
          <w:sz w:val="20"/>
          <w:szCs w:val="20"/>
          <w:color w:val="auto"/>
        </w:rPr>
      </w:pPr>
      <w:r>
        <w:rPr>
          <w:rFonts w:ascii="Arial" w:cs="Arial" w:eastAsia="Arial" w:hAnsi="Arial"/>
          <w:sz w:val="17"/>
          <w:szCs w:val="17"/>
          <w:b w:val="1"/>
          <w:bCs w:val="1"/>
          <w:color w:val="232323"/>
        </w:rPr>
        <w:t>VIRTU FINANCIAL, INC.</w:t>
      </w:r>
    </w:p>
    <w:p>
      <w:pPr>
        <w:spacing w:after="0" w:line="41" w:lineRule="exact"/>
        <w:rPr>
          <w:sz w:val="20"/>
          <w:szCs w:val="20"/>
          <w:color w:val="auto"/>
        </w:rPr>
      </w:pPr>
    </w:p>
    <w:p>
      <w:pPr>
        <w:ind w:left="1724" w:right="2300" w:firstLine="2869"/>
        <w:spacing w:after="0" w:line="281" w:lineRule="auto"/>
        <w:rPr>
          <w:sz w:val="20"/>
          <w:szCs w:val="20"/>
          <w:color w:val="auto"/>
        </w:rPr>
      </w:pPr>
      <w:r>
        <w:rPr>
          <w:rFonts w:ascii="Arial" w:cs="Arial" w:eastAsia="Arial" w:hAnsi="Arial"/>
          <w:sz w:val="17"/>
          <w:szCs w:val="17"/>
          <w:b w:val="1"/>
          <w:bCs w:val="1"/>
          <w:color w:val="232323"/>
        </w:rPr>
        <w:t xml:space="preserve">2015 MANAGEMENT INCENTIVE PLAN EMPLOYEE </w:t>
      </w:r>
      <w:r>
        <w:rPr>
          <w:rFonts w:ascii="Arial" w:cs="Arial" w:eastAsia="Arial" w:hAnsi="Arial"/>
          <w:sz w:val="17"/>
          <w:szCs w:val="17"/>
          <w:b w:val="1"/>
          <w:bCs w:val="1"/>
          <w:u w:val="single" w:color="auto"/>
          <w:color w:val="232323"/>
        </w:rPr>
        <w:t>RESTRICTED STOCK UNIT AWARD AGREEMENT</w:t>
      </w:r>
    </w:p>
    <w:p>
      <w:pPr>
        <w:spacing w:after="0" w:line="99" w:lineRule="exact"/>
        <w:rPr>
          <w:sz w:val="20"/>
          <w:szCs w:val="20"/>
          <w:color w:val="auto"/>
        </w:rPr>
      </w:pPr>
    </w:p>
    <w:p>
      <w:pPr>
        <w:ind w:left="24" w:right="200" w:firstLine="604"/>
        <w:spacing w:after="0" w:line="290" w:lineRule="auto"/>
        <w:rPr>
          <w:sz w:val="20"/>
          <w:szCs w:val="20"/>
          <w:color w:val="auto"/>
        </w:rPr>
      </w:pPr>
      <w:r>
        <w:rPr>
          <w:rFonts w:ascii="Arial" w:cs="Arial" w:eastAsia="Arial" w:hAnsi="Arial"/>
          <w:sz w:val="17"/>
          <w:szCs w:val="17"/>
          <w:color w:val="232323"/>
        </w:rPr>
        <w:t xml:space="preserve">THIS RESTRICTED STOCK UNIT AWARD AGREEMENT (the </w:t>
      </w:r>
      <w:r>
        <w:rPr>
          <w:rFonts w:ascii="Arial" w:cs="Arial" w:eastAsia="Arial" w:hAnsi="Arial"/>
          <w:sz w:val="17"/>
          <w:szCs w:val="17"/>
          <w:u w:val="single" w:color="auto"/>
          <w:color w:val="232323"/>
        </w:rPr>
        <w:t>'Agreement"),</w:t>
      </w:r>
      <w:r>
        <w:rPr>
          <w:rFonts w:ascii="Arial" w:cs="Arial" w:eastAsia="Arial" w:hAnsi="Arial"/>
          <w:sz w:val="17"/>
          <w:szCs w:val="17"/>
          <w:color w:val="232323"/>
        </w:rPr>
        <w:t xml:space="preserve"> is entered into as of August 24, 2015 (the </w:t>
      </w:r>
      <w:r>
        <w:rPr>
          <w:rFonts w:ascii="Arial" w:cs="Arial" w:eastAsia="Arial" w:hAnsi="Arial"/>
          <w:sz w:val="17"/>
          <w:szCs w:val="17"/>
          <w:u w:val="single" w:color="auto"/>
          <w:color w:val="232323"/>
        </w:rPr>
        <w:t>"Date</w:t>
      </w:r>
      <w:r>
        <w:rPr>
          <w:rFonts w:ascii="Arial" w:cs="Arial" w:eastAsia="Arial" w:hAnsi="Arial"/>
          <w:sz w:val="17"/>
          <w:szCs w:val="17"/>
          <w:color w:val="232323"/>
        </w:rPr>
        <w:t xml:space="preserve"> </w:t>
      </w:r>
      <w:r>
        <w:rPr>
          <w:rFonts w:ascii="Arial" w:cs="Arial" w:eastAsia="Arial" w:hAnsi="Arial"/>
          <w:sz w:val="17"/>
          <w:szCs w:val="17"/>
          <w:u w:val="single" w:color="auto"/>
          <w:color w:val="3B3B3B"/>
        </w:rPr>
        <w:t>of Grant"),</w:t>
      </w:r>
      <w:r>
        <w:rPr>
          <w:rFonts w:ascii="Arial" w:cs="Arial" w:eastAsia="Arial" w:hAnsi="Arial"/>
          <w:sz w:val="17"/>
          <w:szCs w:val="17"/>
          <w:color w:val="232323"/>
        </w:rPr>
        <w:t xml:space="preserve"> by and between Virtu Financial, Inc., a Delaware corporation (the </w:t>
      </w:r>
      <w:r>
        <w:rPr>
          <w:rFonts w:ascii="Arial" w:cs="Arial" w:eastAsia="Arial" w:hAnsi="Arial"/>
          <w:sz w:val="17"/>
          <w:szCs w:val="17"/>
          <w:u w:val="single" w:color="auto"/>
          <w:color w:val="232323"/>
        </w:rPr>
        <w:t>"Company"),</w:t>
      </w:r>
      <w:r>
        <w:rPr>
          <w:rFonts w:ascii="Arial" w:cs="Arial" w:eastAsia="Arial" w:hAnsi="Arial"/>
          <w:sz w:val="17"/>
          <w:szCs w:val="17"/>
          <w:color w:val="232323"/>
        </w:rPr>
        <w:t xml:space="preserve"> and Stephen Cavoli (the </w:t>
      </w:r>
      <w:r>
        <w:rPr>
          <w:rFonts w:ascii="Arial" w:cs="Arial" w:eastAsia="Arial" w:hAnsi="Arial"/>
          <w:sz w:val="17"/>
          <w:szCs w:val="17"/>
          <w:u w:val="single" w:color="auto"/>
          <w:color w:val="232323"/>
        </w:rPr>
        <w:t>"Participant')</w:t>
      </w:r>
      <w:r>
        <w:rPr>
          <w:rFonts w:ascii="Arial" w:cs="Arial" w:eastAsia="Arial" w:hAnsi="Arial"/>
          <w:sz w:val="17"/>
          <w:szCs w:val="17"/>
          <w:color w:val="232323"/>
        </w:rPr>
        <w:t>.</w:t>
      </w:r>
    </w:p>
    <w:p>
      <w:pPr>
        <w:spacing w:after="0" w:line="105" w:lineRule="exact"/>
        <w:rPr>
          <w:sz w:val="20"/>
          <w:szCs w:val="20"/>
          <w:color w:val="auto"/>
        </w:rPr>
      </w:pPr>
    </w:p>
    <w:p>
      <w:pPr>
        <w:ind w:left="24" w:right="340" w:firstLine="604"/>
        <w:spacing w:after="0" w:line="290" w:lineRule="auto"/>
        <w:rPr>
          <w:sz w:val="20"/>
          <w:szCs w:val="20"/>
          <w:color w:val="auto"/>
        </w:rPr>
      </w:pPr>
      <w:r>
        <w:rPr>
          <w:rFonts w:ascii="Arial" w:cs="Arial" w:eastAsia="Arial" w:hAnsi="Arial"/>
          <w:sz w:val="17"/>
          <w:szCs w:val="17"/>
          <w:color w:val="232323"/>
        </w:rPr>
        <w:t xml:space="preserve">WHEREAS, the Company has adopted the Virtu Financial, Inc. 2015 Management Incentive Plan (the </w:t>
      </w:r>
      <w:r>
        <w:rPr>
          <w:rFonts w:ascii="Arial" w:cs="Arial" w:eastAsia="Arial" w:hAnsi="Arial"/>
          <w:sz w:val="17"/>
          <w:szCs w:val="17"/>
          <w:u w:val="single" w:color="auto"/>
          <w:color w:val="232323"/>
        </w:rPr>
        <w:t>"Plan")</w:t>
      </w:r>
      <w:r>
        <w:rPr>
          <w:rFonts w:ascii="Arial" w:cs="Arial" w:eastAsia="Arial" w:hAnsi="Arial"/>
          <w:sz w:val="17"/>
          <w:szCs w:val="17"/>
          <w:color w:val="232323"/>
        </w:rPr>
        <w:t xml:space="preserve">, pursuant to which Restricted Stock Units </w:t>
      </w:r>
      <w:r>
        <w:rPr>
          <w:rFonts w:ascii="Arial" w:cs="Arial" w:eastAsia="Arial" w:hAnsi="Arial"/>
          <w:sz w:val="17"/>
          <w:szCs w:val="17"/>
          <w:u w:val="single" w:color="auto"/>
          <w:color w:val="232323"/>
        </w:rPr>
        <w:t>("RSUs")</w:t>
      </w:r>
      <w:r>
        <w:rPr>
          <w:rFonts w:ascii="Arial" w:cs="Arial" w:eastAsia="Arial" w:hAnsi="Arial"/>
          <w:sz w:val="17"/>
          <w:szCs w:val="17"/>
          <w:color w:val="232323"/>
        </w:rPr>
        <w:t xml:space="preserve"> may be granted; and</w:t>
      </w:r>
    </w:p>
    <w:p>
      <w:pPr>
        <w:spacing w:after="0" w:line="105" w:lineRule="exact"/>
        <w:rPr>
          <w:sz w:val="20"/>
          <w:szCs w:val="20"/>
          <w:color w:val="auto"/>
        </w:rPr>
      </w:pPr>
    </w:p>
    <w:p>
      <w:pPr>
        <w:ind w:left="24" w:right="380" w:firstLine="604"/>
        <w:spacing w:after="0" w:line="290" w:lineRule="auto"/>
        <w:rPr>
          <w:sz w:val="20"/>
          <w:szCs w:val="20"/>
          <w:color w:val="auto"/>
        </w:rPr>
      </w:pPr>
      <w:r>
        <w:rPr>
          <w:rFonts w:ascii="Arial" w:cs="Arial" w:eastAsia="Arial" w:hAnsi="Arial"/>
          <w:sz w:val="17"/>
          <w:szCs w:val="17"/>
          <w:color w:val="232323"/>
        </w:rPr>
        <w:t>WHEREAS, the Board of Directors of the Company has determined that it is in the best interests of the Company and its stockholders to grant the RSUs provided for herein to the Participant subject to the terms set forth herein.</w:t>
      </w:r>
    </w:p>
    <w:p>
      <w:pPr>
        <w:spacing w:after="0" w:line="105" w:lineRule="exact"/>
        <w:rPr>
          <w:sz w:val="20"/>
          <w:szCs w:val="20"/>
          <w:color w:val="auto"/>
        </w:rPr>
      </w:pPr>
    </w:p>
    <w:p>
      <w:pPr>
        <w:ind w:left="24" w:right="180" w:firstLine="604"/>
        <w:spacing w:after="0" w:line="360" w:lineRule="auto"/>
        <w:rPr>
          <w:sz w:val="20"/>
          <w:szCs w:val="20"/>
          <w:color w:val="auto"/>
        </w:rPr>
      </w:pPr>
      <w:r>
        <w:rPr>
          <w:rFonts w:ascii="Arial" w:cs="Arial" w:eastAsia="Arial" w:hAnsi="Arial"/>
          <w:sz w:val="15"/>
          <w:szCs w:val="15"/>
          <w:color w:val="232323"/>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93" w:lineRule="exact"/>
        <w:rPr>
          <w:sz w:val="20"/>
          <w:szCs w:val="20"/>
          <w:color w:val="auto"/>
        </w:rPr>
      </w:pPr>
    </w:p>
    <w:p>
      <w:pPr>
        <w:ind w:left="604" w:hanging="604"/>
        <w:spacing w:after="0"/>
        <w:tabs>
          <w:tab w:leader="none" w:pos="604"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232323"/>
        </w:rPr>
        <w:t>Grant of Restricted Stock Units.</w:t>
      </w:r>
    </w:p>
    <w:p>
      <w:pPr>
        <w:spacing w:after="0" w:line="269" w:lineRule="exact"/>
        <w:rPr>
          <w:rFonts w:ascii="Arial" w:cs="Arial" w:eastAsia="Arial" w:hAnsi="Arial"/>
          <w:sz w:val="17"/>
          <w:szCs w:val="17"/>
          <w:b w:val="1"/>
          <w:bCs w:val="1"/>
          <w:color w:val="auto"/>
        </w:rPr>
      </w:pPr>
    </w:p>
    <w:p>
      <w:pPr>
        <w:ind w:left="4" w:right="120" w:firstLine="600"/>
        <w:spacing w:after="0" w:line="289" w:lineRule="auto"/>
        <w:tabs>
          <w:tab w:leader="none" w:pos="996" w:val="left"/>
        </w:tabs>
        <w:numPr>
          <w:ilvl w:val="1"/>
          <w:numId w:val="180"/>
        </w:numPr>
        <w:rPr>
          <w:rFonts w:ascii="Arial" w:cs="Arial" w:eastAsia="Arial" w:hAnsi="Arial"/>
          <w:sz w:val="19"/>
          <w:szCs w:val="19"/>
          <w:color w:val="auto"/>
        </w:rPr>
      </w:pPr>
      <w:r>
        <w:rPr>
          <w:rFonts w:ascii="Arial" w:cs="Arial" w:eastAsia="Arial" w:hAnsi="Arial"/>
          <w:sz w:val="17"/>
          <w:szCs w:val="17"/>
          <w:u w:val="single" w:color="auto"/>
          <w:color w:val="232323"/>
        </w:rPr>
        <w:t>Grant</w:t>
      </w:r>
      <w:r>
        <w:rPr>
          <w:rFonts w:ascii="Arial" w:cs="Arial" w:eastAsia="Arial" w:hAnsi="Arial"/>
          <w:sz w:val="17"/>
          <w:szCs w:val="17"/>
          <w:color w:val="232323"/>
        </w:rPr>
        <w:t>. The Company hereby grants to the Participant a total of93,765 RSUs, on the terms and conditions set forth in this Agreement and as otherwise provided in the Plan. The RSUs shall vest in accordance with Section 2. The RSUs shall be credited to a separate book-entry account maintained for the Participant on the books of the Company.</w:t>
      </w:r>
    </w:p>
    <w:p>
      <w:pPr>
        <w:spacing w:after="0" w:line="197" w:lineRule="exact"/>
        <w:rPr>
          <w:rFonts w:ascii="Arial" w:cs="Arial" w:eastAsia="Arial" w:hAnsi="Arial"/>
          <w:sz w:val="19"/>
          <w:szCs w:val="19"/>
          <w:color w:val="auto"/>
        </w:rPr>
      </w:pPr>
    </w:p>
    <w:p>
      <w:pPr>
        <w:ind w:left="4" w:firstLine="600"/>
        <w:spacing w:after="0" w:line="289" w:lineRule="auto"/>
        <w:tabs>
          <w:tab w:leader="none" w:pos="1007" w:val="left"/>
        </w:tabs>
        <w:numPr>
          <w:ilvl w:val="2"/>
          <w:numId w:val="180"/>
        </w:numPr>
        <w:rPr>
          <w:rFonts w:ascii="Arial" w:cs="Arial" w:eastAsia="Arial" w:hAnsi="Arial"/>
          <w:sz w:val="19"/>
          <w:szCs w:val="19"/>
          <w:color w:val="auto"/>
        </w:rPr>
      </w:pPr>
      <w:r>
        <w:rPr>
          <w:rFonts w:ascii="Arial" w:cs="Arial" w:eastAsia="Arial" w:hAnsi="Arial"/>
          <w:sz w:val="17"/>
          <w:szCs w:val="17"/>
          <w:u w:val="single" w:color="auto"/>
          <w:color w:val="232323"/>
        </w:rPr>
        <w:t>Incorporation</w:t>
      </w:r>
      <w:r>
        <w:rPr>
          <w:rFonts w:ascii="Arial" w:cs="Arial" w:eastAsia="Arial" w:hAnsi="Arial"/>
          <w:sz w:val="17"/>
          <w:szCs w:val="17"/>
          <w:color w:val="232323"/>
        </w:rPr>
        <w:t xml:space="preserve"> </w:t>
      </w:r>
      <w:r>
        <w:rPr>
          <w:rFonts w:ascii="Arial" w:cs="Arial" w:eastAsia="Arial" w:hAnsi="Arial"/>
          <w:sz w:val="17"/>
          <w:szCs w:val="17"/>
          <w:u w:val="single" w:color="auto"/>
          <w:color w:val="232323"/>
        </w:rPr>
        <w:t>by</w:t>
      </w:r>
      <w:r>
        <w:rPr>
          <w:rFonts w:ascii="Arial" w:cs="Arial" w:eastAsia="Arial" w:hAnsi="Arial"/>
          <w:sz w:val="17"/>
          <w:szCs w:val="17"/>
          <w:color w:val="232323"/>
        </w:rPr>
        <w:t xml:space="preserve"> </w:t>
      </w:r>
      <w:r>
        <w:rPr>
          <w:rFonts w:ascii="Arial" w:cs="Arial" w:eastAsia="Arial" w:hAnsi="Arial"/>
          <w:sz w:val="17"/>
          <w:szCs w:val="17"/>
          <w:u w:val="single" w:color="auto"/>
          <w:color w:val="232323"/>
        </w:rPr>
        <w:t>Reference.</w:t>
      </w:r>
      <w:r>
        <w:rPr>
          <w:rFonts w:ascii="Arial" w:cs="Arial" w:eastAsia="Arial" w:hAnsi="Arial"/>
          <w:sz w:val="17"/>
          <w:szCs w:val="17"/>
          <w:color w:val="232323"/>
        </w:rPr>
        <w:t xml:space="preserve">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9" w:lineRule="exact"/>
        <w:rPr>
          <w:rFonts w:ascii="Arial" w:cs="Arial" w:eastAsia="Arial" w:hAnsi="Arial"/>
          <w:sz w:val="19"/>
          <w:szCs w:val="19"/>
          <w:color w:val="auto"/>
        </w:rPr>
      </w:pPr>
    </w:p>
    <w:p>
      <w:pPr>
        <w:ind w:left="604" w:hanging="604"/>
        <w:spacing w:after="0"/>
        <w:tabs>
          <w:tab w:leader="none" w:pos="604"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232323"/>
        </w:rPr>
        <w:t>Vesting; Settlement.</w:t>
      </w:r>
    </w:p>
    <w:p>
      <w:pPr>
        <w:spacing w:after="0" w:line="256" w:lineRule="exact"/>
        <w:rPr>
          <w:rFonts w:ascii="Arial" w:cs="Arial" w:eastAsia="Arial" w:hAnsi="Arial"/>
          <w:sz w:val="17"/>
          <w:szCs w:val="17"/>
          <w:b w:val="1"/>
          <w:bCs w:val="1"/>
          <w:color w:val="auto"/>
        </w:rPr>
      </w:pPr>
    </w:p>
    <w:p>
      <w:pPr>
        <w:ind w:left="4" w:right="20" w:firstLine="600"/>
        <w:spacing w:after="0" w:line="289" w:lineRule="auto"/>
        <w:tabs>
          <w:tab w:leader="none" w:pos="996" w:val="left"/>
        </w:tabs>
        <w:numPr>
          <w:ilvl w:val="1"/>
          <w:numId w:val="180"/>
        </w:numPr>
        <w:rPr>
          <w:rFonts w:ascii="Arial" w:cs="Arial" w:eastAsia="Arial" w:hAnsi="Arial"/>
          <w:sz w:val="19"/>
          <w:szCs w:val="19"/>
          <w:color w:val="auto"/>
        </w:rPr>
      </w:pPr>
      <w:r>
        <w:rPr>
          <w:rFonts w:ascii="Arial" w:cs="Arial" w:eastAsia="Arial" w:hAnsi="Arial"/>
          <w:sz w:val="17"/>
          <w:szCs w:val="17"/>
          <w:color w:val="232323"/>
        </w:rPr>
        <w:t xml:space="preserve">Except as may otherwise be provided herein, subject to the Participant's continued employment or service with the Company or an Affiliate, the RSUs shall vest in equal installments on each of the first four (4) anniversaries of the Date of Grant (each such date, a </w:t>
      </w:r>
      <w:r>
        <w:rPr>
          <w:rFonts w:ascii="Arial" w:cs="Arial" w:eastAsia="Arial" w:hAnsi="Arial"/>
          <w:sz w:val="17"/>
          <w:szCs w:val="17"/>
          <w:u w:val="single" w:color="auto"/>
          <w:color w:val="232323"/>
        </w:rPr>
        <w:t>"Vesting</w:t>
      </w:r>
      <w:r>
        <w:rPr>
          <w:rFonts w:ascii="Arial" w:cs="Arial" w:eastAsia="Arial" w:hAnsi="Arial"/>
          <w:sz w:val="17"/>
          <w:szCs w:val="17"/>
          <w:color w:val="232323"/>
        </w:rPr>
        <w:t xml:space="preserve"> </w:t>
      </w:r>
      <w:r>
        <w:rPr>
          <w:rFonts w:ascii="Arial" w:cs="Arial" w:eastAsia="Arial" w:hAnsi="Arial"/>
          <w:sz w:val="17"/>
          <w:szCs w:val="17"/>
          <w:u w:val="single" w:color="auto"/>
          <w:color w:val="3B3B3B"/>
        </w:rPr>
        <w:t>Date").</w:t>
      </w:r>
      <w:r>
        <w:rPr>
          <w:rFonts w:ascii="Arial" w:cs="Arial" w:eastAsia="Arial" w:hAnsi="Arial"/>
          <w:sz w:val="17"/>
          <w:szCs w:val="17"/>
          <w:color w:val="232323"/>
        </w:rPr>
        <w:t xml:space="preserve">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99" w:lineRule="exact"/>
        <w:rPr>
          <w:rFonts w:ascii="Arial" w:cs="Arial" w:eastAsia="Arial" w:hAnsi="Arial"/>
          <w:sz w:val="19"/>
          <w:szCs w:val="19"/>
          <w:color w:val="auto"/>
        </w:rPr>
      </w:pPr>
    </w:p>
    <w:p>
      <w:pPr>
        <w:ind w:left="4" w:right="400" w:firstLine="587"/>
        <w:spacing w:after="0" w:line="294" w:lineRule="auto"/>
        <w:tabs>
          <w:tab w:leader="none" w:pos="993" w:val="left"/>
        </w:tabs>
        <w:numPr>
          <w:ilvl w:val="1"/>
          <w:numId w:val="180"/>
        </w:numPr>
        <w:rPr>
          <w:rFonts w:ascii="Arial" w:cs="Arial" w:eastAsia="Arial" w:hAnsi="Arial"/>
          <w:sz w:val="19"/>
          <w:szCs w:val="19"/>
          <w:color w:val="auto"/>
        </w:rPr>
      </w:pPr>
      <w:r>
        <w:rPr>
          <w:rFonts w:ascii="Arial" w:cs="Arial" w:eastAsia="Arial" w:hAnsi="Arial"/>
          <w:sz w:val="17"/>
          <w:szCs w:val="17"/>
          <w:color w:val="232323"/>
        </w:rPr>
        <w:t>Vested RSUs shall be settled within ten (10) days following the Vesting Date for such RSUs in shares of Class A Common Stock, or cash, as determined by the Committee in its sole discretion.</w:t>
      </w:r>
    </w:p>
    <w:p>
      <w:pPr>
        <w:sectPr>
          <w:pgSz w:w="11900" w:h="16838" w:orient="portrait"/>
          <w:cols w:equalWidth="0" w:num="1">
            <w:col w:w="11224"/>
          </w:cols>
          <w:pgMar w:left="376" w:top="239" w:right="299" w:bottom="1440" w:gutter="0" w:footer="0" w:header="0"/>
        </w:sectPr>
      </w:pPr>
    </w:p>
    <w:bookmarkStart w:id="190" w:name="page191"/>
    <w:bookmarkEnd w:id="190"/>
    <w:p>
      <w:pPr>
        <w:jc w:val="both"/>
        <w:ind w:right="260" w:firstLine="2"/>
        <w:spacing w:after="0" w:line="336" w:lineRule="auto"/>
        <w:tabs>
          <w:tab w:leader="none" w:pos="728"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212121"/>
        </w:rPr>
        <w:t xml:space="preserve">Dividend Equivalents. </w:t>
      </w:r>
      <w:r>
        <w:rPr>
          <w:rFonts w:ascii="Arial" w:cs="Arial" w:eastAsia="Arial" w:hAnsi="Arial"/>
          <w:sz w:val="16"/>
          <w:szCs w:val="16"/>
          <w:color w:val="212121"/>
        </w:rPr>
        <w:t>In the event of any issuance of a cash dividend on the shares of Class A Common Stock (a</w:t>
      </w:r>
      <w:r>
        <w:rPr>
          <w:rFonts w:ascii="Arial" w:cs="Arial" w:eastAsia="Arial" w:hAnsi="Arial"/>
          <w:sz w:val="18"/>
          <w:szCs w:val="18"/>
          <w:b w:val="1"/>
          <w:bCs w:val="1"/>
          <w:color w:val="212121"/>
        </w:rPr>
        <w:t xml:space="preserve"> </w:t>
      </w:r>
      <w:r>
        <w:rPr>
          <w:rFonts w:ascii="Arial" w:cs="Arial" w:eastAsia="Arial" w:hAnsi="Arial"/>
          <w:sz w:val="16"/>
          <w:szCs w:val="16"/>
          <w:u w:val="single" w:color="auto"/>
          <w:color w:val="212121"/>
        </w:rPr>
        <w:t>"Dividend")</w:t>
      </w:r>
      <w:r>
        <w:rPr>
          <w:rFonts w:ascii="Arial" w:cs="Arial" w:eastAsia="Arial" w:hAnsi="Arial"/>
          <w:sz w:val="16"/>
          <w:szCs w:val="16"/>
          <w:color w:val="212121"/>
        </w:rPr>
        <w:t>, the Participant shall be</w:t>
      </w:r>
      <w:r>
        <w:rPr>
          <w:rFonts w:ascii="Arial" w:cs="Arial" w:eastAsia="Arial" w:hAnsi="Arial"/>
          <w:sz w:val="18"/>
          <w:szCs w:val="18"/>
          <w:b w:val="1"/>
          <w:bCs w:val="1"/>
          <w:color w:val="212121"/>
        </w:rPr>
        <w:t xml:space="preserve"> </w:t>
      </w:r>
      <w:r>
        <w:rPr>
          <w:rFonts w:ascii="Arial" w:cs="Arial" w:eastAsia="Arial" w:hAnsi="Arial"/>
          <w:sz w:val="16"/>
          <w:szCs w:val="16"/>
          <w:color w:val="212121"/>
        </w:rPr>
        <w:t xml:space="preserve">credited, as of the payment date for such Dividend, with an additional number ofRSUs (each, an </w:t>
      </w:r>
      <w:r>
        <w:rPr>
          <w:rFonts w:ascii="Arial" w:cs="Arial" w:eastAsia="Arial" w:hAnsi="Arial"/>
          <w:sz w:val="16"/>
          <w:szCs w:val="16"/>
          <w:u w:val="single" w:color="auto"/>
          <w:color w:val="212121"/>
        </w:rPr>
        <w:t>"Additional</w:t>
      </w:r>
      <w:r>
        <w:rPr>
          <w:rFonts w:ascii="Arial" w:cs="Arial" w:eastAsia="Arial" w:hAnsi="Arial"/>
          <w:sz w:val="16"/>
          <w:szCs w:val="16"/>
          <w:color w:val="212121"/>
        </w:rPr>
        <w:t xml:space="preserve"> </w:t>
      </w:r>
      <w:r>
        <w:rPr>
          <w:rFonts w:ascii="Arial" w:cs="Arial" w:eastAsia="Arial" w:hAnsi="Arial"/>
          <w:sz w:val="16"/>
          <w:szCs w:val="16"/>
          <w:u w:val="single" w:color="auto"/>
          <w:color w:val="343434"/>
        </w:rPr>
        <w:t>RSU")</w:t>
      </w:r>
      <w:r>
        <w:rPr>
          <w:rFonts w:ascii="Arial" w:cs="Arial" w:eastAsia="Arial" w:hAnsi="Arial"/>
          <w:sz w:val="16"/>
          <w:szCs w:val="16"/>
          <w:color w:val="212121"/>
        </w:rPr>
        <w:t xml:space="preserve"> equal to the quotient obtained by dividing (a) the product of (i) the number of RSUs granted pursuant to this Agreement and outstanding as of the record date for such Dividend multiplied by (ii) the amount of the Dividend per share, divided by</w:t>
      </w:r>
    </w:p>
    <w:p>
      <w:pPr>
        <w:spacing w:after="0" w:line="3" w:lineRule="exact"/>
        <w:rPr>
          <w:sz w:val="20"/>
          <w:szCs w:val="20"/>
          <w:color w:val="auto"/>
        </w:rPr>
      </w:pPr>
    </w:p>
    <w:p>
      <w:pPr>
        <w:ind w:right="220" w:firstLine="2"/>
        <w:spacing w:after="0" w:line="310" w:lineRule="auto"/>
        <w:tabs>
          <w:tab w:leader="none" w:pos="235" w:val="left"/>
        </w:tabs>
        <w:numPr>
          <w:ilvl w:val="0"/>
          <w:numId w:val="182"/>
        </w:numPr>
        <w:rPr>
          <w:rFonts w:ascii="Arial" w:cs="Arial" w:eastAsia="Arial" w:hAnsi="Arial"/>
          <w:sz w:val="16"/>
          <w:szCs w:val="16"/>
          <w:color w:val="212121"/>
        </w:rPr>
      </w:pPr>
      <w:r>
        <w:rPr>
          <w:rFonts w:ascii="Arial" w:cs="Arial" w:eastAsia="Arial" w:hAnsi="Arial"/>
          <w:sz w:val="16"/>
          <w:szCs w:val="16"/>
          <w:color w:val="212121"/>
        </w:rPr>
        <w:t>the Fair Market Value per share on the payment date for such Dividend, such quotient to be rounded to the nearest hundredth. Once credited, each Additional RSU shall be treated as an RSU granted hereunder and shall be subject to all terms and conditions set forth in this Agreement and the Plan.</w:t>
      </w:r>
    </w:p>
    <w:p>
      <w:pPr>
        <w:spacing w:after="0" w:line="107" w:lineRule="exact"/>
        <w:rPr>
          <w:sz w:val="20"/>
          <w:szCs w:val="20"/>
          <w:color w:val="auto"/>
        </w:rPr>
      </w:pPr>
    </w:p>
    <w:p>
      <w:pPr>
        <w:ind w:left="600" w:hanging="598"/>
        <w:spacing w:after="0"/>
        <w:tabs>
          <w:tab w:leader="none" w:pos="60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212121"/>
        </w:rPr>
        <w:t>Termination of Employment or Service.</w:t>
      </w:r>
    </w:p>
    <w:p>
      <w:pPr>
        <w:spacing w:after="0" w:line="235" w:lineRule="exact"/>
        <w:rPr>
          <w:sz w:val="20"/>
          <w:szCs w:val="20"/>
          <w:color w:val="auto"/>
        </w:rPr>
      </w:pPr>
    </w:p>
    <w:p>
      <w:pPr>
        <w:ind w:right="60" w:firstLine="591"/>
        <w:spacing w:after="0" w:line="278" w:lineRule="auto"/>
        <w:rPr>
          <w:sz w:val="20"/>
          <w:szCs w:val="20"/>
          <w:color w:val="auto"/>
        </w:rPr>
      </w:pPr>
      <w:r>
        <w:rPr>
          <w:rFonts w:ascii="Arial" w:cs="Arial" w:eastAsia="Arial" w:hAnsi="Arial"/>
          <w:sz w:val="17"/>
          <w:szCs w:val="17"/>
          <w:color w:val="212121"/>
        </w:rPr>
        <w:t>If the Participant's employment or service with the Company and its Affiliates terminates for any reason, all unvested RSUs shall be cancelled immediately and the Participant shall not be entitled to receive any payments with respect thereto.</w:t>
      </w:r>
    </w:p>
    <w:p>
      <w:pPr>
        <w:spacing w:after="0" w:line="169" w:lineRule="exact"/>
        <w:rPr>
          <w:sz w:val="20"/>
          <w:szCs w:val="20"/>
          <w:color w:val="auto"/>
        </w:rPr>
      </w:pPr>
    </w:p>
    <w:p>
      <w:pPr>
        <w:ind w:right="220" w:firstLine="2"/>
        <w:spacing w:after="0" w:line="353" w:lineRule="auto"/>
        <w:tabs>
          <w:tab w:leader="none" w:pos="728"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212121"/>
        </w:rPr>
        <w:t xml:space="preserve">Rights as a Stockholder. </w:t>
      </w:r>
      <w:r>
        <w:rPr>
          <w:rFonts w:ascii="Arial" w:cs="Arial" w:eastAsia="Arial" w:hAnsi="Arial"/>
          <w:sz w:val="16"/>
          <w:szCs w:val="16"/>
          <w:color w:val="212121"/>
        </w:rPr>
        <w:t>The Participant shall not be deemed for any purpose to be the owner of any shares of Class A Common Stock underlying the</w:t>
      </w:r>
      <w:r>
        <w:rPr>
          <w:rFonts w:ascii="Arial" w:cs="Arial" w:eastAsia="Arial" w:hAnsi="Arial"/>
          <w:sz w:val="18"/>
          <w:szCs w:val="18"/>
          <w:b w:val="1"/>
          <w:bCs w:val="1"/>
          <w:color w:val="212121"/>
        </w:rPr>
        <w:t xml:space="preserve"> </w:t>
      </w:r>
      <w:r>
        <w:rPr>
          <w:rFonts w:ascii="Arial" w:cs="Arial" w:eastAsia="Arial" w:hAnsi="Arial"/>
          <w:sz w:val="16"/>
          <w:szCs w:val="16"/>
          <w:color w:val="212121"/>
        </w:rPr>
        <w:t>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27" w:lineRule="exact"/>
        <w:rPr>
          <w:rFonts w:ascii="Arial" w:cs="Arial" w:eastAsia="Arial" w:hAnsi="Arial"/>
          <w:sz w:val="18"/>
          <w:szCs w:val="18"/>
          <w:b w:val="1"/>
          <w:bCs w:val="1"/>
          <w:color w:val="auto"/>
        </w:rPr>
      </w:pPr>
    </w:p>
    <w:p>
      <w:pPr>
        <w:ind w:left="600" w:hanging="598"/>
        <w:spacing w:after="0"/>
        <w:tabs>
          <w:tab w:leader="none" w:pos="60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212121"/>
        </w:rPr>
        <w:t>Compliance with Legal Requirements.</w:t>
      </w:r>
    </w:p>
    <w:p>
      <w:pPr>
        <w:spacing w:after="0" w:line="260" w:lineRule="exact"/>
        <w:rPr>
          <w:rFonts w:ascii="Arial" w:cs="Arial" w:eastAsia="Arial" w:hAnsi="Arial"/>
          <w:sz w:val="18"/>
          <w:szCs w:val="18"/>
          <w:b w:val="1"/>
          <w:bCs w:val="1"/>
          <w:color w:val="auto"/>
        </w:rPr>
      </w:pPr>
    </w:p>
    <w:p>
      <w:pPr>
        <w:ind w:right="280" w:firstLine="593"/>
        <w:spacing w:after="0" w:line="349" w:lineRule="auto"/>
        <w:tabs>
          <w:tab w:leader="none" w:pos="979" w:val="left"/>
        </w:tabs>
        <w:numPr>
          <w:ilvl w:val="1"/>
          <w:numId w:val="184"/>
        </w:numPr>
        <w:rPr>
          <w:rFonts w:ascii="Arial" w:cs="Arial" w:eastAsia="Arial" w:hAnsi="Arial"/>
          <w:sz w:val="17"/>
          <w:szCs w:val="17"/>
          <w:color w:val="auto"/>
        </w:rPr>
      </w:pPr>
      <w:r>
        <w:rPr>
          <w:rFonts w:ascii="Arial" w:cs="Arial" w:eastAsia="Arial" w:hAnsi="Arial"/>
          <w:sz w:val="15"/>
          <w:szCs w:val="15"/>
          <w:u w:val="single" w:color="auto"/>
          <w:color w:val="343434"/>
        </w:rPr>
        <w:t>Generally.</w:t>
      </w:r>
      <w:r>
        <w:rPr>
          <w:rFonts w:ascii="Arial" w:cs="Arial" w:eastAsia="Arial" w:hAnsi="Arial"/>
          <w:sz w:val="15"/>
          <w:szCs w:val="15"/>
          <w:color w:val="343434"/>
        </w:rPr>
        <w:t xml:space="preserve"> </w:t>
      </w:r>
      <w:r>
        <w:rPr>
          <w:rFonts w:ascii="Arial" w:cs="Arial" w:eastAsia="Arial" w:hAnsi="Arial"/>
          <w:sz w:val="15"/>
          <w:szCs w:val="15"/>
          <w:color w:val="212121"/>
        </w:rPr>
        <w:t>The granting and settlement of the RSUs, and any other obligations of the Company under this Agreement, shall be subject to all applicable</w:t>
      </w:r>
      <w:r>
        <w:rPr>
          <w:rFonts w:ascii="Arial" w:cs="Arial" w:eastAsia="Arial" w:hAnsi="Arial"/>
          <w:sz w:val="15"/>
          <w:szCs w:val="15"/>
          <w:color w:val="343434"/>
        </w:rPr>
        <w:t xml:space="preserve"> </w:t>
      </w:r>
      <w:r>
        <w:rPr>
          <w:rFonts w:ascii="Arial" w:cs="Arial" w:eastAsia="Arial" w:hAnsi="Arial"/>
          <w:sz w:val="15"/>
          <w:szCs w:val="15"/>
          <w:color w:val="212121"/>
        </w:rPr>
        <w:t>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83" w:lineRule="exact"/>
        <w:rPr>
          <w:rFonts w:ascii="Arial" w:cs="Arial" w:eastAsia="Arial" w:hAnsi="Arial"/>
          <w:sz w:val="17"/>
          <w:szCs w:val="17"/>
          <w:color w:val="auto"/>
        </w:rPr>
      </w:pPr>
    </w:p>
    <w:p>
      <w:pPr>
        <w:ind w:right="240" w:firstLine="593"/>
        <w:spacing w:after="0" w:line="281" w:lineRule="auto"/>
        <w:tabs>
          <w:tab w:leader="none" w:pos="990" w:val="left"/>
        </w:tabs>
        <w:numPr>
          <w:ilvl w:val="1"/>
          <w:numId w:val="184"/>
        </w:numPr>
        <w:rPr>
          <w:rFonts w:ascii="Arial" w:cs="Arial" w:eastAsia="Arial" w:hAnsi="Arial"/>
          <w:sz w:val="19"/>
          <w:szCs w:val="19"/>
          <w:color w:val="auto"/>
        </w:rPr>
      </w:pPr>
      <w:r>
        <w:rPr>
          <w:rFonts w:ascii="Arial" w:cs="Arial" w:eastAsia="Arial" w:hAnsi="Arial"/>
          <w:sz w:val="17"/>
          <w:szCs w:val="17"/>
          <w:u w:val="single" w:color="auto"/>
          <w:color w:val="343434"/>
        </w:rPr>
        <w:t>Taxes and Withholding.</w:t>
      </w:r>
      <w:r>
        <w:rPr>
          <w:rFonts w:ascii="Arial" w:cs="Arial" w:eastAsia="Arial" w:hAnsi="Arial"/>
          <w:sz w:val="17"/>
          <w:szCs w:val="17"/>
          <w:color w:val="343434"/>
        </w:rPr>
        <w:t xml:space="preserve"> </w:t>
      </w:r>
      <w:r>
        <w:rPr>
          <w:rFonts w:ascii="Arial" w:cs="Arial" w:eastAsia="Arial" w:hAnsi="Arial"/>
          <w:sz w:val="17"/>
          <w:szCs w:val="17"/>
          <w:color w:val="212121"/>
        </w:rPr>
        <w:t>Vesting and settlement of the RSUs shall be subject to the Participant satisfying any applicable U.S. federal, state and local tax</w:t>
      </w:r>
      <w:r>
        <w:rPr>
          <w:rFonts w:ascii="Arial" w:cs="Arial" w:eastAsia="Arial" w:hAnsi="Arial"/>
          <w:sz w:val="17"/>
          <w:szCs w:val="17"/>
          <w:color w:val="343434"/>
        </w:rPr>
        <w:t xml:space="preserve"> </w:t>
      </w:r>
      <w:r>
        <w:rPr>
          <w:rFonts w:ascii="Arial" w:cs="Arial" w:eastAsia="Arial" w:hAnsi="Arial"/>
          <w:sz w:val="17"/>
          <w:szCs w:val="17"/>
          <w:color w:val="212121"/>
        </w:rPr>
        <w:t>withholding obligations and non</w:t>
      </w:r>
    </w:p>
    <w:p>
      <w:pPr>
        <w:ind w:firstLine="13"/>
        <w:spacing w:after="0" w:line="283" w:lineRule="auto"/>
        <w:rPr>
          <w:rFonts w:ascii="Arial" w:cs="Arial" w:eastAsia="Arial" w:hAnsi="Arial"/>
          <w:sz w:val="19"/>
          <w:szCs w:val="19"/>
          <w:color w:val="auto"/>
        </w:rPr>
      </w:pPr>
      <w:r>
        <w:rPr>
          <w:rFonts w:ascii="Arial" w:cs="Arial" w:eastAsia="Arial" w:hAnsi="Arial"/>
          <w:sz w:val="16"/>
          <w:szCs w:val="16"/>
          <w:color w:val="212121"/>
        </w:rPr>
        <w:t>U.S. tax withholding obligations. The Company shall have the right and is hereby authorized to withhold from any amounts payable to the Participant in connection with the RSUs or otherwise the amount of any required withholding taxes in respect of the RSUs, their settlement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66" w:lineRule="exact"/>
        <w:rPr>
          <w:rFonts w:ascii="Arial" w:cs="Arial" w:eastAsia="Arial" w:hAnsi="Arial"/>
          <w:sz w:val="19"/>
          <w:szCs w:val="19"/>
          <w:color w:val="auto"/>
        </w:rPr>
      </w:pPr>
    </w:p>
    <w:p>
      <w:pPr>
        <w:ind w:right="160" w:firstLine="2"/>
        <w:spacing w:after="0" w:line="353" w:lineRule="auto"/>
        <w:tabs>
          <w:tab w:leader="none" w:pos="715"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212121"/>
        </w:rPr>
        <w:t xml:space="preserve">Clawback. </w:t>
      </w:r>
      <w:r>
        <w:rPr>
          <w:rFonts w:ascii="Arial" w:cs="Arial" w:eastAsia="Arial" w:hAnsi="Arial"/>
          <w:sz w:val="16"/>
          <w:szCs w:val="16"/>
          <w:color w:val="212121"/>
        </w:rPr>
        <w:t>Notwithstanding anything to the contrary contained herein, the Committee may cancel the RSU award if the Participant, without the consent of</w:t>
      </w:r>
      <w:r>
        <w:rPr>
          <w:rFonts w:ascii="Arial" w:cs="Arial" w:eastAsia="Arial" w:hAnsi="Arial"/>
          <w:sz w:val="18"/>
          <w:szCs w:val="18"/>
          <w:b w:val="1"/>
          <w:bCs w:val="1"/>
          <w:color w:val="212121"/>
        </w:rPr>
        <w:t xml:space="preserve"> </w:t>
      </w:r>
      <w:r>
        <w:rPr>
          <w:rFonts w:ascii="Arial" w:cs="Arial" w:eastAsia="Arial" w:hAnsi="Arial"/>
          <w:sz w:val="16"/>
          <w:szCs w:val="16"/>
          <w:color w:val="212121"/>
        </w:rPr>
        <w:t xml:space="preserve">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including for the avoidance of doubt </w:t>
      </w:r>
      <w:r>
        <w:rPr>
          <w:rFonts w:ascii="Arial" w:cs="Arial" w:eastAsia="Arial" w:hAnsi="Arial"/>
          <w:sz w:val="16"/>
          <w:szCs w:val="16"/>
          <w:u w:val="single" w:color="auto"/>
          <w:color w:val="444444"/>
        </w:rPr>
        <w:t>Exh</w:t>
      </w:r>
      <w:r>
        <w:rPr>
          <w:rFonts w:ascii="Arial" w:cs="Arial" w:eastAsia="Arial" w:hAnsi="Arial"/>
          <w:sz w:val="16"/>
          <w:szCs w:val="16"/>
          <w:u w:val="single" w:color="auto"/>
          <w:color w:val="212121"/>
        </w:rPr>
        <w:t>i bit</w:t>
      </w:r>
      <w:r>
        <w:rPr>
          <w:rFonts w:ascii="Arial" w:cs="Arial" w:eastAsia="Arial" w:hAnsi="Arial"/>
          <w:sz w:val="16"/>
          <w:szCs w:val="16"/>
          <w:color w:val="212121"/>
        </w:rPr>
        <w:t xml:space="preserve"> </w:t>
      </w:r>
      <w:r>
        <w:rPr>
          <w:rFonts w:ascii="Arial" w:cs="Arial" w:eastAsia="Arial" w:hAnsi="Arial"/>
          <w:sz w:val="16"/>
          <w:szCs w:val="16"/>
          <w:u w:val="single" w:color="auto"/>
          <w:color w:val="343434"/>
        </w:rPr>
        <w:t>A</w:t>
      </w:r>
      <w:r>
        <w:rPr>
          <w:rFonts w:ascii="Arial" w:cs="Arial" w:eastAsia="Arial" w:hAnsi="Arial"/>
          <w:sz w:val="16"/>
          <w:szCs w:val="16"/>
          <w:color w:val="212121"/>
        </w:rPr>
        <w:t xml:space="preserve"> to this Agreement, as determined by the Committee. In</w:t>
      </w:r>
    </w:p>
    <w:p>
      <w:pPr>
        <w:spacing w:after="0" w:line="16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400" w:top="494" w:right="239" w:bottom="1440" w:gutter="0" w:footer="0" w:header="0"/>
        </w:sectPr>
      </w:pPr>
    </w:p>
    <w:bookmarkStart w:id="191" w:name="page192"/>
    <w:bookmarkEnd w:id="191"/>
    <w:p>
      <w:pPr>
        <w:spacing w:after="0" w:line="262" w:lineRule="auto"/>
        <w:rPr>
          <w:sz w:val="20"/>
          <w:szCs w:val="20"/>
          <w:color w:val="auto"/>
        </w:rPr>
      </w:pPr>
      <w:r>
        <w:rPr>
          <w:rFonts w:ascii="Arial" w:cs="Arial" w:eastAsia="Arial" w:hAnsi="Arial"/>
          <w:sz w:val="17"/>
          <w:szCs w:val="17"/>
          <w:color w:val="212121"/>
        </w:rPr>
        <w:t xml:space="preserve">such event, the Participant will forfeit any compensation, gain or other value realized thereafter on the vesting or settlement of the RSUs, the sale or other transfer of the RSUs, or the sale of shares of Class A Common Stock acquired in respect of the RSUs, and must promptly repay such amounts to the Company. </w:t>
      </w:r>
      <w:r>
        <w:rPr>
          <w:rFonts w:ascii="Arial" w:cs="Arial" w:eastAsia="Arial" w:hAnsi="Arial"/>
          <w:sz w:val="16"/>
          <w:szCs w:val="16"/>
          <w:color w:val="212121"/>
        </w:rPr>
        <w:t>If</w:t>
      </w:r>
      <w:r>
        <w:rPr>
          <w:rFonts w:ascii="Arial" w:cs="Arial" w:eastAsia="Arial" w:hAnsi="Arial"/>
          <w:sz w:val="17"/>
          <w:szCs w:val="17"/>
          <w:color w:val="212121"/>
        </w:rPr>
        <w:t xml:space="preserve">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7" w:lineRule="exact"/>
        <w:rPr>
          <w:sz w:val="20"/>
          <w:szCs w:val="20"/>
          <w:color w:val="auto"/>
        </w:rPr>
      </w:pPr>
    </w:p>
    <w:p>
      <w:pPr>
        <w:ind w:left="600" w:hanging="597"/>
        <w:spacing w:after="0"/>
        <w:tabs>
          <w:tab w:leader="none" w:pos="60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212121"/>
        </w:rPr>
        <w:t>Restrictive Covenants.</w:t>
      </w:r>
    </w:p>
    <w:p>
      <w:pPr>
        <w:spacing w:after="0" w:line="256" w:lineRule="exact"/>
        <w:rPr>
          <w:rFonts w:ascii="Arial" w:cs="Arial" w:eastAsia="Arial" w:hAnsi="Arial"/>
          <w:sz w:val="17"/>
          <w:szCs w:val="17"/>
          <w:b w:val="1"/>
          <w:bCs w:val="1"/>
          <w:color w:val="auto"/>
        </w:rPr>
      </w:pPr>
    </w:p>
    <w:p>
      <w:pPr>
        <w:ind w:left="980" w:hanging="386"/>
        <w:spacing w:after="0"/>
        <w:tabs>
          <w:tab w:leader="none" w:pos="980" w:val="left"/>
        </w:tabs>
        <w:numPr>
          <w:ilvl w:val="1"/>
          <w:numId w:val="185"/>
        </w:numPr>
        <w:rPr>
          <w:rFonts w:ascii="Arial" w:cs="Arial" w:eastAsia="Arial" w:hAnsi="Arial"/>
          <w:sz w:val="19"/>
          <w:szCs w:val="19"/>
          <w:color w:val="auto"/>
        </w:rPr>
      </w:pPr>
      <w:r>
        <w:rPr>
          <w:rFonts w:ascii="Arial" w:cs="Arial" w:eastAsia="Arial" w:hAnsi="Arial"/>
          <w:sz w:val="17"/>
          <w:szCs w:val="17"/>
          <w:color w:val="212121"/>
        </w:rPr>
        <w:t xml:space="preserve">The Participant shall be subject to the confidentiality and restrictive covenants set forth on </w:t>
      </w:r>
      <w:r>
        <w:rPr>
          <w:rFonts w:ascii="Arial" w:cs="Arial" w:eastAsia="Arial" w:hAnsi="Arial"/>
          <w:sz w:val="17"/>
          <w:szCs w:val="17"/>
          <w:u w:val="single" w:color="auto"/>
          <w:color w:val="212121"/>
        </w:rPr>
        <w:t>Exhibit A</w:t>
      </w:r>
      <w:r>
        <w:rPr>
          <w:rFonts w:ascii="Arial" w:cs="Arial" w:eastAsia="Arial" w:hAnsi="Arial"/>
          <w:sz w:val="17"/>
          <w:szCs w:val="17"/>
          <w:color w:val="212121"/>
        </w:rPr>
        <w:t xml:space="preserve"> attached hereto.</w:t>
      </w:r>
    </w:p>
    <w:p>
      <w:pPr>
        <w:spacing w:after="0" w:line="240" w:lineRule="exact"/>
        <w:rPr>
          <w:rFonts w:ascii="Arial" w:cs="Arial" w:eastAsia="Arial" w:hAnsi="Arial"/>
          <w:sz w:val="19"/>
          <w:szCs w:val="19"/>
          <w:color w:val="auto"/>
        </w:rPr>
      </w:pPr>
    </w:p>
    <w:p>
      <w:pPr>
        <w:ind w:firstLine="607"/>
        <w:spacing w:after="0" w:line="289" w:lineRule="auto"/>
        <w:tabs>
          <w:tab w:leader="none" w:pos="1003" w:val="left"/>
        </w:tabs>
        <w:numPr>
          <w:ilvl w:val="2"/>
          <w:numId w:val="185"/>
        </w:numPr>
        <w:rPr>
          <w:rFonts w:ascii="Arial" w:cs="Arial" w:eastAsia="Arial" w:hAnsi="Arial"/>
          <w:sz w:val="19"/>
          <w:szCs w:val="19"/>
          <w:color w:val="auto"/>
        </w:rPr>
      </w:pPr>
      <w:r>
        <w:rPr>
          <w:rFonts w:ascii="Arial" w:cs="Arial" w:eastAsia="Arial" w:hAnsi="Arial"/>
          <w:sz w:val="17"/>
          <w:szCs w:val="17"/>
          <w:color w:val="212121"/>
        </w:rPr>
        <w:t>In the event that the Participant violates any of the restrictive covenants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67" w:lineRule="exact"/>
        <w:rPr>
          <w:rFonts w:ascii="Arial" w:cs="Arial" w:eastAsia="Arial" w:hAnsi="Arial"/>
          <w:sz w:val="19"/>
          <w:szCs w:val="19"/>
          <w:color w:val="auto"/>
        </w:rPr>
      </w:pPr>
    </w:p>
    <w:p>
      <w:pPr>
        <w:ind w:left="600" w:hanging="597"/>
        <w:spacing w:after="0"/>
        <w:tabs>
          <w:tab w:leader="none" w:pos="60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212121"/>
        </w:rPr>
        <w:t>Miscellaneous.</w:t>
      </w:r>
    </w:p>
    <w:p>
      <w:pPr>
        <w:spacing w:after="0" w:line="256" w:lineRule="exact"/>
        <w:rPr>
          <w:rFonts w:ascii="Arial" w:cs="Arial" w:eastAsia="Arial" w:hAnsi="Arial"/>
          <w:sz w:val="17"/>
          <w:szCs w:val="17"/>
          <w:b w:val="1"/>
          <w:bCs w:val="1"/>
          <w:color w:val="auto"/>
        </w:rPr>
      </w:pPr>
    </w:p>
    <w:p>
      <w:pPr>
        <w:ind w:right="100" w:firstLine="594"/>
        <w:spacing w:after="0" w:line="289" w:lineRule="auto"/>
        <w:tabs>
          <w:tab w:leader="none" w:pos="992" w:val="left"/>
        </w:tabs>
        <w:numPr>
          <w:ilvl w:val="1"/>
          <w:numId w:val="185"/>
        </w:numPr>
        <w:rPr>
          <w:rFonts w:ascii="Arial" w:cs="Arial" w:eastAsia="Arial" w:hAnsi="Arial"/>
          <w:sz w:val="19"/>
          <w:szCs w:val="19"/>
          <w:color w:val="auto"/>
        </w:rPr>
      </w:pPr>
      <w:r>
        <w:rPr>
          <w:rFonts w:ascii="Arial" w:cs="Arial" w:eastAsia="Arial" w:hAnsi="Arial"/>
          <w:sz w:val="17"/>
          <w:szCs w:val="17"/>
          <w:u w:val="single" w:color="auto"/>
          <w:color w:val="363636"/>
        </w:rPr>
        <w:t>Transferability</w:t>
      </w:r>
      <w:r>
        <w:rPr>
          <w:rFonts w:ascii="Arial" w:cs="Arial" w:eastAsia="Arial" w:hAnsi="Arial"/>
          <w:sz w:val="17"/>
          <w:szCs w:val="17"/>
          <w:color w:val="363636"/>
        </w:rPr>
        <w:t xml:space="preserve">. </w:t>
      </w:r>
      <w:r>
        <w:rPr>
          <w:rFonts w:ascii="Arial" w:cs="Arial" w:eastAsia="Arial" w:hAnsi="Arial"/>
          <w:sz w:val="17"/>
          <w:szCs w:val="17"/>
          <w:color w:val="212121"/>
        </w:rPr>
        <w:t>The RSUs may not be assigned, alienated, pledged, attached, sold or otherwise transferred or encumbered (a</w:t>
      </w:r>
      <w:r>
        <w:rPr>
          <w:rFonts w:ascii="Arial" w:cs="Arial" w:eastAsia="Arial" w:hAnsi="Arial"/>
          <w:sz w:val="17"/>
          <w:szCs w:val="17"/>
          <w:color w:val="363636"/>
        </w:rPr>
        <w:t xml:space="preserve"> </w:t>
      </w:r>
      <w:r>
        <w:rPr>
          <w:rFonts w:ascii="Arial" w:cs="Arial" w:eastAsia="Arial" w:hAnsi="Arial"/>
          <w:sz w:val="17"/>
          <w:szCs w:val="17"/>
          <w:u w:val="single" w:color="auto"/>
          <w:color w:val="212121"/>
        </w:rPr>
        <w:t>"Transfer")</w:t>
      </w:r>
      <w:r>
        <w:rPr>
          <w:rFonts w:ascii="Arial" w:cs="Arial" w:eastAsia="Arial" w:hAnsi="Arial"/>
          <w:sz w:val="17"/>
          <w:szCs w:val="17"/>
          <w:color w:val="363636"/>
        </w:rPr>
        <w:t xml:space="preserve"> </w:t>
      </w:r>
      <w:r>
        <w:rPr>
          <w:rFonts w:ascii="Arial" w:cs="Arial" w:eastAsia="Arial" w:hAnsi="Arial"/>
          <w:sz w:val="17"/>
          <w:szCs w:val="17"/>
          <w:color w:val="212121"/>
        </w:rPr>
        <w:t>by the</w:t>
      </w:r>
      <w:r>
        <w:rPr>
          <w:rFonts w:ascii="Arial" w:cs="Arial" w:eastAsia="Arial" w:hAnsi="Arial"/>
          <w:sz w:val="17"/>
          <w:szCs w:val="17"/>
          <w:color w:val="363636"/>
        </w:rPr>
        <w:t xml:space="preserve"> </w:t>
      </w:r>
      <w:r>
        <w:rPr>
          <w:rFonts w:ascii="Arial" w:cs="Arial" w:eastAsia="Arial" w:hAnsi="Arial"/>
          <w:sz w:val="17"/>
          <w:szCs w:val="17"/>
          <w:color w:val="212121"/>
        </w:rPr>
        <w:t>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98" w:lineRule="exact"/>
        <w:rPr>
          <w:rFonts w:ascii="Arial" w:cs="Arial" w:eastAsia="Arial" w:hAnsi="Arial"/>
          <w:sz w:val="19"/>
          <w:szCs w:val="19"/>
          <w:color w:val="auto"/>
        </w:rPr>
      </w:pPr>
    </w:p>
    <w:p>
      <w:pPr>
        <w:ind w:right="80" w:firstLine="594"/>
        <w:spacing w:after="0" w:line="298" w:lineRule="auto"/>
        <w:tabs>
          <w:tab w:leader="none" w:pos="1003" w:val="left"/>
        </w:tabs>
        <w:numPr>
          <w:ilvl w:val="1"/>
          <w:numId w:val="185"/>
        </w:numPr>
        <w:rPr>
          <w:rFonts w:ascii="Arial" w:cs="Arial" w:eastAsia="Arial" w:hAnsi="Arial"/>
          <w:sz w:val="17"/>
          <w:szCs w:val="17"/>
          <w:color w:val="auto"/>
        </w:rPr>
      </w:pPr>
      <w:r>
        <w:rPr>
          <w:rFonts w:ascii="Arial" w:cs="Arial" w:eastAsia="Arial" w:hAnsi="Arial"/>
          <w:sz w:val="16"/>
          <w:szCs w:val="16"/>
          <w:u w:val="single" w:color="auto"/>
          <w:color w:val="212121"/>
        </w:rPr>
        <w:t>Waiver.</w:t>
      </w:r>
      <w:r>
        <w:rPr>
          <w:rFonts w:ascii="Arial" w:cs="Arial" w:eastAsia="Arial" w:hAnsi="Arial"/>
          <w:sz w:val="16"/>
          <w:szCs w:val="16"/>
          <w:color w:val="212121"/>
        </w:rPr>
        <w:t xml:space="preserve">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w:t>
      </w:r>
    </w:p>
    <w:p>
      <w:pPr>
        <w:spacing w:after="0" w:line="1" w:lineRule="exact"/>
        <w:rPr>
          <w:rFonts w:ascii="Arial" w:cs="Arial" w:eastAsia="Arial" w:hAnsi="Arial"/>
          <w:sz w:val="17"/>
          <w:szCs w:val="17"/>
          <w:color w:val="auto"/>
        </w:rPr>
      </w:pPr>
    </w:p>
    <w:p>
      <w:pPr>
        <w:ind w:right="60"/>
        <w:spacing w:after="0" w:line="306" w:lineRule="auto"/>
        <w:rPr>
          <w:rFonts w:ascii="Arial" w:cs="Arial" w:eastAsia="Arial" w:hAnsi="Arial"/>
          <w:sz w:val="17"/>
          <w:szCs w:val="17"/>
          <w:color w:val="auto"/>
        </w:rPr>
      </w:pPr>
      <w:r>
        <w:rPr>
          <w:rFonts w:ascii="Arial" w:cs="Arial" w:eastAsia="Arial" w:hAnsi="Arial"/>
          <w:sz w:val="17"/>
          <w:szCs w:val="17"/>
          <w:color w:val="212121"/>
        </w:rPr>
        <w:t>a waiver of any right to damages. No waiver by any party of any breach of this Agreement shall be held to constitute a waiver of any other breach or a waiver of the continuation of the same breach.</w:t>
      </w:r>
    </w:p>
    <w:p>
      <w:pPr>
        <w:spacing w:after="0" w:line="145" w:lineRule="exact"/>
        <w:rPr>
          <w:sz w:val="20"/>
          <w:szCs w:val="20"/>
          <w:color w:val="auto"/>
        </w:rPr>
      </w:pPr>
    </w:p>
    <w:p>
      <w:pPr>
        <w:ind w:left="1200" w:hanging="619"/>
        <w:spacing w:after="0"/>
        <w:tabs>
          <w:tab w:leader="none" w:pos="1200" w:val="left"/>
        </w:tabs>
        <w:numPr>
          <w:ilvl w:val="0"/>
          <w:numId w:val="186"/>
        </w:numPr>
        <w:rPr>
          <w:rFonts w:ascii="Arial" w:cs="Arial" w:eastAsia="Arial" w:hAnsi="Arial"/>
          <w:sz w:val="19"/>
          <w:szCs w:val="19"/>
          <w:color w:val="auto"/>
        </w:rPr>
      </w:pPr>
      <w:r>
        <w:rPr>
          <w:rFonts w:ascii="Arial" w:cs="Arial" w:eastAsia="Arial" w:hAnsi="Arial"/>
          <w:sz w:val="17"/>
          <w:szCs w:val="17"/>
          <w:u w:val="single" w:color="auto"/>
          <w:color w:val="363636"/>
        </w:rPr>
        <w:t>Section 409A</w:t>
      </w:r>
      <w:r>
        <w:rPr>
          <w:rFonts w:ascii="Arial" w:cs="Arial" w:eastAsia="Arial" w:hAnsi="Arial"/>
          <w:sz w:val="17"/>
          <w:szCs w:val="17"/>
          <w:color w:val="363636"/>
        </w:rPr>
        <w:t xml:space="preserve">. </w:t>
      </w:r>
      <w:r>
        <w:rPr>
          <w:rFonts w:ascii="Arial" w:cs="Arial" w:eastAsia="Arial" w:hAnsi="Arial"/>
          <w:sz w:val="17"/>
          <w:szCs w:val="17"/>
          <w:color w:val="212121"/>
        </w:rPr>
        <w:t>The RSUs are intended to be exempt from, or compliant with,</w:t>
      </w:r>
    </w:p>
    <w:p>
      <w:pPr>
        <w:spacing w:after="0" w:line="9"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212121"/>
        </w:rPr>
        <w:t>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60" w:top="469" w:right="259" w:bottom="1440" w:gutter="0" w:footer="0" w:header="0"/>
        </w:sectPr>
      </w:pPr>
    </w:p>
    <w:bookmarkStart w:id="192" w:name="page193"/>
    <w:bookmarkEnd w:id="192"/>
    <w:p>
      <w:pPr>
        <w:ind w:left="20"/>
        <w:spacing w:after="0"/>
        <w:rPr>
          <w:sz w:val="20"/>
          <w:szCs w:val="20"/>
          <w:color w:val="auto"/>
        </w:rPr>
      </w:pPr>
      <w:r>
        <w:rPr>
          <w:rFonts w:ascii="Arial" w:cs="Arial" w:eastAsia="Arial" w:hAnsi="Arial"/>
          <w:sz w:val="17"/>
          <w:szCs w:val="17"/>
          <w:color w:val="212121"/>
        </w:rPr>
        <w:t>Agreement and does not guarantee that the RSUs will not be subject to interest and penalties under Section 409A.</w:t>
      </w:r>
    </w:p>
    <w:p>
      <w:pPr>
        <w:spacing w:after="0" w:line="251" w:lineRule="exact"/>
        <w:rPr>
          <w:sz w:val="20"/>
          <w:szCs w:val="20"/>
          <w:color w:val="auto"/>
        </w:rPr>
      </w:pPr>
    </w:p>
    <w:p>
      <w:pPr>
        <w:ind w:left="20" w:right="80" w:firstLine="586"/>
        <w:spacing w:after="0" w:line="289" w:lineRule="auto"/>
        <w:tabs>
          <w:tab w:leader="none" w:pos="1010" w:val="left"/>
        </w:tabs>
        <w:numPr>
          <w:ilvl w:val="1"/>
          <w:numId w:val="187"/>
        </w:numPr>
        <w:rPr>
          <w:rFonts w:ascii="Arial" w:cs="Arial" w:eastAsia="Arial" w:hAnsi="Arial"/>
          <w:sz w:val="19"/>
          <w:szCs w:val="19"/>
          <w:color w:val="auto"/>
        </w:rPr>
      </w:pPr>
      <w:r>
        <w:rPr>
          <w:rFonts w:ascii="Arial" w:cs="Arial" w:eastAsia="Arial" w:hAnsi="Arial"/>
          <w:sz w:val="17"/>
          <w:szCs w:val="17"/>
          <w:u w:val="single" w:color="auto"/>
          <w:color w:val="383838"/>
        </w:rPr>
        <w:t>General Assets.</w:t>
      </w:r>
      <w:r>
        <w:rPr>
          <w:rFonts w:ascii="Arial" w:cs="Arial" w:eastAsia="Arial" w:hAnsi="Arial"/>
          <w:sz w:val="17"/>
          <w:szCs w:val="17"/>
          <w:color w:val="383838"/>
        </w:rPr>
        <w:t xml:space="preserve"> </w:t>
      </w:r>
      <w:r>
        <w:rPr>
          <w:rFonts w:ascii="Arial" w:cs="Arial" w:eastAsia="Arial" w:hAnsi="Arial"/>
          <w:sz w:val="17"/>
          <w:szCs w:val="17"/>
          <w:color w:val="212121"/>
        </w:rPr>
        <w:t>All amounts credited in respect of the RSUs to the book-entry account under this Agreement shall continue for all purposes to be</w:t>
      </w:r>
      <w:r>
        <w:rPr>
          <w:rFonts w:ascii="Arial" w:cs="Arial" w:eastAsia="Arial" w:hAnsi="Arial"/>
          <w:sz w:val="17"/>
          <w:szCs w:val="17"/>
          <w:color w:val="383838"/>
        </w:rPr>
        <w:t xml:space="preserve"> </w:t>
      </w:r>
      <w:r>
        <w:rPr>
          <w:rFonts w:ascii="Arial" w:cs="Arial" w:eastAsia="Arial" w:hAnsi="Arial"/>
          <w:sz w:val="17"/>
          <w:szCs w:val="17"/>
          <w:color w:val="212121"/>
        </w:rPr>
        <w:t>part of the general assets of the Company. The Participant's interest in such account shall make the Participant only a general, unsecured creditor of the Company.</w:t>
      </w:r>
    </w:p>
    <w:p>
      <w:pPr>
        <w:spacing w:after="0" w:line="184" w:lineRule="exact"/>
        <w:rPr>
          <w:rFonts w:ascii="Arial" w:cs="Arial" w:eastAsia="Arial" w:hAnsi="Arial"/>
          <w:sz w:val="19"/>
          <w:szCs w:val="19"/>
          <w:color w:val="auto"/>
        </w:rPr>
      </w:pPr>
    </w:p>
    <w:p>
      <w:pPr>
        <w:ind w:left="20" w:right="20" w:firstLine="586"/>
        <w:spacing w:after="0" w:line="318" w:lineRule="auto"/>
        <w:tabs>
          <w:tab w:leader="none" w:pos="999" w:val="left"/>
        </w:tabs>
        <w:numPr>
          <w:ilvl w:val="1"/>
          <w:numId w:val="187"/>
        </w:numPr>
        <w:rPr>
          <w:rFonts w:ascii="Arial" w:cs="Arial" w:eastAsia="Arial" w:hAnsi="Arial"/>
          <w:sz w:val="17"/>
          <w:szCs w:val="17"/>
          <w:color w:val="auto"/>
        </w:rPr>
      </w:pPr>
      <w:r>
        <w:rPr>
          <w:rFonts w:ascii="Arial" w:cs="Arial" w:eastAsia="Arial" w:hAnsi="Arial"/>
          <w:sz w:val="16"/>
          <w:szCs w:val="16"/>
          <w:u w:val="single" w:color="auto"/>
          <w:color w:val="383838"/>
        </w:rPr>
        <w:t>Notices.</w:t>
      </w:r>
      <w:r>
        <w:rPr>
          <w:rFonts w:ascii="Arial" w:cs="Arial" w:eastAsia="Arial" w:hAnsi="Arial"/>
          <w:sz w:val="16"/>
          <w:szCs w:val="16"/>
          <w:color w:val="383838"/>
        </w:rPr>
        <w:t xml:space="preserve"> </w:t>
      </w:r>
      <w:r>
        <w:rPr>
          <w:rFonts w:ascii="Arial" w:cs="Arial" w:eastAsia="Arial" w:hAnsi="Arial"/>
          <w:sz w:val="16"/>
          <w:szCs w:val="16"/>
          <w:color w:val="212121"/>
        </w:rPr>
        <w:t>Any notices provided for in this Agreement or the Plan shall be in writing and shall be deemed sufficiently given if either hand delivered</w:t>
      </w:r>
      <w:r>
        <w:rPr>
          <w:rFonts w:ascii="Arial" w:cs="Arial" w:eastAsia="Arial" w:hAnsi="Arial"/>
          <w:sz w:val="16"/>
          <w:szCs w:val="16"/>
          <w:color w:val="383838"/>
        </w:rPr>
        <w:t xml:space="preserve"> </w:t>
      </w:r>
      <w:r>
        <w:rPr>
          <w:rFonts w:ascii="Arial" w:cs="Arial" w:eastAsia="Arial" w:hAnsi="Arial"/>
          <w:sz w:val="16"/>
          <w:szCs w:val="16"/>
          <w:color w:val="212121"/>
        </w:rPr>
        <w:t>or if sent by fax, pdf/email or overnight courier, or by postage paid first class mail. Notices sent by mail shall be deemed received three business days after mailing but in no event later than the date of actual receipt. Notices shall be directed, ifto the Participant, at the Participant's address indicated by the Company's records, or ifto the Company, to the attention of the General Counsel at the Company's principal executive office.</w:t>
      </w:r>
    </w:p>
    <w:p>
      <w:pPr>
        <w:spacing w:after="0" w:line="177" w:lineRule="exact"/>
        <w:rPr>
          <w:rFonts w:ascii="Arial" w:cs="Arial" w:eastAsia="Arial" w:hAnsi="Arial"/>
          <w:sz w:val="17"/>
          <w:szCs w:val="17"/>
          <w:color w:val="auto"/>
        </w:rPr>
      </w:pPr>
    </w:p>
    <w:p>
      <w:pPr>
        <w:ind w:right="620" w:firstLine="593"/>
        <w:spacing w:after="0" w:line="342" w:lineRule="auto"/>
        <w:tabs>
          <w:tab w:leader="none" w:pos="831" w:val="left"/>
        </w:tabs>
        <w:numPr>
          <w:ilvl w:val="0"/>
          <w:numId w:val="188"/>
        </w:numPr>
        <w:rPr>
          <w:rFonts w:ascii="Arial" w:cs="Arial" w:eastAsia="Arial" w:hAnsi="Arial"/>
          <w:sz w:val="17"/>
          <w:szCs w:val="17"/>
          <w:color w:val="auto"/>
        </w:rPr>
      </w:pPr>
      <w:r>
        <w:rPr>
          <w:rFonts w:ascii="Arial" w:cs="Arial" w:eastAsia="Arial" w:hAnsi="Arial"/>
          <w:sz w:val="16"/>
          <w:szCs w:val="16"/>
          <w:u w:val="single" w:color="auto"/>
          <w:color w:val="auto"/>
        </w:rPr>
        <w:t>S</w:t>
      </w:r>
      <w:r>
        <w:rPr>
          <w:rFonts w:ascii="Arial" w:cs="Arial" w:eastAsia="Arial" w:hAnsi="Arial"/>
          <w:sz w:val="16"/>
          <w:szCs w:val="16"/>
          <w:u w:val="single" w:color="auto"/>
          <w:color w:val="383838"/>
        </w:rPr>
        <w:t>everability.</w:t>
      </w:r>
      <w:r>
        <w:rPr>
          <w:rFonts w:ascii="Arial" w:cs="Arial" w:eastAsia="Arial" w:hAnsi="Arial"/>
          <w:sz w:val="16"/>
          <w:szCs w:val="16"/>
          <w:color w:val="auto"/>
        </w:rPr>
        <w:t xml:space="preserve"> </w:t>
      </w:r>
      <w:r>
        <w:rPr>
          <w:rFonts w:ascii="Arial" w:cs="Arial" w:eastAsia="Arial" w:hAnsi="Arial"/>
          <w:sz w:val="16"/>
          <w:szCs w:val="16"/>
          <w:color w:val="212121"/>
        </w:rPr>
        <w:t>The invalidity or unenforceability of any provision of this Agreement shall not affect the validity or enforceability of any other</w:t>
      </w:r>
      <w:r>
        <w:rPr>
          <w:rFonts w:ascii="Arial" w:cs="Arial" w:eastAsia="Arial" w:hAnsi="Arial"/>
          <w:sz w:val="16"/>
          <w:szCs w:val="16"/>
          <w:color w:val="auto"/>
        </w:rPr>
        <w:t xml:space="preserve"> </w:t>
      </w:r>
      <w:r>
        <w:rPr>
          <w:rFonts w:ascii="Arial" w:cs="Arial" w:eastAsia="Arial" w:hAnsi="Arial"/>
          <w:sz w:val="16"/>
          <w:szCs w:val="16"/>
          <w:color w:val="212121"/>
        </w:rPr>
        <w:t>provision of this Agreement, and each other provision of this Agreement shall be severable and enforceable to the extent permitted by law.</w:t>
      </w:r>
    </w:p>
    <w:p>
      <w:pPr>
        <w:spacing w:after="0" w:line="154" w:lineRule="exact"/>
        <w:rPr>
          <w:rFonts w:ascii="Arial" w:cs="Arial" w:eastAsia="Arial" w:hAnsi="Arial"/>
          <w:sz w:val="17"/>
          <w:szCs w:val="17"/>
          <w:color w:val="auto"/>
        </w:rPr>
      </w:pPr>
    </w:p>
    <w:p>
      <w:pPr>
        <w:jc w:val="both"/>
        <w:ind w:firstLine="593"/>
        <w:spacing w:after="0" w:line="322" w:lineRule="auto"/>
        <w:tabs>
          <w:tab w:leader="none" w:pos="990" w:val="left"/>
        </w:tabs>
        <w:numPr>
          <w:ilvl w:val="0"/>
          <w:numId w:val="188"/>
        </w:numPr>
        <w:rPr>
          <w:rFonts w:ascii="Arial" w:cs="Arial" w:eastAsia="Arial" w:hAnsi="Arial"/>
          <w:sz w:val="17"/>
          <w:szCs w:val="17"/>
          <w:color w:val="auto"/>
        </w:rPr>
      </w:pPr>
      <w:r>
        <w:rPr>
          <w:rFonts w:ascii="Arial" w:cs="Arial" w:eastAsia="Arial" w:hAnsi="Arial"/>
          <w:sz w:val="16"/>
          <w:szCs w:val="16"/>
          <w:u w:val="single" w:color="auto"/>
          <w:color w:val="383838"/>
        </w:rPr>
        <w:t>No Rights to Employment or Service</w:t>
      </w:r>
      <w:r>
        <w:rPr>
          <w:rFonts w:ascii="Arial" w:cs="Arial" w:eastAsia="Arial" w:hAnsi="Arial"/>
          <w:sz w:val="16"/>
          <w:szCs w:val="16"/>
          <w:color w:val="383838"/>
        </w:rPr>
        <w:t xml:space="preserve">. </w:t>
      </w:r>
      <w:r>
        <w:rPr>
          <w:rFonts w:ascii="Arial" w:cs="Arial" w:eastAsia="Arial" w:hAnsi="Arial"/>
          <w:sz w:val="16"/>
          <w:szCs w:val="16"/>
          <w:color w:val="212121"/>
        </w:rPr>
        <w:t>Nothing contained in this Agreement shall be construed as giving the Participant any right to be retained, in</w:t>
      </w:r>
      <w:r>
        <w:rPr>
          <w:rFonts w:ascii="Arial" w:cs="Arial" w:eastAsia="Arial" w:hAnsi="Arial"/>
          <w:sz w:val="16"/>
          <w:szCs w:val="16"/>
          <w:color w:val="383838"/>
        </w:rPr>
        <w:t xml:space="preserve"> </w:t>
      </w:r>
      <w:r>
        <w:rPr>
          <w:rFonts w:ascii="Arial" w:cs="Arial" w:eastAsia="Arial" w:hAnsi="Arial"/>
          <w:sz w:val="16"/>
          <w:szCs w:val="16"/>
          <w:color w:val="212121"/>
        </w:rPr>
        <w:t>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5" w:lineRule="exact"/>
        <w:rPr>
          <w:rFonts w:ascii="Arial" w:cs="Arial" w:eastAsia="Arial" w:hAnsi="Arial"/>
          <w:sz w:val="17"/>
          <w:szCs w:val="17"/>
          <w:color w:val="auto"/>
        </w:rPr>
      </w:pPr>
    </w:p>
    <w:p>
      <w:pPr>
        <w:ind w:right="40" w:firstLine="593"/>
        <w:spacing w:after="0" w:line="342" w:lineRule="auto"/>
        <w:tabs>
          <w:tab w:leader="none" w:pos="990" w:val="left"/>
        </w:tabs>
        <w:numPr>
          <w:ilvl w:val="0"/>
          <w:numId w:val="188"/>
        </w:numPr>
        <w:rPr>
          <w:rFonts w:ascii="Arial" w:cs="Arial" w:eastAsia="Arial" w:hAnsi="Arial"/>
          <w:sz w:val="17"/>
          <w:szCs w:val="17"/>
          <w:color w:val="auto"/>
        </w:rPr>
      </w:pPr>
      <w:r>
        <w:rPr>
          <w:rFonts w:ascii="Arial" w:cs="Arial" w:eastAsia="Arial" w:hAnsi="Arial"/>
          <w:sz w:val="16"/>
          <w:szCs w:val="16"/>
          <w:u w:val="single" w:color="auto"/>
          <w:color w:val="383838"/>
        </w:rPr>
        <w:t>Fractional Shares</w:t>
      </w:r>
      <w:r>
        <w:rPr>
          <w:rFonts w:ascii="Arial" w:cs="Arial" w:eastAsia="Arial" w:hAnsi="Arial"/>
          <w:sz w:val="16"/>
          <w:szCs w:val="16"/>
          <w:color w:val="383838"/>
        </w:rPr>
        <w:t xml:space="preserve">. </w:t>
      </w:r>
      <w:r>
        <w:rPr>
          <w:rFonts w:ascii="Arial" w:cs="Arial" w:eastAsia="Arial" w:hAnsi="Arial"/>
          <w:sz w:val="16"/>
          <w:szCs w:val="16"/>
          <w:color w:val="212121"/>
        </w:rPr>
        <w:t>In lieu of issuing a fraction of a share of Class A Common Stock resulting from adjustment of the RSUs pursuant to Section 12</w:t>
      </w:r>
      <w:r>
        <w:rPr>
          <w:rFonts w:ascii="Arial" w:cs="Arial" w:eastAsia="Arial" w:hAnsi="Arial"/>
          <w:sz w:val="16"/>
          <w:szCs w:val="16"/>
          <w:color w:val="383838"/>
        </w:rPr>
        <w:t xml:space="preserve"> </w:t>
      </w:r>
      <w:r>
        <w:rPr>
          <w:rFonts w:ascii="Arial" w:cs="Arial" w:eastAsia="Arial" w:hAnsi="Arial"/>
          <w:sz w:val="16"/>
          <w:szCs w:val="16"/>
          <w:color w:val="212121"/>
        </w:rPr>
        <w:t>of the Plan or otherwise, the Company shall be entitled to pay to the Participant an amount in cash equal to the Fair Market Value of such fractional share.</w:t>
      </w:r>
    </w:p>
    <w:p>
      <w:pPr>
        <w:spacing w:after="0" w:line="154" w:lineRule="exact"/>
        <w:rPr>
          <w:rFonts w:ascii="Arial" w:cs="Arial" w:eastAsia="Arial" w:hAnsi="Arial"/>
          <w:sz w:val="17"/>
          <w:szCs w:val="17"/>
          <w:color w:val="auto"/>
        </w:rPr>
      </w:pPr>
    </w:p>
    <w:p>
      <w:pPr>
        <w:ind w:right="660" w:firstLine="593"/>
        <w:spacing w:after="0" w:line="294" w:lineRule="auto"/>
        <w:tabs>
          <w:tab w:leader="none" w:pos="947" w:val="left"/>
        </w:tabs>
        <w:numPr>
          <w:ilvl w:val="0"/>
          <w:numId w:val="188"/>
        </w:numPr>
        <w:rPr>
          <w:rFonts w:ascii="Arial" w:cs="Arial" w:eastAsia="Arial" w:hAnsi="Arial"/>
          <w:sz w:val="19"/>
          <w:szCs w:val="19"/>
          <w:color w:val="auto"/>
        </w:rPr>
      </w:pPr>
      <w:r>
        <w:rPr>
          <w:rFonts w:ascii="Arial" w:cs="Arial" w:eastAsia="Arial" w:hAnsi="Arial"/>
          <w:sz w:val="17"/>
          <w:szCs w:val="17"/>
          <w:u w:val="single" w:color="auto"/>
          <w:color w:val="383838"/>
        </w:rPr>
        <w:t>Beneficiary.</w:t>
      </w:r>
      <w:r>
        <w:rPr>
          <w:rFonts w:ascii="Arial" w:cs="Arial" w:eastAsia="Arial" w:hAnsi="Arial"/>
          <w:sz w:val="17"/>
          <w:szCs w:val="17"/>
          <w:color w:val="383838"/>
        </w:rPr>
        <w:t xml:space="preserve"> </w:t>
      </w:r>
      <w:r>
        <w:rPr>
          <w:rFonts w:ascii="Arial" w:cs="Arial" w:eastAsia="Arial" w:hAnsi="Arial"/>
          <w:sz w:val="17"/>
          <w:szCs w:val="17"/>
          <w:color w:val="212121"/>
        </w:rPr>
        <w:t>The Participant may file with the Committee a written designation of a beneficiary on such form as may be prescribed by the</w:t>
      </w:r>
      <w:r>
        <w:rPr>
          <w:rFonts w:ascii="Arial" w:cs="Arial" w:eastAsia="Arial" w:hAnsi="Arial"/>
          <w:sz w:val="17"/>
          <w:szCs w:val="17"/>
          <w:color w:val="383838"/>
        </w:rPr>
        <w:t xml:space="preserve"> </w:t>
      </w:r>
      <w:r>
        <w:rPr>
          <w:rFonts w:ascii="Arial" w:cs="Arial" w:eastAsia="Arial" w:hAnsi="Arial"/>
          <w:sz w:val="17"/>
          <w:szCs w:val="17"/>
          <w:color w:val="212121"/>
        </w:rPr>
        <w:t>Committee and may, from time to time, amend or revoke such designation.</w:t>
      </w:r>
    </w:p>
    <w:p>
      <w:pPr>
        <w:spacing w:after="0" w:line="149" w:lineRule="exact"/>
        <w:rPr>
          <w:sz w:val="20"/>
          <w:szCs w:val="20"/>
          <w:color w:val="auto"/>
        </w:rPr>
      </w:pPr>
    </w:p>
    <w:p>
      <w:pPr>
        <w:ind w:right="120" w:firstLine="593"/>
        <w:spacing w:after="0" w:line="290" w:lineRule="auto"/>
        <w:tabs>
          <w:tab w:leader="none" w:pos="940" w:val="left"/>
        </w:tabs>
        <w:numPr>
          <w:ilvl w:val="0"/>
          <w:numId w:val="189"/>
        </w:numPr>
        <w:rPr>
          <w:rFonts w:ascii="Arial" w:cs="Arial" w:eastAsia="Arial" w:hAnsi="Arial"/>
          <w:sz w:val="17"/>
          <w:szCs w:val="17"/>
          <w:color w:val="212121"/>
        </w:rPr>
      </w:pPr>
      <w:r>
        <w:rPr>
          <w:rFonts w:ascii="Arial" w:cs="Arial" w:eastAsia="Arial" w:hAnsi="Arial"/>
          <w:sz w:val="17"/>
          <w:szCs w:val="17"/>
          <w:u w:val="single" w:color="auto"/>
          <w:color w:val="383838"/>
        </w:rPr>
        <w:t>Successors</w:t>
      </w:r>
      <w:r>
        <w:rPr>
          <w:rFonts w:ascii="Arial" w:cs="Arial" w:eastAsia="Arial" w:hAnsi="Arial"/>
          <w:sz w:val="17"/>
          <w:szCs w:val="17"/>
          <w:color w:val="383838"/>
        </w:rPr>
        <w:t xml:space="preserve">. </w:t>
      </w:r>
      <w:r>
        <w:rPr>
          <w:rFonts w:ascii="Arial" w:cs="Arial" w:eastAsia="Arial" w:hAnsi="Arial"/>
          <w:sz w:val="17"/>
          <w:szCs w:val="17"/>
          <w:color w:val="212121"/>
        </w:rPr>
        <w:t>The terms of this Agreement shall be binding upon and inure to the benefit of the Company and its successors and assigns, and of the</w:t>
      </w:r>
      <w:r>
        <w:rPr>
          <w:rFonts w:ascii="Arial" w:cs="Arial" w:eastAsia="Arial" w:hAnsi="Arial"/>
          <w:sz w:val="17"/>
          <w:szCs w:val="17"/>
          <w:color w:val="383838"/>
        </w:rPr>
        <w:t xml:space="preserve"> </w:t>
      </w:r>
      <w:r>
        <w:rPr>
          <w:rFonts w:ascii="Arial" w:cs="Arial" w:eastAsia="Arial" w:hAnsi="Arial"/>
          <w:sz w:val="17"/>
          <w:szCs w:val="17"/>
          <w:color w:val="212121"/>
        </w:rPr>
        <w:t>Participant and the beneficiaries, executors, administrators, heirs and successors of the Participant.</w:t>
      </w:r>
    </w:p>
    <w:p>
      <w:pPr>
        <w:spacing w:after="0" w:line="171" w:lineRule="exact"/>
        <w:rPr>
          <w:sz w:val="20"/>
          <w:szCs w:val="20"/>
          <w:color w:val="auto"/>
        </w:rPr>
      </w:pPr>
    </w:p>
    <w:p>
      <w:pPr>
        <w:ind w:right="100" w:firstLine="593"/>
        <w:spacing w:after="0" w:line="333" w:lineRule="auto"/>
        <w:tabs>
          <w:tab w:leader="none" w:pos="1398" w:val="left"/>
        </w:tabs>
        <w:numPr>
          <w:ilvl w:val="0"/>
          <w:numId w:val="190"/>
        </w:numPr>
        <w:rPr>
          <w:rFonts w:ascii="Arial" w:cs="Arial" w:eastAsia="Arial" w:hAnsi="Arial"/>
          <w:sz w:val="17"/>
          <w:szCs w:val="17"/>
          <w:color w:val="212121"/>
        </w:rPr>
      </w:pPr>
      <w:r>
        <w:rPr>
          <w:rFonts w:ascii="Arial" w:cs="Arial" w:eastAsia="Arial" w:hAnsi="Arial"/>
          <w:sz w:val="17"/>
          <w:szCs w:val="17"/>
          <w:u w:val="single" w:color="auto"/>
          <w:color w:val="383838"/>
        </w:rPr>
        <w:t>Entire Agreement.</w:t>
      </w:r>
      <w:r>
        <w:rPr>
          <w:rFonts w:ascii="Arial" w:cs="Arial" w:eastAsia="Arial" w:hAnsi="Arial"/>
          <w:sz w:val="17"/>
          <w:szCs w:val="17"/>
          <w:color w:val="383838"/>
        </w:rPr>
        <w:t xml:space="preserve"> </w:t>
      </w:r>
      <w:r>
        <w:rPr>
          <w:rFonts w:ascii="Arial" w:cs="Arial" w:eastAsia="Arial" w:hAnsi="Arial"/>
          <w:sz w:val="17"/>
          <w:szCs w:val="17"/>
          <w:color w:val="212121"/>
        </w:rPr>
        <w:t>This Agreement and the Plan contain the entire agreement and understanding of the parties hereto with respect to the</w:t>
      </w:r>
      <w:r>
        <w:rPr>
          <w:rFonts w:ascii="Arial" w:cs="Arial" w:eastAsia="Arial" w:hAnsi="Arial"/>
          <w:sz w:val="17"/>
          <w:szCs w:val="17"/>
          <w:color w:val="383838"/>
        </w:rPr>
        <w:t xml:space="preserve"> </w:t>
      </w:r>
      <w:r>
        <w:rPr>
          <w:rFonts w:ascii="Arial" w:cs="Arial" w:eastAsia="Arial" w:hAnsi="Arial"/>
          <w:sz w:val="17"/>
          <w:szCs w:val="17"/>
          <w:color w:val="212121"/>
        </w:rPr>
        <w:t>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36" w:lineRule="exact"/>
        <w:rPr>
          <w:sz w:val="20"/>
          <w:szCs w:val="20"/>
          <w:color w:val="auto"/>
        </w:rPr>
      </w:pPr>
    </w:p>
    <w:p>
      <w:pPr>
        <w:ind w:right="160" w:firstLine="593"/>
        <w:spacing w:after="0" w:line="274" w:lineRule="auto"/>
        <w:tabs>
          <w:tab w:leader="none" w:pos="922" w:val="left"/>
        </w:tabs>
        <w:numPr>
          <w:ilvl w:val="0"/>
          <w:numId w:val="191"/>
        </w:numPr>
        <w:rPr>
          <w:rFonts w:ascii="Arial" w:cs="Arial" w:eastAsia="Arial" w:hAnsi="Arial"/>
          <w:sz w:val="17"/>
          <w:szCs w:val="17"/>
          <w:color w:val="212121"/>
        </w:rPr>
      </w:pPr>
      <w:r>
        <w:rPr>
          <w:rFonts w:ascii="Arial" w:cs="Arial" w:eastAsia="Arial" w:hAnsi="Arial"/>
          <w:sz w:val="17"/>
          <w:szCs w:val="17"/>
          <w:u w:val="single" w:color="auto"/>
          <w:color w:val="383838"/>
        </w:rPr>
        <w:t>Governing Law and Venue</w:t>
      </w:r>
      <w:r>
        <w:rPr>
          <w:rFonts w:ascii="Arial" w:cs="Arial" w:eastAsia="Arial" w:hAnsi="Arial"/>
          <w:sz w:val="17"/>
          <w:szCs w:val="17"/>
          <w:color w:val="383838"/>
        </w:rPr>
        <w:t xml:space="preserve">. </w:t>
      </w:r>
      <w:r>
        <w:rPr>
          <w:rFonts w:ascii="Arial" w:cs="Arial" w:eastAsia="Arial" w:hAnsi="Arial"/>
          <w:sz w:val="17"/>
          <w:szCs w:val="17"/>
          <w:color w:val="212121"/>
        </w:rPr>
        <w:t>This Agreement shall be construed and interpreted in accordance with the laws of the State of Delaware, without</w:t>
      </w:r>
      <w:r>
        <w:rPr>
          <w:rFonts w:ascii="Arial" w:cs="Arial" w:eastAsia="Arial" w:hAnsi="Arial"/>
          <w:sz w:val="17"/>
          <w:szCs w:val="17"/>
          <w:color w:val="383838"/>
        </w:rPr>
        <w:t xml:space="preserve"> </w:t>
      </w:r>
      <w:r>
        <w:rPr>
          <w:rFonts w:ascii="Arial" w:cs="Arial" w:eastAsia="Arial" w:hAnsi="Arial"/>
          <w:sz w:val="17"/>
          <w:szCs w:val="17"/>
          <w:color w:val="212121"/>
        </w:rPr>
        <w:t>regard to principles of conflicts of laws thereof, or principles of conflicts of laws of any other jurisdiction which could cause the application of the laws of any jurisdiction other than the State of Delaware.</w:t>
      </w:r>
    </w:p>
    <w:p>
      <w:pPr>
        <w:spacing w:after="0" w:line="183" w:lineRule="exact"/>
        <w:rPr>
          <w:rFonts w:ascii="Arial" w:cs="Arial" w:eastAsia="Arial" w:hAnsi="Arial"/>
          <w:sz w:val="17"/>
          <w:szCs w:val="17"/>
          <w:color w:val="212121"/>
        </w:rPr>
      </w:pPr>
    </w:p>
    <w:p>
      <w:pPr>
        <w:ind w:left="600" w:right="160" w:firstLine="584"/>
        <w:spacing w:after="0" w:line="294" w:lineRule="auto"/>
        <w:tabs>
          <w:tab w:leader="none" w:pos="1547" w:val="left"/>
        </w:tabs>
        <w:numPr>
          <w:ilvl w:val="1"/>
          <w:numId w:val="191"/>
        </w:numPr>
        <w:rPr>
          <w:rFonts w:ascii="Arial" w:cs="Arial" w:eastAsia="Arial" w:hAnsi="Arial"/>
          <w:sz w:val="19"/>
          <w:szCs w:val="19"/>
          <w:color w:val="auto"/>
        </w:rPr>
      </w:pPr>
      <w:r>
        <w:rPr>
          <w:rFonts w:ascii="Arial" w:cs="Arial" w:eastAsia="Arial" w:hAnsi="Arial"/>
          <w:sz w:val="17"/>
          <w:szCs w:val="17"/>
          <w:u w:val="single" w:color="auto"/>
          <w:color w:val="212121"/>
        </w:rPr>
        <w:t>Dispute Resolution;</w:t>
      </w:r>
      <w:r>
        <w:rPr>
          <w:rFonts w:ascii="Arial" w:cs="Arial" w:eastAsia="Arial" w:hAnsi="Arial"/>
          <w:sz w:val="17"/>
          <w:szCs w:val="17"/>
          <w:color w:val="212121"/>
        </w:rPr>
        <w:t xml:space="preserve"> </w:t>
      </w:r>
      <w:r>
        <w:rPr>
          <w:rFonts w:ascii="Arial" w:cs="Arial" w:eastAsia="Arial" w:hAnsi="Arial"/>
          <w:sz w:val="17"/>
          <w:szCs w:val="17"/>
          <w:u w:val="single" w:color="auto"/>
          <w:color w:val="383838"/>
        </w:rPr>
        <w:t>Consent to Jurisdiction.</w:t>
      </w:r>
      <w:r>
        <w:rPr>
          <w:rFonts w:ascii="Arial" w:cs="Arial" w:eastAsia="Arial" w:hAnsi="Arial"/>
          <w:sz w:val="17"/>
          <w:szCs w:val="17"/>
          <w:color w:val="212121"/>
        </w:rPr>
        <w:t xml:space="preserve"> All disputes between or among any Persons arising out of or in any way connected with the Plan, this Agreement or the RSUs shall</w:t>
      </w:r>
    </w:p>
    <w:p>
      <w:pPr>
        <w:spacing w:after="0" w:line="17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400" w:top="482" w:right="259" w:bottom="1440" w:gutter="0" w:footer="0" w:header="0"/>
        </w:sectPr>
      </w:pPr>
    </w:p>
    <w:bookmarkStart w:id="193" w:name="page194"/>
    <w:bookmarkEnd w:id="193"/>
    <w:p>
      <w:pPr>
        <w:ind w:left="620" w:right="20" w:firstLine="13"/>
        <w:spacing w:after="0" w:line="263" w:lineRule="auto"/>
        <w:rPr>
          <w:sz w:val="20"/>
          <w:szCs w:val="20"/>
          <w:color w:val="auto"/>
        </w:rPr>
      </w:pPr>
      <w:r>
        <w:rPr>
          <w:rFonts w:ascii="Arial" w:cs="Arial" w:eastAsia="Arial" w:hAnsi="Arial"/>
          <w:sz w:val="17"/>
          <w:szCs w:val="17"/>
          <w:color w:val="232323"/>
        </w:rPr>
        <w:t>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07" w:lineRule="exact"/>
        <w:rPr>
          <w:sz w:val="20"/>
          <w:szCs w:val="20"/>
          <w:color w:val="auto"/>
        </w:rPr>
      </w:pPr>
    </w:p>
    <w:p>
      <w:pPr>
        <w:ind w:left="600" w:right="60" w:firstLine="597"/>
        <w:spacing w:after="0" w:line="299" w:lineRule="auto"/>
        <w:tabs>
          <w:tab w:leader="none" w:pos="1614" w:val="left"/>
        </w:tabs>
        <w:numPr>
          <w:ilvl w:val="2"/>
          <w:numId w:val="192"/>
        </w:numPr>
        <w:rPr>
          <w:rFonts w:ascii="Arial" w:cs="Arial" w:eastAsia="Arial" w:hAnsi="Arial"/>
          <w:sz w:val="17"/>
          <w:szCs w:val="17"/>
          <w:color w:val="auto"/>
        </w:rPr>
      </w:pPr>
      <w:r>
        <w:rPr>
          <w:rFonts w:ascii="Arial" w:cs="Arial" w:eastAsia="Arial" w:hAnsi="Arial"/>
          <w:sz w:val="16"/>
          <w:szCs w:val="16"/>
          <w:u w:val="single" w:color="auto"/>
          <w:color w:val="232323"/>
        </w:rPr>
        <w:t>Waiv</w:t>
      </w: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r of Jur</w:t>
      </w:r>
      <w:r>
        <w:rPr>
          <w:rFonts w:ascii="Arial" w:cs="Arial" w:eastAsia="Arial" w:hAnsi="Arial"/>
          <w:sz w:val="16"/>
          <w:szCs w:val="16"/>
          <w:u w:val="single" w:color="auto"/>
          <w:color w:val="3F3F3F"/>
        </w:rPr>
        <w:t>y</w:t>
      </w:r>
      <w:r>
        <w:rPr>
          <w:rFonts w:ascii="Arial" w:cs="Arial" w:eastAsia="Arial" w:hAnsi="Arial"/>
          <w:sz w:val="16"/>
          <w:szCs w:val="16"/>
          <w:color w:val="232323"/>
        </w:rPr>
        <w:t xml:space="preserve"> </w:t>
      </w:r>
      <w:r>
        <w:rPr>
          <w:rFonts w:ascii="Arial" w:cs="Arial" w:eastAsia="Arial" w:hAnsi="Arial"/>
          <w:sz w:val="16"/>
          <w:szCs w:val="16"/>
          <w:u w:val="single" w:color="auto"/>
          <w:color w:val="232323"/>
        </w:rPr>
        <w:t>Tri</w:t>
      </w:r>
      <w:r>
        <w:rPr>
          <w:rFonts w:ascii="Arial" w:cs="Arial" w:eastAsia="Arial" w:hAnsi="Arial"/>
          <w:sz w:val="16"/>
          <w:szCs w:val="16"/>
          <w:u w:val="single" w:color="auto"/>
          <w:color w:val="3F3F3F"/>
        </w:rPr>
        <w:t>a</w:t>
      </w:r>
      <w:r>
        <w:rPr>
          <w:rFonts w:ascii="Arial" w:cs="Arial" w:eastAsia="Arial" w:hAnsi="Arial"/>
          <w:sz w:val="16"/>
          <w:szCs w:val="16"/>
          <w:u w:val="single" w:color="auto"/>
          <w:color w:val="232323"/>
        </w:rPr>
        <w:t>l</w:t>
      </w:r>
      <w:r>
        <w:rPr>
          <w:rFonts w:ascii="Arial" w:cs="Arial" w:eastAsia="Arial" w:hAnsi="Arial"/>
          <w:sz w:val="16"/>
          <w:szCs w:val="16"/>
          <w:color w:val="232323"/>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ind w:left="620" w:right="280"/>
        <w:spacing w:after="0" w:line="290" w:lineRule="auto"/>
        <w:tabs>
          <w:tab w:leader="none" w:pos="897" w:val="left"/>
        </w:tabs>
        <w:numPr>
          <w:ilvl w:val="1"/>
          <w:numId w:val="193"/>
        </w:numPr>
        <w:rPr>
          <w:rFonts w:ascii="Arial" w:cs="Arial" w:eastAsia="Arial" w:hAnsi="Arial"/>
          <w:sz w:val="17"/>
          <w:szCs w:val="17"/>
          <w:color w:val="232323"/>
        </w:rPr>
      </w:pPr>
      <w:r>
        <w:rPr>
          <w:rFonts w:ascii="Arial" w:cs="Arial" w:eastAsia="Arial" w:hAnsi="Arial"/>
          <w:sz w:val="17"/>
          <w:szCs w:val="17"/>
          <w:color w:val="232323"/>
        </w:rPr>
        <w:t>acknowledges that it and the other parties hereto have been induced to enter into this Agreement by, among other things, the mutual waivers and certifications in this section.</w:t>
      </w:r>
    </w:p>
    <w:p>
      <w:pPr>
        <w:spacing w:after="0" w:line="183" w:lineRule="exact"/>
        <w:rPr>
          <w:rFonts w:ascii="Arial" w:cs="Arial" w:eastAsia="Arial" w:hAnsi="Arial"/>
          <w:sz w:val="17"/>
          <w:szCs w:val="17"/>
          <w:color w:val="232323"/>
        </w:rPr>
      </w:pPr>
    </w:p>
    <w:p>
      <w:pPr>
        <w:ind w:left="1440" w:hanging="846"/>
        <w:spacing w:after="0"/>
        <w:tabs>
          <w:tab w:leader="none" w:pos="1440" w:val="left"/>
        </w:tabs>
        <w:numPr>
          <w:ilvl w:val="0"/>
          <w:numId w:val="194"/>
        </w:numPr>
        <w:rPr>
          <w:rFonts w:ascii="Arial" w:cs="Arial" w:eastAsia="Arial" w:hAnsi="Arial"/>
          <w:sz w:val="15"/>
          <w:szCs w:val="15"/>
          <w:color w:val="232323"/>
        </w:rPr>
      </w:pPr>
      <w:r>
        <w:rPr>
          <w:rFonts w:ascii="Arial" w:cs="Arial" w:eastAsia="Arial" w:hAnsi="Arial"/>
          <w:sz w:val="15"/>
          <w:szCs w:val="15"/>
          <w:u w:val="single" w:color="auto"/>
          <w:color w:val="232323"/>
        </w:rPr>
        <w:t>H</w:t>
      </w:r>
      <w:r>
        <w:rPr>
          <w:rFonts w:ascii="Arial" w:cs="Arial" w:eastAsia="Arial" w:hAnsi="Arial"/>
          <w:sz w:val="15"/>
          <w:szCs w:val="15"/>
          <w:u w:val="single" w:color="auto"/>
          <w:color w:val="3F3F3F"/>
        </w:rPr>
        <w:t>ea</w:t>
      </w:r>
      <w:r>
        <w:rPr>
          <w:rFonts w:ascii="Arial" w:cs="Arial" w:eastAsia="Arial" w:hAnsi="Arial"/>
          <w:sz w:val="15"/>
          <w:szCs w:val="15"/>
          <w:u w:val="single" w:color="auto"/>
          <w:color w:val="232323"/>
        </w:rPr>
        <w:t>din</w:t>
      </w:r>
      <w:r>
        <w:rPr>
          <w:rFonts w:ascii="Arial" w:cs="Arial" w:eastAsia="Arial" w:hAnsi="Arial"/>
          <w:sz w:val="15"/>
          <w:szCs w:val="15"/>
          <w:u w:val="single" w:color="auto"/>
          <w:color w:val="3F3F3F"/>
        </w:rPr>
        <w:t>gs</w:t>
      </w:r>
      <w:r>
        <w:rPr>
          <w:rFonts w:ascii="Arial" w:cs="Arial" w:eastAsia="Arial" w:hAnsi="Arial"/>
          <w:sz w:val="15"/>
          <w:szCs w:val="15"/>
          <w:u w:val="single" w:color="auto"/>
          <w:color w:val="232323"/>
        </w:rPr>
        <w:t>; G</w:t>
      </w:r>
      <w:r>
        <w:rPr>
          <w:rFonts w:ascii="Arial" w:cs="Arial" w:eastAsia="Arial" w:hAnsi="Arial"/>
          <w:sz w:val="15"/>
          <w:szCs w:val="15"/>
          <w:u w:val="single" w:color="auto"/>
          <w:color w:val="3F3F3F"/>
        </w:rPr>
        <w:t>e</w:t>
      </w:r>
      <w:r>
        <w:rPr>
          <w:rFonts w:ascii="Arial" w:cs="Arial" w:eastAsia="Arial" w:hAnsi="Arial"/>
          <w:sz w:val="15"/>
          <w:szCs w:val="15"/>
          <w:u w:val="single" w:color="auto"/>
          <w:color w:val="232323"/>
        </w:rPr>
        <w:t>nd</w:t>
      </w:r>
      <w:r>
        <w:rPr>
          <w:rFonts w:ascii="Arial" w:cs="Arial" w:eastAsia="Arial" w:hAnsi="Arial"/>
          <w:sz w:val="15"/>
          <w:szCs w:val="15"/>
          <w:u w:val="single" w:color="auto"/>
          <w:color w:val="3F3F3F"/>
        </w:rPr>
        <w:t>e</w:t>
      </w:r>
      <w:r>
        <w:rPr>
          <w:rFonts w:ascii="Arial" w:cs="Arial" w:eastAsia="Arial" w:hAnsi="Arial"/>
          <w:sz w:val="15"/>
          <w:szCs w:val="15"/>
          <w:u w:val="single" w:color="auto"/>
          <w:color w:val="232323"/>
        </w:rPr>
        <w:t>r.</w:t>
      </w:r>
      <w:r>
        <w:rPr>
          <w:rFonts w:ascii="Arial" w:cs="Arial" w:eastAsia="Arial" w:hAnsi="Arial"/>
          <w:sz w:val="15"/>
          <w:szCs w:val="15"/>
          <w:color w:val="232323"/>
        </w:rPr>
        <w:t xml:space="preserve"> The headings of the Sections hereof are provided for convenience only and are not to serve as a basis for interpretation or</w:t>
      </w:r>
    </w:p>
    <w:p>
      <w:pPr>
        <w:spacing w:after="0" w:line="90" w:lineRule="exact"/>
        <w:rPr>
          <w:sz w:val="20"/>
          <w:szCs w:val="20"/>
          <w:color w:val="auto"/>
        </w:rPr>
      </w:pPr>
    </w:p>
    <w:p>
      <w:pPr>
        <w:ind w:right="860" w:hanging="12"/>
        <w:spacing w:after="0" w:line="306" w:lineRule="auto"/>
        <w:rPr>
          <w:sz w:val="20"/>
          <w:szCs w:val="20"/>
          <w:color w:val="auto"/>
        </w:rPr>
      </w:pPr>
      <w:r>
        <w:rPr>
          <w:rFonts w:ascii="Arial" w:cs="Arial" w:eastAsia="Arial" w:hAnsi="Arial"/>
          <w:sz w:val="17"/>
          <w:szCs w:val="17"/>
          <w:color w:val="232323"/>
        </w:rPr>
        <w:t>construction, and shall not constitute a part, of this Agreement. Masculine pronouns and other words of masculine gender shall refer to both men and women as appropriate.</w:t>
      </w:r>
    </w:p>
    <w:p>
      <w:pPr>
        <w:spacing w:after="0" w:line="171" w:lineRule="exact"/>
        <w:rPr>
          <w:sz w:val="20"/>
          <w:szCs w:val="20"/>
          <w:color w:val="auto"/>
        </w:rPr>
      </w:pPr>
    </w:p>
    <w:p>
      <w:pPr>
        <w:jc w:val="both"/>
        <w:ind w:right="140" w:firstLine="594"/>
        <w:spacing w:after="0" w:line="338" w:lineRule="auto"/>
        <w:tabs>
          <w:tab w:leader="none" w:pos="1398" w:val="left"/>
        </w:tabs>
        <w:numPr>
          <w:ilvl w:val="0"/>
          <w:numId w:val="195"/>
        </w:numPr>
        <w:rPr>
          <w:rFonts w:ascii="Arial" w:cs="Arial" w:eastAsia="Arial" w:hAnsi="Arial"/>
          <w:sz w:val="17"/>
          <w:szCs w:val="17"/>
          <w:color w:val="232323"/>
        </w:rPr>
      </w:pPr>
      <w:r>
        <w:rPr>
          <w:rFonts w:ascii="Arial" w:cs="Arial" w:eastAsia="Arial" w:hAnsi="Arial"/>
          <w:sz w:val="17"/>
          <w:szCs w:val="17"/>
          <w:u w:val="single" w:color="auto"/>
          <w:color w:val="3F3F3F"/>
        </w:rPr>
        <w:t>C</w:t>
      </w:r>
      <w:r>
        <w:rPr>
          <w:rFonts w:ascii="Arial" w:cs="Arial" w:eastAsia="Arial" w:hAnsi="Arial"/>
          <w:sz w:val="17"/>
          <w:szCs w:val="17"/>
          <w:u w:val="single" w:color="auto"/>
          <w:color w:val="232323"/>
        </w:rPr>
        <w:t>ount</w:t>
      </w:r>
      <w:r>
        <w:rPr>
          <w:rFonts w:ascii="Arial" w:cs="Arial" w:eastAsia="Arial" w:hAnsi="Arial"/>
          <w:sz w:val="17"/>
          <w:szCs w:val="17"/>
          <w:u w:val="single" w:color="auto"/>
          <w:color w:val="3F3F3F"/>
        </w:rPr>
        <w:t>e</w:t>
      </w:r>
      <w:r>
        <w:rPr>
          <w:rFonts w:ascii="Arial" w:cs="Arial" w:eastAsia="Arial" w:hAnsi="Arial"/>
          <w:sz w:val="17"/>
          <w:szCs w:val="17"/>
          <w:u w:val="single" w:color="auto"/>
          <w:color w:val="232323"/>
        </w:rPr>
        <w:t>rp</w:t>
      </w:r>
      <w:r>
        <w:rPr>
          <w:rFonts w:ascii="Arial" w:cs="Arial" w:eastAsia="Arial" w:hAnsi="Arial"/>
          <w:sz w:val="17"/>
          <w:szCs w:val="17"/>
          <w:u w:val="single" w:color="auto"/>
          <w:color w:val="3F3F3F"/>
        </w:rPr>
        <w:t>arts</w:t>
      </w:r>
      <w:r>
        <w:rPr>
          <w:rFonts w:ascii="Arial" w:cs="Arial" w:eastAsia="Arial" w:hAnsi="Arial"/>
          <w:sz w:val="17"/>
          <w:szCs w:val="17"/>
          <w:color w:val="232323"/>
        </w:rPr>
        <w:t>. This Agreement may be executed in one or more counterparts (including via facsimile and electronic image scan (pdt)), each</w:t>
      </w:r>
      <w:r>
        <w:rPr>
          <w:rFonts w:ascii="Arial" w:cs="Arial" w:eastAsia="Arial" w:hAnsi="Arial"/>
          <w:sz w:val="17"/>
          <w:szCs w:val="17"/>
          <w:color w:val="3F3F3F"/>
        </w:rPr>
        <w:t xml:space="preserve"> </w:t>
      </w:r>
      <w:r>
        <w:rPr>
          <w:rFonts w:ascii="Arial" w:cs="Arial" w:eastAsia="Arial" w:hAnsi="Arial"/>
          <w:sz w:val="17"/>
          <w:szCs w:val="17"/>
          <w:color w:val="232323"/>
        </w:rPr>
        <w:t>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7"/>
          <w:szCs w:val="17"/>
          <w:color w:val="232323"/>
        </w:rPr>
      </w:pPr>
    </w:p>
    <w:p>
      <w:pPr>
        <w:ind w:right="180" w:firstLine="594"/>
        <w:spacing w:after="0" w:line="358" w:lineRule="auto"/>
        <w:tabs>
          <w:tab w:leader="none" w:pos="1411" w:val="left"/>
        </w:tabs>
        <w:numPr>
          <w:ilvl w:val="0"/>
          <w:numId w:val="195"/>
        </w:numPr>
        <w:rPr>
          <w:rFonts w:ascii="Arial" w:cs="Arial" w:eastAsia="Arial" w:hAnsi="Arial"/>
          <w:sz w:val="16"/>
          <w:szCs w:val="16"/>
          <w:color w:val="232323"/>
        </w:rPr>
      </w:pP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l</w:t>
      </w: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c</w:t>
      </w:r>
      <w:r>
        <w:rPr>
          <w:rFonts w:ascii="Arial" w:cs="Arial" w:eastAsia="Arial" w:hAnsi="Arial"/>
          <w:sz w:val="16"/>
          <w:szCs w:val="16"/>
          <w:u w:val="single" w:color="auto"/>
          <w:color w:val="3F3F3F"/>
        </w:rPr>
        <w:t>t</w:t>
      </w:r>
      <w:r>
        <w:rPr>
          <w:rFonts w:ascii="Arial" w:cs="Arial" w:eastAsia="Arial" w:hAnsi="Arial"/>
          <w:sz w:val="16"/>
          <w:szCs w:val="16"/>
          <w:u w:val="single" w:color="auto"/>
          <w:color w:val="232323"/>
        </w:rPr>
        <w:t>roni</w:t>
      </w:r>
      <w:r>
        <w:rPr>
          <w:rFonts w:ascii="Arial" w:cs="Arial" w:eastAsia="Arial" w:hAnsi="Arial"/>
          <w:sz w:val="16"/>
          <w:szCs w:val="16"/>
          <w:u w:val="single" w:color="auto"/>
          <w:color w:val="3F3F3F"/>
        </w:rPr>
        <w:t>c</w:t>
      </w:r>
      <w:r>
        <w:rPr>
          <w:rFonts w:ascii="Arial" w:cs="Arial" w:eastAsia="Arial" w:hAnsi="Arial"/>
          <w:sz w:val="16"/>
          <w:szCs w:val="16"/>
          <w:color w:val="3F3F3F"/>
        </w:rPr>
        <w:t xml:space="preserve"> </w:t>
      </w:r>
      <w:r>
        <w:rPr>
          <w:rFonts w:ascii="Arial" w:cs="Arial" w:eastAsia="Arial" w:hAnsi="Arial"/>
          <w:sz w:val="16"/>
          <w:szCs w:val="16"/>
          <w:color w:val="232323"/>
        </w:rPr>
        <w:t>Si</w:t>
      </w:r>
      <w:r>
        <w:rPr>
          <w:rFonts w:ascii="Arial" w:cs="Arial" w:eastAsia="Arial" w:hAnsi="Arial"/>
          <w:sz w:val="16"/>
          <w:szCs w:val="16"/>
          <w:u w:val="single" w:color="auto"/>
          <w:color w:val="3F3F3F"/>
        </w:rPr>
        <w:t>gnatu</w:t>
      </w:r>
      <w:r>
        <w:rPr>
          <w:rFonts w:ascii="Arial" w:cs="Arial" w:eastAsia="Arial" w:hAnsi="Arial"/>
          <w:sz w:val="16"/>
          <w:szCs w:val="16"/>
          <w:u w:val="single" w:color="auto"/>
          <w:color w:val="232323"/>
        </w:rPr>
        <w:t>r</w:t>
      </w:r>
      <w:r>
        <w:rPr>
          <w:rFonts w:ascii="Arial" w:cs="Arial" w:eastAsia="Arial" w:hAnsi="Arial"/>
          <w:sz w:val="16"/>
          <w:szCs w:val="16"/>
          <w:u w:val="single" w:color="auto"/>
          <w:color w:val="3F3F3F"/>
        </w:rPr>
        <w:t>e a</w:t>
      </w:r>
      <w:r>
        <w:rPr>
          <w:rFonts w:ascii="Arial" w:cs="Arial" w:eastAsia="Arial" w:hAnsi="Arial"/>
          <w:sz w:val="16"/>
          <w:szCs w:val="16"/>
          <w:u w:val="single" w:color="auto"/>
          <w:color w:val="232323"/>
        </w:rPr>
        <w:t>nd D</w:t>
      </w: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liv</w:t>
      </w:r>
      <w:r>
        <w:rPr>
          <w:rFonts w:ascii="Arial" w:cs="Arial" w:eastAsia="Arial" w:hAnsi="Arial"/>
          <w:sz w:val="16"/>
          <w:szCs w:val="16"/>
          <w:u w:val="single" w:color="auto"/>
          <w:color w:val="3F3F3F"/>
        </w:rPr>
        <w:t>ery</w:t>
      </w:r>
      <w:r>
        <w:rPr>
          <w:rFonts w:ascii="Arial" w:cs="Arial" w:eastAsia="Arial" w:hAnsi="Arial"/>
          <w:sz w:val="16"/>
          <w:szCs w:val="16"/>
          <w:color w:val="232323"/>
        </w:rPr>
        <w:t>. This Agreement may be accepted by return signature or by electronic confirmation. By accepting this</w:t>
      </w:r>
      <w:r>
        <w:rPr>
          <w:rFonts w:ascii="Arial" w:cs="Arial" w:eastAsia="Arial" w:hAnsi="Arial"/>
          <w:sz w:val="16"/>
          <w:szCs w:val="16"/>
          <w:color w:val="3F3F3F"/>
        </w:rPr>
        <w:t xml:space="preserve"> </w:t>
      </w:r>
      <w:r>
        <w:rPr>
          <w:rFonts w:ascii="Arial" w:cs="Arial" w:eastAsia="Arial" w:hAnsi="Arial"/>
          <w:sz w:val="16"/>
          <w:szCs w:val="16"/>
          <w:color w:val="232323"/>
        </w:rPr>
        <w:t>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62" w:lineRule="exact"/>
        <w:rPr>
          <w:rFonts w:ascii="Arial" w:cs="Arial" w:eastAsia="Arial" w:hAnsi="Arial"/>
          <w:sz w:val="16"/>
          <w:szCs w:val="16"/>
          <w:color w:val="232323"/>
        </w:rPr>
      </w:pPr>
    </w:p>
    <w:p>
      <w:pPr>
        <w:ind w:right="200" w:firstLine="594"/>
        <w:spacing w:after="0" w:line="367" w:lineRule="auto"/>
        <w:tabs>
          <w:tab w:leader="none" w:pos="1398" w:val="left"/>
        </w:tabs>
        <w:numPr>
          <w:ilvl w:val="0"/>
          <w:numId w:val="195"/>
        </w:numPr>
        <w:rPr>
          <w:rFonts w:ascii="Arial" w:cs="Arial" w:eastAsia="Arial" w:hAnsi="Arial"/>
          <w:sz w:val="16"/>
          <w:szCs w:val="16"/>
          <w:color w:val="232323"/>
        </w:rPr>
      </w:pP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l</w:t>
      </w:r>
      <w:r>
        <w:rPr>
          <w:rFonts w:ascii="Arial" w:cs="Arial" w:eastAsia="Arial" w:hAnsi="Arial"/>
          <w:sz w:val="16"/>
          <w:szCs w:val="16"/>
          <w:u w:val="single" w:color="auto"/>
          <w:color w:val="3F3F3F"/>
        </w:rPr>
        <w:t>ectr</w:t>
      </w:r>
      <w:r>
        <w:rPr>
          <w:rFonts w:ascii="Arial" w:cs="Arial" w:eastAsia="Arial" w:hAnsi="Arial"/>
          <w:sz w:val="16"/>
          <w:szCs w:val="16"/>
          <w:u w:val="single" w:color="auto"/>
          <w:color w:val="232323"/>
        </w:rPr>
        <w:t>oni</w:t>
      </w:r>
      <w:r>
        <w:rPr>
          <w:rFonts w:ascii="Arial" w:cs="Arial" w:eastAsia="Arial" w:hAnsi="Arial"/>
          <w:sz w:val="16"/>
          <w:szCs w:val="16"/>
          <w:u w:val="single" w:color="auto"/>
          <w:color w:val="3F3F3F"/>
        </w:rPr>
        <w:t>c</w:t>
      </w:r>
      <w:r>
        <w:rPr>
          <w:rFonts w:ascii="Arial" w:cs="Arial" w:eastAsia="Arial" w:hAnsi="Arial"/>
          <w:sz w:val="16"/>
          <w:szCs w:val="16"/>
          <w:color w:val="3F3F3F"/>
        </w:rPr>
        <w:t xml:space="preserve"> </w:t>
      </w:r>
      <w:r>
        <w:rPr>
          <w:rFonts w:ascii="Arial" w:cs="Arial" w:eastAsia="Arial" w:hAnsi="Arial"/>
          <w:sz w:val="16"/>
          <w:szCs w:val="16"/>
          <w:u w:val="single" w:color="auto"/>
          <w:color w:val="232323"/>
        </w:rPr>
        <w:t>Parti</w:t>
      </w:r>
      <w:r>
        <w:rPr>
          <w:rFonts w:ascii="Arial" w:cs="Arial" w:eastAsia="Arial" w:hAnsi="Arial"/>
          <w:sz w:val="16"/>
          <w:szCs w:val="16"/>
          <w:u w:val="single" w:color="auto"/>
          <w:color w:val="3F3F3F"/>
        </w:rPr>
        <w:t>c</w:t>
      </w:r>
      <w:r>
        <w:rPr>
          <w:rFonts w:ascii="Arial" w:cs="Arial" w:eastAsia="Arial" w:hAnsi="Arial"/>
          <w:sz w:val="16"/>
          <w:szCs w:val="16"/>
          <w:u w:val="single" w:color="auto"/>
          <w:color w:val="232323"/>
        </w:rPr>
        <w:t>ipation in Pl</w:t>
      </w:r>
      <w:r>
        <w:rPr>
          <w:rFonts w:ascii="Arial" w:cs="Arial" w:eastAsia="Arial" w:hAnsi="Arial"/>
          <w:sz w:val="16"/>
          <w:szCs w:val="16"/>
          <w:u w:val="single" w:color="auto"/>
          <w:color w:val="3F3F3F"/>
        </w:rPr>
        <w:t>a</w:t>
      </w:r>
      <w:r>
        <w:rPr>
          <w:rFonts w:ascii="Arial" w:cs="Arial" w:eastAsia="Arial" w:hAnsi="Arial"/>
          <w:sz w:val="16"/>
          <w:szCs w:val="16"/>
          <w:u w:val="single" w:color="auto"/>
          <w:color w:val="232323"/>
        </w:rPr>
        <w:t>n.</w:t>
      </w:r>
      <w:r>
        <w:rPr>
          <w:rFonts w:ascii="Arial" w:cs="Arial" w:eastAsia="Arial" w:hAnsi="Arial"/>
          <w:sz w:val="16"/>
          <w:szCs w:val="16"/>
          <w:color w:val="3F3F3F"/>
        </w:rPr>
        <w:t xml:space="preserve"> </w:t>
      </w:r>
      <w:r>
        <w:rPr>
          <w:rFonts w:ascii="Arial" w:cs="Arial" w:eastAsia="Arial" w:hAnsi="Arial"/>
          <w:sz w:val="16"/>
          <w:szCs w:val="16"/>
          <w:color w:val="232323"/>
        </w:rPr>
        <w:t>The Company may, in its sole discretion, decide to deliver any documents related to current or future</w:t>
      </w:r>
      <w:r>
        <w:rPr>
          <w:rFonts w:ascii="Arial" w:cs="Arial" w:eastAsia="Arial" w:hAnsi="Arial"/>
          <w:sz w:val="16"/>
          <w:szCs w:val="16"/>
          <w:color w:val="3F3F3F"/>
        </w:rPr>
        <w:t xml:space="preserve"> </w:t>
      </w:r>
      <w:r>
        <w:rPr>
          <w:rFonts w:ascii="Arial" w:cs="Arial" w:eastAsia="Arial" w:hAnsi="Arial"/>
          <w:sz w:val="16"/>
          <w:szCs w:val="16"/>
          <w:color w:val="232323"/>
        </w:rPr>
        <w:t>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-1219200</wp:posOffset>
            </wp:positionV>
            <wp:extent cx="120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20"/>
        <w:spacing w:after="0"/>
        <w:rPr>
          <w:sz w:val="20"/>
          <w:szCs w:val="20"/>
          <w:color w:val="auto"/>
        </w:rPr>
      </w:pPr>
      <w:r>
        <w:rPr>
          <w:rFonts w:ascii="Arial" w:cs="Arial" w:eastAsia="Arial" w:hAnsi="Arial"/>
          <w:sz w:val="17"/>
          <w:szCs w:val="17"/>
          <w:i w:val="1"/>
          <w:iCs w:val="1"/>
          <w:color w:val="232323"/>
        </w:rPr>
        <w:t>[Remainder of page intentionally blank]</w:t>
      </w: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60" w:top="482" w:right="259" w:bottom="1440" w:gutter="0" w:footer="0" w:header="0"/>
        </w:sectPr>
      </w:pPr>
    </w:p>
    <w:bookmarkStart w:id="194" w:name="page195"/>
    <w:bookmarkEnd w:id="194"/>
    <w:p>
      <w:pPr>
        <w:spacing w:after="0"/>
        <w:rPr>
          <w:sz w:val="20"/>
          <w:szCs w:val="20"/>
          <w:color w:val="auto"/>
        </w:rPr>
      </w:pPr>
      <w:r>
        <w:rPr>
          <w:rFonts w:ascii="Arial" w:cs="Arial" w:eastAsia="Arial" w:hAnsi="Arial"/>
          <w:sz w:val="15"/>
          <w:szCs w:val="15"/>
          <w:color w:val="282828"/>
        </w:rPr>
        <w:t>IN WITNESS WHEREOF, this Agreement has been executed by the Company and the Participant as of the day first written above.</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17"/>
          <w:szCs w:val="17"/>
          <w:color w:val="282828"/>
        </w:rPr>
        <w:t>VIRTU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17145</wp:posOffset>
            </wp:positionV>
            <wp:extent cx="2675255" cy="1866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2675255" cy="186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239"/>
          </w:cols>
          <w:pgMar w:left="1220" w:top="482" w:right="1440" w:bottom="1440" w:gutter="0" w:footer="0" w:header="0"/>
        </w:sectPr>
      </w:pPr>
    </w:p>
    <w:bookmarkStart w:id="195" w:name="page196"/>
    <w:bookmarkEnd w:id="195"/>
    <w:p>
      <w:pPr>
        <w:ind w:left="6370"/>
        <w:spacing w:after="0"/>
        <w:rPr>
          <w:sz w:val="20"/>
          <w:szCs w:val="20"/>
          <w:color w:val="auto"/>
        </w:rPr>
      </w:pPr>
      <w:r>
        <w:rPr>
          <w:rFonts w:ascii="Arial" w:cs="Arial" w:eastAsia="Arial" w:hAnsi="Arial"/>
          <w:sz w:val="17"/>
          <w:szCs w:val="17"/>
          <w:b w:val="1"/>
          <w:bCs w:val="1"/>
          <w:u w:val="single" w:color="auto"/>
          <w:color w:val="212121"/>
        </w:rPr>
        <w:t>Exhibit A</w:t>
      </w:r>
    </w:p>
    <w:p>
      <w:pPr>
        <w:spacing w:after="0" w:line="200" w:lineRule="exact"/>
        <w:rPr>
          <w:sz w:val="20"/>
          <w:szCs w:val="20"/>
          <w:color w:val="auto"/>
        </w:rPr>
      </w:pPr>
    </w:p>
    <w:p>
      <w:pPr>
        <w:spacing w:after="0" w:line="240" w:lineRule="exact"/>
        <w:rPr>
          <w:sz w:val="20"/>
          <w:szCs w:val="20"/>
          <w:color w:val="auto"/>
        </w:rPr>
      </w:pPr>
    </w:p>
    <w:p>
      <w:pPr>
        <w:ind w:left="310" w:hanging="284"/>
        <w:spacing w:after="0"/>
        <w:tabs>
          <w:tab w:leader="none" w:pos="310" w:val="left"/>
        </w:tabs>
        <w:numPr>
          <w:ilvl w:val="0"/>
          <w:numId w:val="196"/>
        </w:numPr>
        <w:rPr>
          <w:rFonts w:ascii="Arial" w:cs="Arial" w:eastAsia="Arial" w:hAnsi="Arial"/>
          <w:sz w:val="17"/>
          <w:szCs w:val="17"/>
          <w:color w:val="212121"/>
        </w:rPr>
      </w:pPr>
      <w:r>
        <w:rPr>
          <w:rFonts w:ascii="Arial" w:cs="Arial" w:eastAsia="Arial" w:hAnsi="Arial"/>
          <w:sz w:val="17"/>
          <w:szCs w:val="17"/>
          <w:u w:val="single" w:color="auto"/>
          <w:color w:val="383838"/>
        </w:rPr>
        <w:t>Confidentiality</w:t>
      </w:r>
      <w:r>
        <w:rPr>
          <w:rFonts w:ascii="Arial" w:cs="Arial" w:eastAsia="Arial" w:hAnsi="Arial"/>
          <w:sz w:val="17"/>
          <w:szCs w:val="17"/>
          <w:color w:val="383838"/>
        </w:rPr>
        <w:t>.</w:t>
      </w:r>
    </w:p>
    <w:p>
      <w:pPr>
        <w:spacing w:after="0" w:line="237" w:lineRule="exact"/>
        <w:rPr>
          <w:rFonts w:ascii="Arial" w:cs="Arial" w:eastAsia="Arial" w:hAnsi="Arial"/>
          <w:sz w:val="17"/>
          <w:szCs w:val="17"/>
          <w:color w:val="212121"/>
        </w:rPr>
      </w:pPr>
    </w:p>
    <w:p>
      <w:pPr>
        <w:ind w:left="610" w:right="40" w:hanging="295"/>
        <w:spacing w:after="0" w:line="268" w:lineRule="auto"/>
        <w:tabs>
          <w:tab w:leader="none" w:pos="610" w:val="left"/>
        </w:tabs>
        <w:numPr>
          <w:ilvl w:val="2"/>
          <w:numId w:val="196"/>
        </w:numPr>
        <w:rPr>
          <w:rFonts w:ascii="Arial" w:cs="Arial" w:eastAsia="Arial" w:hAnsi="Arial"/>
          <w:sz w:val="17"/>
          <w:szCs w:val="17"/>
          <w:color w:val="212121"/>
        </w:rPr>
      </w:pPr>
      <w:r>
        <w:rPr>
          <w:rFonts w:ascii="Arial" w:cs="Arial" w:eastAsia="Arial" w:hAnsi="Arial"/>
          <w:sz w:val="17"/>
          <w:szCs w:val="17"/>
          <w:color w:val="212121"/>
        </w:rPr>
        <w:t xml:space="preserve">The Participant shall, and shall direct his or her Affiliates and their respective directors, officers, members, stockholders, partners, employees, attorneys, accountants, consultants, trustees and other advisors (the </w:t>
      </w:r>
      <w:r>
        <w:rPr>
          <w:rFonts w:ascii="Arial" w:cs="Arial" w:eastAsia="Arial" w:hAnsi="Arial"/>
          <w:sz w:val="17"/>
          <w:szCs w:val="17"/>
          <w:b w:val="1"/>
          <w:bCs w:val="1"/>
          <w:color w:val="212121"/>
        </w:rPr>
        <w:t>"Participant Parties")</w:t>
      </w:r>
      <w:r>
        <w:rPr>
          <w:rFonts w:ascii="Arial" w:cs="Arial" w:eastAsia="Arial" w:hAnsi="Arial"/>
          <w:sz w:val="17"/>
          <w:szCs w:val="17"/>
          <w:color w:val="212121"/>
        </w:rPr>
        <w:t xml:space="preserve"> who have access to Confidential Information to keep confidential and not disclose any Confidential Information to any Person, other than a Participant Party who agrees to keep such Confidential Information confidential in accordance with this Section lofthis Exhibit A, without the express consent of the Company, unless:</w:t>
      </w:r>
    </w:p>
    <w:p>
      <w:pPr>
        <w:spacing w:after="0" w:line="176" w:lineRule="exact"/>
        <w:rPr>
          <w:rFonts w:ascii="Arial" w:cs="Arial" w:eastAsia="Arial" w:hAnsi="Arial"/>
          <w:sz w:val="17"/>
          <w:szCs w:val="17"/>
          <w:color w:val="212121"/>
        </w:rPr>
      </w:pPr>
    </w:p>
    <w:p>
      <w:pPr>
        <w:ind w:left="910" w:hanging="254"/>
        <w:spacing w:after="0"/>
        <w:tabs>
          <w:tab w:leader="none" w:pos="910" w:val="left"/>
        </w:tabs>
        <w:numPr>
          <w:ilvl w:val="3"/>
          <w:numId w:val="196"/>
        </w:numPr>
        <w:rPr>
          <w:rFonts w:ascii="Arial" w:cs="Arial" w:eastAsia="Arial" w:hAnsi="Arial"/>
          <w:sz w:val="17"/>
          <w:szCs w:val="17"/>
          <w:color w:val="212121"/>
        </w:rPr>
      </w:pPr>
      <w:r>
        <w:rPr>
          <w:rFonts w:ascii="Arial" w:cs="Arial" w:eastAsia="Arial" w:hAnsi="Arial"/>
          <w:sz w:val="17"/>
          <w:szCs w:val="17"/>
          <w:color w:val="212121"/>
        </w:rPr>
        <w:t>such disclosure shall be required by applicable law;</w:t>
      </w:r>
    </w:p>
    <w:p>
      <w:pPr>
        <w:spacing w:after="0" w:line="237" w:lineRule="exact"/>
        <w:rPr>
          <w:rFonts w:ascii="Arial" w:cs="Arial" w:eastAsia="Arial" w:hAnsi="Arial"/>
          <w:sz w:val="17"/>
          <w:szCs w:val="17"/>
          <w:color w:val="212121"/>
        </w:rPr>
      </w:pPr>
    </w:p>
    <w:p>
      <w:pPr>
        <w:ind w:left="910" w:hanging="306"/>
        <w:spacing w:after="0"/>
        <w:tabs>
          <w:tab w:leader="none" w:pos="910" w:val="left"/>
        </w:tabs>
        <w:numPr>
          <w:ilvl w:val="3"/>
          <w:numId w:val="196"/>
        </w:numPr>
        <w:rPr>
          <w:rFonts w:ascii="Arial" w:cs="Arial" w:eastAsia="Arial" w:hAnsi="Arial"/>
          <w:sz w:val="17"/>
          <w:szCs w:val="17"/>
          <w:color w:val="212121"/>
        </w:rPr>
      </w:pPr>
      <w:r>
        <w:rPr>
          <w:rFonts w:ascii="Arial" w:cs="Arial" w:eastAsia="Arial" w:hAnsi="Arial"/>
          <w:sz w:val="17"/>
          <w:szCs w:val="17"/>
          <w:color w:val="212121"/>
        </w:rPr>
        <w:t>such disclosure is reasonably required in connection with any tax audit involving the Company or its Affiliates;</w:t>
      </w:r>
    </w:p>
    <w:p>
      <w:pPr>
        <w:spacing w:after="0" w:line="224" w:lineRule="exact"/>
        <w:rPr>
          <w:rFonts w:ascii="Arial" w:cs="Arial" w:eastAsia="Arial" w:hAnsi="Arial"/>
          <w:sz w:val="17"/>
          <w:szCs w:val="17"/>
          <w:color w:val="212121"/>
        </w:rPr>
      </w:pPr>
    </w:p>
    <w:p>
      <w:pPr>
        <w:ind w:left="910" w:hanging="359"/>
        <w:spacing w:after="0"/>
        <w:tabs>
          <w:tab w:leader="none" w:pos="910" w:val="left"/>
        </w:tabs>
        <w:numPr>
          <w:ilvl w:val="3"/>
          <w:numId w:val="196"/>
        </w:numPr>
        <w:rPr>
          <w:rFonts w:ascii="Arial" w:cs="Arial" w:eastAsia="Arial" w:hAnsi="Arial"/>
          <w:sz w:val="17"/>
          <w:szCs w:val="17"/>
          <w:color w:val="212121"/>
        </w:rPr>
      </w:pPr>
      <w:r>
        <w:rPr>
          <w:rFonts w:ascii="Arial" w:cs="Arial" w:eastAsia="Arial" w:hAnsi="Arial"/>
          <w:sz w:val="17"/>
          <w:szCs w:val="17"/>
          <w:color w:val="212121"/>
        </w:rPr>
        <w:t>such disclosure is reasonably required in connection with any litigation against or involving the Company; or</w:t>
      </w:r>
    </w:p>
    <w:p>
      <w:pPr>
        <w:spacing w:after="0" w:line="224" w:lineRule="exact"/>
        <w:rPr>
          <w:rFonts w:ascii="Arial" w:cs="Arial" w:eastAsia="Arial" w:hAnsi="Arial"/>
          <w:sz w:val="17"/>
          <w:szCs w:val="17"/>
          <w:color w:val="212121"/>
        </w:rPr>
      </w:pPr>
    </w:p>
    <w:p>
      <w:pPr>
        <w:ind w:left="910" w:hanging="333"/>
        <w:spacing w:after="0" w:line="268" w:lineRule="auto"/>
        <w:tabs>
          <w:tab w:leader="none" w:pos="910" w:val="left"/>
        </w:tabs>
        <w:numPr>
          <w:ilvl w:val="3"/>
          <w:numId w:val="196"/>
        </w:numPr>
        <w:rPr>
          <w:rFonts w:ascii="Arial" w:cs="Arial" w:eastAsia="Arial" w:hAnsi="Arial"/>
          <w:sz w:val="17"/>
          <w:szCs w:val="17"/>
          <w:color w:val="212121"/>
        </w:rPr>
      </w:pPr>
      <w:r>
        <w:rPr>
          <w:rFonts w:ascii="Arial" w:cs="Arial" w:eastAsia="Arial" w:hAnsi="Arial"/>
          <w:sz w:val="17"/>
          <w:szCs w:val="17"/>
          <w:color w:val="212121"/>
        </w:rPr>
        <w:t xml:space="preserve">such disclosure is reasonably required in connection with any proposed Transfer of all or any part of the Participant's RSUs; </w:t>
      </w:r>
      <w:r>
        <w:rPr>
          <w:rFonts w:ascii="Arial" w:cs="Arial" w:eastAsia="Arial" w:hAnsi="Arial"/>
          <w:sz w:val="17"/>
          <w:szCs w:val="17"/>
          <w:u w:val="single" w:color="auto"/>
          <w:color w:val="383838"/>
        </w:rPr>
        <w:t>provided</w:t>
      </w:r>
      <w:r>
        <w:rPr>
          <w:rFonts w:ascii="Arial" w:cs="Arial" w:eastAsia="Arial" w:hAnsi="Arial"/>
          <w:sz w:val="17"/>
          <w:szCs w:val="17"/>
          <w:color w:val="212121"/>
        </w:rPr>
        <w:t xml:space="preserve"> that with respect to any such use of any Confidential Information referred to in this clause (iv), advance notice must be given to the Company so that it may require any proposed transferee to enter into a confidentiality agreement with terms substantially similar to the terms of this Section 1 of this Exhibit A (excluding this clause (iv)) prior to the disclosure of such Confidential Information.</w:t>
      </w:r>
    </w:p>
    <w:p>
      <w:pPr>
        <w:spacing w:after="0" w:line="176" w:lineRule="exact"/>
        <w:rPr>
          <w:rFonts w:ascii="Arial" w:cs="Arial" w:eastAsia="Arial" w:hAnsi="Arial"/>
          <w:sz w:val="17"/>
          <w:szCs w:val="17"/>
          <w:color w:val="212121"/>
        </w:rPr>
      </w:pPr>
    </w:p>
    <w:p>
      <w:pPr>
        <w:ind w:left="590" w:right="80" w:hanging="301"/>
        <w:spacing w:after="0" w:line="263" w:lineRule="auto"/>
        <w:tabs>
          <w:tab w:leader="none" w:pos="590" w:val="left"/>
        </w:tabs>
        <w:numPr>
          <w:ilvl w:val="1"/>
          <w:numId w:val="196"/>
        </w:numPr>
        <w:rPr>
          <w:rFonts w:ascii="Arial" w:cs="Arial" w:eastAsia="Arial" w:hAnsi="Arial"/>
          <w:sz w:val="17"/>
          <w:szCs w:val="17"/>
          <w:color w:val="212121"/>
        </w:rPr>
      </w:pPr>
      <w:r>
        <w:rPr>
          <w:rFonts w:ascii="Arial" w:cs="Arial" w:eastAsia="Arial" w:hAnsi="Arial"/>
          <w:sz w:val="17"/>
          <w:szCs w:val="17"/>
          <w:color w:val="212121"/>
        </w:rPr>
        <w:t>In the event that the Participant or any Participant Party is required to disclose any of the Confidential Information, the Participant shall use reasonable efforts to provide the Company with prompt written notice so that the Company may seek a protective order or other appropriate remedy and/or waive compliance with the provisions of this Agreement, and the Participant shall use reasonable efforts to cooperate with the Company in any effort the Company undertakes to obtain a protective order or other remedy. In the event that such protective order or other remedy is not obtained, or that the Company waives compliance with the provisions of this Section 1 of Exhibit A, the Participant and the Participant Parties shall furnish only that portion of the Confidential Information that is legally required and shall exercise all reasonable efforts to obtain reasonably reliable assurance that the Confidential Information shall be accorded confidential treatment.</w:t>
      </w:r>
    </w:p>
    <w:p>
      <w:pPr>
        <w:spacing w:after="0" w:line="180" w:lineRule="exact"/>
        <w:rPr>
          <w:rFonts w:ascii="Arial" w:cs="Arial" w:eastAsia="Arial" w:hAnsi="Arial"/>
          <w:sz w:val="17"/>
          <w:szCs w:val="17"/>
          <w:color w:val="212121"/>
        </w:rPr>
      </w:pPr>
    </w:p>
    <w:p>
      <w:pPr>
        <w:ind w:left="590" w:right="500" w:hanging="301"/>
        <w:spacing w:after="0" w:line="290" w:lineRule="auto"/>
        <w:tabs>
          <w:tab w:leader="none" w:pos="590" w:val="left"/>
        </w:tabs>
        <w:numPr>
          <w:ilvl w:val="1"/>
          <w:numId w:val="196"/>
        </w:numPr>
        <w:rPr>
          <w:rFonts w:ascii="Arial" w:cs="Arial" w:eastAsia="Arial" w:hAnsi="Arial"/>
          <w:sz w:val="17"/>
          <w:szCs w:val="17"/>
          <w:color w:val="212121"/>
        </w:rPr>
      </w:pPr>
      <w:r>
        <w:rPr>
          <w:rFonts w:ascii="Arial" w:cs="Arial" w:eastAsia="Arial" w:hAnsi="Arial"/>
          <w:sz w:val="17"/>
          <w:szCs w:val="17"/>
          <w:color w:val="212121"/>
        </w:rPr>
        <w:t>Notwithstanding anything in this Agreement to the contrary, the Participant may disclose to any subsequent employer the restrictions to which the Participant is subject to pursuant to this Agreement.</w:t>
      </w:r>
    </w:p>
    <w:p>
      <w:pPr>
        <w:spacing w:after="0" w:line="158" w:lineRule="exact"/>
        <w:rPr>
          <w:sz w:val="20"/>
          <w:szCs w:val="20"/>
          <w:color w:val="auto"/>
        </w:rPr>
      </w:pPr>
    </w:p>
    <w:p>
      <w:pPr>
        <w:ind w:left="290" w:right="3600" w:hanging="290"/>
        <w:spacing w:after="0" w:line="496" w:lineRule="auto"/>
        <w:tabs>
          <w:tab w:leader="none" w:pos="290" w:val="left"/>
        </w:tabs>
        <w:numPr>
          <w:ilvl w:val="0"/>
          <w:numId w:val="197"/>
        </w:numPr>
        <w:rPr>
          <w:rFonts w:ascii="Arial" w:cs="Arial" w:eastAsia="Arial" w:hAnsi="Arial"/>
          <w:sz w:val="17"/>
          <w:szCs w:val="17"/>
          <w:color w:val="212121"/>
        </w:rPr>
      </w:pPr>
      <w:r>
        <w:rPr>
          <w:rFonts w:ascii="Arial" w:cs="Arial" w:eastAsia="Arial" w:hAnsi="Arial"/>
          <w:sz w:val="17"/>
          <w:szCs w:val="17"/>
          <w:u w:val="single" w:color="auto"/>
          <w:color w:val="383838"/>
        </w:rPr>
        <w:t>Non-Compete: Non-Solicit; Non-Disparagement</w:t>
      </w:r>
      <w:r>
        <w:rPr>
          <w:rFonts w:ascii="Arial" w:cs="Arial" w:eastAsia="Arial" w:hAnsi="Arial"/>
          <w:sz w:val="17"/>
          <w:szCs w:val="17"/>
          <w:color w:val="383838"/>
        </w:rPr>
        <w:t xml:space="preserve">. </w:t>
      </w:r>
      <w:r>
        <w:rPr>
          <w:rFonts w:ascii="Arial" w:cs="Arial" w:eastAsia="Arial" w:hAnsi="Arial"/>
          <w:sz w:val="17"/>
          <w:szCs w:val="17"/>
          <w:color w:val="212121"/>
        </w:rPr>
        <w:t>During the Restrictive Covenant Period, the Participant:</w:t>
      </w:r>
      <w:r>
        <w:rPr>
          <w:rFonts w:ascii="Arial" w:cs="Arial" w:eastAsia="Arial" w:hAnsi="Arial"/>
          <w:sz w:val="17"/>
          <w:szCs w:val="17"/>
          <w:color w:val="383838"/>
        </w:rPr>
        <w:t xml:space="preserve"> </w:t>
      </w:r>
      <w:r>
        <w:rPr>
          <w:rFonts w:ascii="Arial" w:cs="Arial" w:eastAsia="Arial" w:hAnsi="Arial"/>
          <w:sz w:val="19"/>
          <w:szCs w:val="19"/>
          <w:color w:val="000000"/>
        </w:rPr>
        <w:t xml:space="preserve">a. </w:t>
      </w:r>
      <w:r>
        <w:rPr>
          <w:rFonts w:ascii="Arial" w:cs="Arial" w:eastAsia="Arial" w:hAnsi="Arial"/>
          <w:sz w:val="17"/>
          <w:szCs w:val="17"/>
          <w:color w:val="212121"/>
        </w:rPr>
        <w:t>shall not directly or indirectly engage in any Competitive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590"/>
        <w:spacing w:after="0"/>
        <w:rPr>
          <w:sz w:val="20"/>
          <w:szCs w:val="20"/>
          <w:color w:val="auto"/>
        </w:rPr>
      </w:pPr>
      <w:r>
        <w:rPr>
          <w:rFonts w:ascii="Arial" w:cs="Arial" w:eastAsia="Arial" w:hAnsi="Arial"/>
          <w:sz w:val="18"/>
          <w:szCs w:val="18"/>
          <w:color w:val="212121"/>
        </w:rPr>
        <w:t>A-1</w:t>
      </w:r>
    </w:p>
    <w:p>
      <w:pPr>
        <w:spacing w:after="0" w:line="200" w:lineRule="exact"/>
        <w:rPr>
          <w:sz w:val="20"/>
          <w:szCs w:val="20"/>
          <w:color w:val="auto"/>
        </w:rPr>
      </w:pPr>
    </w:p>
    <w:p>
      <w:pPr>
        <w:spacing w:after="0" w:line="219" w:lineRule="exact"/>
        <w:rPr>
          <w:sz w:val="20"/>
          <w:szCs w:val="20"/>
          <w:color w:val="auto"/>
        </w:rPr>
      </w:pPr>
    </w:p>
    <w:p>
      <w:pPr>
        <w:jc w:val="center"/>
        <w:ind w:right="9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10"/>
          </w:cols>
          <w:pgMar w:left="350" w:top="699" w:right="239" w:bottom="1440" w:gutter="0" w:footer="0" w:header="0"/>
        </w:sectPr>
      </w:pPr>
    </w:p>
    <w:bookmarkStart w:id="196" w:name="page197"/>
    <w:bookmarkEnd w:id="196"/>
    <w:p>
      <w:pPr>
        <w:ind w:left="600" w:right="120" w:hanging="283"/>
        <w:spacing w:after="0" w:line="294" w:lineRule="auto"/>
        <w:tabs>
          <w:tab w:leader="none" w:pos="600" w:val="left"/>
        </w:tabs>
        <w:numPr>
          <w:ilvl w:val="1"/>
          <w:numId w:val="198"/>
        </w:numPr>
        <w:rPr>
          <w:rFonts w:ascii="Arial" w:cs="Arial" w:eastAsia="Arial" w:hAnsi="Arial"/>
          <w:sz w:val="19"/>
          <w:szCs w:val="19"/>
          <w:color w:val="auto"/>
        </w:rPr>
      </w:pPr>
      <w:r>
        <w:rPr>
          <w:rFonts w:ascii="Arial" w:cs="Arial" w:eastAsia="Arial" w:hAnsi="Arial"/>
          <w:sz w:val="17"/>
          <w:szCs w:val="17"/>
          <w:color w:val="212121"/>
        </w:rPr>
        <w:t xml:space="preserve">shall not directly or indirectly solicit, or assist any other Person to solicit, as an employee or consultant, any employee, former employee or member of the Company, Virtu Financial LLC or any of their respective Affiliates (the </w:t>
      </w:r>
      <w:r>
        <w:rPr>
          <w:rFonts w:ascii="Arial" w:cs="Arial" w:eastAsia="Arial" w:hAnsi="Arial"/>
          <w:sz w:val="17"/>
          <w:szCs w:val="17"/>
          <w:b w:val="1"/>
          <w:bCs w:val="1"/>
          <w:color w:val="212121"/>
        </w:rPr>
        <w:t>"Company Parties");</w:t>
      </w:r>
    </w:p>
    <w:p>
      <w:pPr>
        <w:spacing w:after="0" w:line="175" w:lineRule="exact"/>
        <w:rPr>
          <w:rFonts w:ascii="Arial" w:cs="Arial" w:eastAsia="Arial" w:hAnsi="Arial"/>
          <w:sz w:val="19"/>
          <w:szCs w:val="19"/>
          <w:color w:val="auto"/>
        </w:rPr>
      </w:pPr>
    </w:p>
    <w:p>
      <w:pPr>
        <w:ind w:left="620" w:right="360" w:hanging="303"/>
        <w:spacing w:after="0" w:line="294" w:lineRule="auto"/>
        <w:tabs>
          <w:tab w:leader="none" w:pos="602" w:val="left"/>
        </w:tabs>
        <w:numPr>
          <w:ilvl w:val="1"/>
          <w:numId w:val="198"/>
        </w:numPr>
        <w:rPr>
          <w:rFonts w:ascii="Arial" w:cs="Arial" w:eastAsia="Arial" w:hAnsi="Arial"/>
          <w:sz w:val="19"/>
          <w:szCs w:val="19"/>
          <w:color w:val="auto"/>
        </w:rPr>
      </w:pPr>
      <w:r>
        <w:rPr>
          <w:rFonts w:ascii="Arial" w:cs="Arial" w:eastAsia="Arial" w:hAnsi="Arial"/>
          <w:sz w:val="17"/>
          <w:szCs w:val="17"/>
          <w:color w:val="212121"/>
        </w:rPr>
        <w:t>shall not, and shall cause his or her controlled Affiliates not to, hire, or assist any other Person to hire, as an employee or consultant, any employee, former employee, member or retired member of the Company Parties; and</w:t>
      </w:r>
    </w:p>
    <w:p>
      <w:pPr>
        <w:spacing w:after="0" w:line="162" w:lineRule="exact"/>
        <w:rPr>
          <w:rFonts w:ascii="Arial" w:cs="Arial" w:eastAsia="Arial" w:hAnsi="Arial"/>
          <w:sz w:val="19"/>
          <w:szCs w:val="19"/>
          <w:color w:val="auto"/>
        </w:rPr>
      </w:pPr>
    </w:p>
    <w:p>
      <w:pPr>
        <w:ind w:left="620" w:right="440" w:hanging="303"/>
        <w:spacing w:after="0" w:line="318" w:lineRule="auto"/>
        <w:tabs>
          <w:tab w:leader="none" w:pos="602" w:val="left"/>
        </w:tabs>
        <w:numPr>
          <w:ilvl w:val="1"/>
          <w:numId w:val="198"/>
        </w:numPr>
        <w:rPr>
          <w:rFonts w:ascii="Arial" w:cs="Arial" w:eastAsia="Arial" w:hAnsi="Arial"/>
          <w:sz w:val="17"/>
          <w:szCs w:val="17"/>
          <w:color w:val="auto"/>
        </w:rPr>
      </w:pPr>
      <w:r>
        <w:rPr>
          <w:rFonts w:ascii="Arial" w:cs="Arial" w:eastAsia="Arial" w:hAnsi="Arial"/>
          <w:sz w:val="16"/>
          <w:szCs w:val="16"/>
          <w:color w:val="212121"/>
        </w:rPr>
        <w:t xml:space="preserve">shall not take, and shall take reasonable steps to cause his or her Affiliates not to take, any action or make any public statement, whether or not in writing, that disparages or denigrates the Company Parties or their respective directors, officers, employees, members, representatives and agents; </w:t>
      </w:r>
      <w:r>
        <w:rPr>
          <w:rFonts w:ascii="Arial" w:cs="Arial" w:eastAsia="Arial" w:hAnsi="Arial"/>
          <w:sz w:val="16"/>
          <w:szCs w:val="16"/>
          <w:u w:val="single" w:color="auto"/>
          <w:color w:val="363636"/>
        </w:rPr>
        <w:t>provided, however,</w:t>
      </w:r>
      <w:r>
        <w:rPr>
          <w:rFonts w:ascii="Arial" w:cs="Arial" w:eastAsia="Arial" w:hAnsi="Arial"/>
          <w:sz w:val="16"/>
          <w:szCs w:val="16"/>
          <w:color w:val="363636"/>
        </w:rPr>
        <w:t xml:space="preserve"> </w:t>
      </w:r>
      <w:r>
        <w:rPr>
          <w:rFonts w:ascii="Arial" w:cs="Arial" w:eastAsia="Arial" w:hAnsi="Arial"/>
          <w:sz w:val="16"/>
          <w:szCs w:val="16"/>
          <w:color w:val="212121"/>
        </w:rPr>
        <w:t>that nothing in this Section 2(d) of this Exhibit A shall prevent the Participant from (i) testifying truthfully in any legal or</w:t>
      </w:r>
      <w:r>
        <w:rPr>
          <w:rFonts w:ascii="Arial" w:cs="Arial" w:eastAsia="Arial" w:hAnsi="Arial"/>
          <w:sz w:val="16"/>
          <w:szCs w:val="16"/>
          <w:color w:val="363636"/>
        </w:rPr>
        <w:t xml:space="preserve"> </w:t>
      </w:r>
      <w:r>
        <w:rPr>
          <w:rFonts w:ascii="Arial" w:cs="Arial" w:eastAsia="Arial" w:hAnsi="Arial"/>
          <w:sz w:val="16"/>
          <w:szCs w:val="16"/>
          <w:color w:val="212121"/>
        </w:rPr>
        <w:t>administrative proceeding if such testimony is compelled or requested or (ii) complying with applicable legal requirements.</w:t>
      </w:r>
    </w:p>
    <w:p>
      <w:pPr>
        <w:spacing w:after="0" w:line="151" w:lineRule="exact"/>
        <w:rPr>
          <w:rFonts w:ascii="Arial" w:cs="Arial" w:eastAsia="Arial" w:hAnsi="Arial"/>
          <w:sz w:val="17"/>
          <w:szCs w:val="17"/>
          <w:color w:val="auto"/>
        </w:rPr>
      </w:pPr>
    </w:p>
    <w:p>
      <w:pPr>
        <w:ind w:left="300" w:hanging="298"/>
        <w:spacing w:after="0" w:line="277" w:lineRule="auto"/>
        <w:tabs>
          <w:tab w:leader="none" w:pos="300" w:val="left"/>
        </w:tabs>
        <w:numPr>
          <w:ilvl w:val="0"/>
          <w:numId w:val="199"/>
        </w:numPr>
        <w:rPr>
          <w:rFonts w:ascii="Arial" w:cs="Arial" w:eastAsia="Arial" w:hAnsi="Arial"/>
          <w:sz w:val="16"/>
          <w:szCs w:val="16"/>
          <w:color w:val="212121"/>
        </w:rPr>
      </w:pPr>
      <w:r>
        <w:rPr>
          <w:rFonts w:ascii="Arial" w:cs="Arial" w:eastAsia="Arial" w:hAnsi="Arial"/>
          <w:sz w:val="16"/>
          <w:szCs w:val="16"/>
          <w:u w:val="single" w:color="auto"/>
          <w:color w:val="363636"/>
        </w:rPr>
        <w:t>Enforcement of Covenants.</w:t>
      </w:r>
      <w:r>
        <w:rPr>
          <w:rFonts w:ascii="Arial" w:cs="Arial" w:eastAsia="Arial" w:hAnsi="Arial"/>
          <w:sz w:val="16"/>
          <w:szCs w:val="16"/>
          <w:color w:val="363636"/>
        </w:rPr>
        <w:t xml:space="preserve"> </w:t>
      </w:r>
      <w:r>
        <w:rPr>
          <w:rFonts w:ascii="Arial" w:cs="Arial" w:eastAsia="Arial" w:hAnsi="Arial"/>
          <w:sz w:val="16"/>
          <w:szCs w:val="16"/>
          <w:color w:val="212121"/>
        </w:rPr>
        <w:t>The Participant agrees that (i) the agreements and covenants contained in Section 2 of this Exhibit A are reasonable in scope and</w:t>
      </w:r>
      <w:r>
        <w:rPr>
          <w:rFonts w:ascii="Arial" w:cs="Arial" w:eastAsia="Arial" w:hAnsi="Arial"/>
          <w:sz w:val="16"/>
          <w:szCs w:val="16"/>
          <w:color w:val="363636"/>
        </w:rPr>
        <w:t xml:space="preserve"> </w:t>
      </w:r>
      <w:r>
        <w:rPr>
          <w:rFonts w:ascii="Arial" w:cs="Arial" w:eastAsia="Arial" w:hAnsi="Arial"/>
          <w:sz w:val="16"/>
          <w:szCs w:val="16"/>
          <w:color w:val="212121"/>
        </w:rPr>
        <w:t xml:space="preserve">duration and necessary to protect and preserve the Company Parties' legitimate business interests and to prevent any unfair advantage conferred on the Participant taking into account, and in specific consideration of, the undertakings and obligations of the parties under the Agreement, (ii) but for the Participant's agreement to be bound by the agreements and covenants contained under Section 2 of this Exhibit A, the Company Parties would not have entered into or consummated those transactions contemplated by the Agreement, and (iii) irreparable harm would result to the Company Parties as a result of a violation or breach (or potential violation or breach) by the Participant (or his or her Affiliates) of Section 2 of this Exhibit A and the Company Parties shall have the right to specifically enforce the provisions of Section 2 of this Exhibit A in any federal court located in the State of Delaware or any Delaware state court, in addition to any other remedy to which they are entitled at law or in equity. </w:t>
      </w:r>
      <w:r>
        <w:rPr>
          <w:rFonts w:ascii="Arial" w:cs="Arial" w:eastAsia="Arial" w:hAnsi="Arial"/>
          <w:sz w:val="15"/>
          <w:szCs w:val="15"/>
          <w:color w:val="212121"/>
        </w:rPr>
        <w:t>If</w:t>
      </w:r>
      <w:r>
        <w:rPr>
          <w:rFonts w:ascii="Arial" w:cs="Arial" w:eastAsia="Arial" w:hAnsi="Arial"/>
          <w:sz w:val="16"/>
          <w:szCs w:val="16"/>
          <w:color w:val="212121"/>
        </w:rPr>
        <w:t xml:space="preserve"> a final judgment of a court of competent jurisdiction or other Governmental Authority determines that any term, provision, covenant or restriction contained in Section 2 of this Exhibit A is invalid or unenforceable, then the parties hereto agree that the court of competent jurisdiction or other Governmental Authority will have the power to modify Section 2 of this Exhibit A (including by reducing the scope, duration or geographic area of the term or provision, deleting specific words or phrases or replacing any invalid or unenforceable term or provision with a term or provision that is valid and enforceable and that comes closest to expressing the intention of the invalid or unenforceable term or provision) so as to effect the original intention of the invalid or unenforceable term or provision. To the fullest extent permitted by law, in the event that any proceeding is brought under or in connection with Section 2 of this Exhibit A, the prevailing party in such proceeding (whether at final or on appeal) shall be entitled to recover from the other party all costs, expenses, and reasonable attorneys' fees incident to any such proceeding. The term "prevailing party" as used herein means the party in whose favor the final judgment or award is entered in any such proceeding.</w:t>
      </w:r>
    </w:p>
    <w:p>
      <w:pPr>
        <w:spacing w:after="0" w:line="172" w:lineRule="exact"/>
        <w:rPr>
          <w:rFonts w:ascii="Arial" w:cs="Arial" w:eastAsia="Arial" w:hAnsi="Arial"/>
          <w:sz w:val="16"/>
          <w:szCs w:val="16"/>
          <w:color w:val="212121"/>
        </w:rPr>
      </w:pPr>
    </w:p>
    <w:p>
      <w:pPr>
        <w:ind w:left="280" w:hanging="278"/>
        <w:spacing w:after="0"/>
        <w:tabs>
          <w:tab w:leader="none" w:pos="280" w:val="left"/>
        </w:tabs>
        <w:numPr>
          <w:ilvl w:val="0"/>
          <w:numId w:val="199"/>
        </w:numPr>
        <w:rPr>
          <w:rFonts w:ascii="Arial" w:cs="Arial" w:eastAsia="Arial" w:hAnsi="Arial"/>
          <w:sz w:val="17"/>
          <w:szCs w:val="17"/>
          <w:color w:val="212121"/>
        </w:rPr>
      </w:pPr>
      <w:r>
        <w:rPr>
          <w:rFonts w:ascii="Arial" w:cs="Arial" w:eastAsia="Arial" w:hAnsi="Arial"/>
          <w:sz w:val="17"/>
          <w:szCs w:val="17"/>
          <w:u w:val="single" w:color="auto"/>
          <w:color w:val="212121"/>
        </w:rPr>
        <w:t>Certain Definitions</w:t>
      </w:r>
    </w:p>
    <w:p>
      <w:pPr>
        <w:spacing w:after="0" w:line="245" w:lineRule="exact"/>
        <w:rPr>
          <w:sz w:val="20"/>
          <w:szCs w:val="20"/>
          <w:color w:val="auto"/>
        </w:rPr>
      </w:pPr>
    </w:p>
    <w:p>
      <w:pPr>
        <w:ind w:left="600" w:right="100" w:hanging="309"/>
        <w:spacing w:after="0" w:line="317" w:lineRule="auto"/>
        <w:tabs>
          <w:tab w:leader="none" w:pos="583" w:val="left"/>
        </w:tabs>
        <w:numPr>
          <w:ilvl w:val="0"/>
          <w:numId w:val="200"/>
        </w:numPr>
        <w:rPr>
          <w:rFonts w:ascii="Arial" w:cs="Arial" w:eastAsia="Arial" w:hAnsi="Arial"/>
          <w:sz w:val="17"/>
          <w:szCs w:val="17"/>
          <w:color w:val="auto"/>
        </w:rPr>
      </w:pPr>
      <w:r>
        <w:rPr>
          <w:rFonts w:ascii="Arial" w:cs="Arial" w:eastAsia="Arial" w:hAnsi="Arial"/>
          <w:sz w:val="16"/>
          <w:szCs w:val="16"/>
          <w:b w:val="1"/>
          <w:bCs w:val="1"/>
          <w:color w:val="212121"/>
        </w:rPr>
        <w:t xml:space="preserve">"Algorithmic Liquidity Trading" </w:t>
      </w:r>
      <w:r>
        <w:rPr>
          <w:rFonts w:ascii="Arial" w:cs="Arial" w:eastAsia="Arial" w:hAnsi="Arial"/>
          <w:sz w:val="16"/>
          <w:szCs w:val="16"/>
          <w:color w:val="212121"/>
        </w:rPr>
        <w:t>means trading Financial Assets through the use of an electronically automated trading system that generates order</w:t>
      </w:r>
      <w:r>
        <w:rPr>
          <w:rFonts w:ascii="Arial" w:cs="Arial" w:eastAsia="Arial" w:hAnsi="Arial"/>
          <w:sz w:val="16"/>
          <w:szCs w:val="16"/>
          <w:b w:val="1"/>
          <w:bCs w:val="1"/>
          <w:color w:val="212121"/>
        </w:rPr>
        <w:t xml:space="preserve"> </w:t>
      </w:r>
      <w:r>
        <w:rPr>
          <w:rFonts w:ascii="Arial" w:cs="Arial" w:eastAsia="Arial" w:hAnsi="Arial"/>
          <w:sz w:val="16"/>
          <w:szCs w:val="16"/>
          <w:color w:val="212121"/>
        </w:rPr>
        <w:t>sets (which, for purposes of clarity, can consist of a single order) with the intention of (i) creating profit by providing two-sided liquidity to the market, (ii) making a profit margin consistent with the business of making the bid offer spread or less per unit of the Financial Asset(s) being traded (including by providing either one-sided or two sided liquidity to the market), or (iii) creating Simultaneous order sets that are generated with the intention of locking in an Arbitrage profit. For the avoidance of doubt, "Algorithmic Liquidity Trading" does not include trading in which an Order or Orders are</w:t>
      </w:r>
    </w:p>
    <w:p>
      <w:pPr>
        <w:spacing w:after="0" w:line="16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400" w:top="495" w:right="239" w:bottom="1440" w:gutter="0" w:footer="0" w:header="0"/>
        </w:sectPr>
      </w:pPr>
    </w:p>
    <w:bookmarkStart w:id="197" w:name="page198"/>
    <w:bookmarkEnd w:id="197"/>
    <w:p>
      <w:pPr>
        <w:ind w:left="341" w:right="40"/>
        <w:spacing w:after="0" w:line="290" w:lineRule="auto"/>
        <w:rPr>
          <w:sz w:val="20"/>
          <w:szCs w:val="20"/>
          <w:color w:val="auto"/>
        </w:rPr>
      </w:pPr>
      <w:r>
        <w:rPr>
          <w:rFonts w:ascii="Arial" w:cs="Arial" w:eastAsia="Arial" w:hAnsi="Arial"/>
          <w:sz w:val="16"/>
          <w:szCs w:val="16"/>
          <w:color w:val="212121"/>
        </w:rPr>
        <w:t>manually generated and submitted for execution by a natural person (including, without limitation, Stop Orders, Limit Orders, Volume-Weighted Average Price Orders and other common Order types that may involve multiple instructions to a third party and which may involve such third party employing an algorithm in executing the Order provided the algorithm executes only on one side of the market as a "buy" or "sell" Order, and including a portfolio rebalancing Order (which for the avoidance of doubt may involve both a "buy" and a "sell" component within a single Order)).</w:t>
      </w:r>
    </w:p>
    <w:p>
      <w:pPr>
        <w:spacing w:after="0" w:line="168" w:lineRule="exact"/>
        <w:rPr>
          <w:sz w:val="20"/>
          <w:szCs w:val="20"/>
          <w:color w:val="auto"/>
        </w:rPr>
      </w:pPr>
    </w:p>
    <w:p>
      <w:pPr>
        <w:ind w:left="321" w:hanging="295"/>
        <w:spacing w:after="0"/>
        <w:tabs>
          <w:tab w:leader="none" w:pos="321" w:val="left"/>
        </w:tabs>
        <w:numPr>
          <w:ilvl w:val="1"/>
          <w:numId w:val="201"/>
        </w:numPr>
        <w:rPr>
          <w:rFonts w:ascii="Arial" w:cs="Arial" w:eastAsia="Arial" w:hAnsi="Arial"/>
          <w:sz w:val="19"/>
          <w:szCs w:val="19"/>
          <w:color w:val="auto"/>
        </w:rPr>
      </w:pPr>
      <w:r>
        <w:rPr>
          <w:rFonts w:ascii="Arial" w:cs="Arial" w:eastAsia="Arial" w:hAnsi="Arial"/>
          <w:sz w:val="17"/>
          <w:szCs w:val="17"/>
          <w:b w:val="1"/>
          <w:bCs w:val="1"/>
          <w:color w:val="212121"/>
        </w:rPr>
        <w:t xml:space="preserve">"Arbitrage" </w:t>
      </w:r>
      <w:r>
        <w:rPr>
          <w:rFonts w:ascii="Arial" w:cs="Arial" w:eastAsia="Arial" w:hAnsi="Arial"/>
          <w:sz w:val="17"/>
          <w:szCs w:val="17"/>
          <w:color w:val="212121"/>
        </w:rPr>
        <w:t>means arbitrage consistent with the practice of high frequency trading.</w:t>
      </w:r>
    </w:p>
    <w:p>
      <w:pPr>
        <w:spacing w:after="0" w:line="214" w:lineRule="exact"/>
        <w:rPr>
          <w:rFonts w:ascii="Arial" w:cs="Arial" w:eastAsia="Arial" w:hAnsi="Arial"/>
          <w:sz w:val="19"/>
          <w:szCs w:val="19"/>
          <w:color w:val="auto"/>
        </w:rPr>
      </w:pPr>
    </w:p>
    <w:p>
      <w:pPr>
        <w:ind w:left="341" w:right="140" w:hanging="302"/>
        <w:spacing w:after="0" w:line="279" w:lineRule="auto"/>
        <w:tabs>
          <w:tab w:leader="none" w:pos="324" w:val="left"/>
        </w:tabs>
        <w:numPr>
          <w:ilvl w:val="1"/>
          <w:numId w:val="201"/>
        </w:numPr>
        <w:rPr>
          <w:rFonts w:ascii="Arial" w:cs="Arial" w:eastAsia="Arial" w:hAnsi="Arial"/>
          <w:sz w:val="19"/>
          <w:szCs w:val="19"/>
          <w:color w:val="auto"/>
        </w:rPr>
      </w:pPr>
      <w:r>
        <w:rPr>
          <w:rFonts w:ascii="Arial" w:cs="Arial" w:eastAsia="Arial" w:hAnsi="Arial"/>
          <w:sz w:val="17"/>
          <w:szCs w:val="17"/>
          <w:b w:val="1"/>
          <w:bCs w:val="1"/>
          <w:color w:val="212121"/>
        </w:rPr>
        <w:t xml:space="preserve">"Competitive Activity" </w:t>
      </w:r>
      <w:r>
        <w:rPr>
          <w:rFonts w:ascii="Arial" w:cs="Arial" w:eastAsia="Arial" w:hAnsi="Arial"/>
          <w:sz w:val="17"/>
          <w:szCs w:val="17"/>
          <w:color w:val="212121"/>
        </w:rPr>
        <w:t>means (i) serving as a director, officer, employee, trader, manager, consultant, agent or advisor of, or otherwise directly or</w:t>
      </w:r>
      <w:r>
        <w:rPr>
          <w:rFonts w:ascii="Arial" w:cs="Arial" w:eastAsia="Arial" w:hAnsi="Arial"/>
          <w:sz w:val="17"/>
          <w:szCs w:val="17"/>
          <w:b w:val="1"/>
          <w:bCs w:val="1"/>
          <w:color w:val="212121"/>
        </w:rPr>
        <w:t xml:space="preserve"> </w:t>
      </w:r>
      <w:r>
        <w:rPr>
          <w:rFonts w:ascii="Arial" w:cs="Arial" w:eastAsia="Arial" w:hAnsi="Arial"/>
          <w:sz w:val="17"/>
          <w:szCs w:val="17"/>
          <w:color w:val="212121"/>
        </w:rPr>
        <w:t>through an Affiliate providing services to a Competitive Enterprise; (ii) designing or developing any Competitive Technology; (iii) directly or through an Affiliate (A) engaging in Strategy Competition or (B) retaining or otherwise engaging any other Person to undertake any of the actions described in clauses (i), (ii), (iii)(A) or</w:t>
      </w:r>
    </w:p>
    <w:p>
      <w:pPr>
        <w:spacing w:after="0" w:line="2" w:lineRule="exact"/>
        <w:rPr>
          <w:rFonts w:ascii="Arial" w:cs="Arial" w:eastAsia="Arial" w:hAnsi="Arial"/>
          <w:sz w:val="19"/>
          <w:szCs w:val="19"/>
          <w:color w:val="auto"/>
        </w:rPr>
      </w:pPr>
    </w:p>
    <w:p>
      <w:pPr>
        <w:ind w:left="321" w:firstLine="13"/>
        <w:spacing w:after="0" w:line="276" w:lineRule="auto"/>
        <w:rPr>
          <w:rFonts w:ascii="Arial" w:cs="Arial" w:eastAsia="Arial" w:hAnsi="Arial"/>
          <w:sz w:val="19"/>
          <w:szCs w:val="19"/>
          <w:color w:val="auto"/>
        </w:rPr>
      </w:pPr>
      <w:r>
        <w:rPr>
          <w:rFonts w:ascii="Arial" w:cs="Arial" w:eastAsia="Arial" w:hAnsi="Arial"/>
          <w:sz w:val="16"/>
          <w:szCs w:val="16"/>
          <w:color w:val="212121"/>
        </w:rPr>
        <w:t xml:space="preserve">(iv) of this definition; (iv) serving as a director, officer, employee, trader, manager, consultant, agent or advisor of, or otherwise directly or through an Affiliate providing services to any business, financial institution, investment bank or other business enterprise (in any form, including without limitation as a corporation, partnership, limited liability company or other Person) that is, or whose Affiliate is, engaged in Strategy Competition, in each case except in a capacity that does not involve or require the Participant to engage in any activities described in clauses (i), (ii) or (iii) of this definition above or have any direct management oversight of or involvement in Strategy Competition; (v) acquiring directly or through an Affiliate in the aggregate directly or beneficially, whether as a shareholder, partner, member or otherwise, any equity (including stock options or warrants, whether or not exercisable), voting or profit participation interests (collectively, </w:t>
      </w:r>
      <w:r>
        <w:rPr>
          <w:rFonts w:ascii="Arial" w:cs="Arial" w:eastAsia="Arial" w:hAnsi="Arial"/>
          <w:sz w:val="16"/>
          <w:szCs w:val="16"/>
          <w:b w:val="1"/>
          <w:bCs w:val="1"/>
          <w:color w:val="212121"/>
        </w:rPr>
        <w:t>"Ownership Interests")</w:t>
      </w:r>
      <w:r>
        <w:rPr>
          <w:rFonts w:ascii="Arial" w:cs="Arial" w:eastAsia="Arial" w:hAnsi="Arial"/>
          <w:sz w:val="16"/>
          <w:szCs w:val="16"/>
          <w:color w:val="212121"/>
        </w:rPr>
        <w:t xml:space="preserve"> in a Competitive Enterprise, or any derivative where the reference asset is an Ownership Interest in a Competitive Enterprise, other than a passive investment of not more than, as calculated at the time of acquisition (but after giving effect to any transaction or transactions to occur in connection with such acquisition), 1% (measured by voting power or value, whichever is greater) of the fully diluted Ownership Interests of a Competitive Enterprise (for the avoidance of doubt, such percentage interest shall be calculated based on the Participant's percentage of direct and indirect ownership of the Competitive Enterprise and not any intermediary, such as a holding company or partnership) (it being understood that this clause (v) shall not apply to prohibit the holding of an Ownership Interest if, at the time of acquisition of such Ownership Interest, the Person in which such direct or indirect Ownership Interest is acquired is not a Competitive Enterprise and the Participant is not aware at the time of such acquisition, after reasonable inquiry, that such Person has any plans to become a Competitive Enterprise); or (vi) directly or through an Affiliate owning any Ownership Interests in any Person listed in </w:t>
      </w:r>
      <w:r>
        <w:rPr>
          <w:rFonts w:ascii="Arial" w:cs="Arial" w:eastAsia="Arial" w:hAnsi="Arial"/>
          <w:sz w:val="16"/>
          <w:szCs w:val="16"/>
          <w:u w:val="single" w:color="auto"/>
          <w:color w:val="313131"/>
        </w:rPr>
        <w:t>Schedule</w:t>
      </w:r>
      <w:r>
        <w:rPr>
          <w:rFonts w:ascii="Arial" w:cs="Arial" w:eastAsia="Arial" w:hAnsi="Arial"/>
          <w:sz w:val="16"/>
          <w:szCs w:val="16"/>
          <w:color w:val="212121"/>
        </w:rPr>
        <w:t xml:space="preserve"> </w:t>
      </w:r>
      <w:r>
        <w:rPr>
          <w:rFonts w:ascii="Arial" w:cs="Arial" w:eastAsia="Arial" w:hAnsi="Arial"/>
          <w:sz w:val="16"/>
          <w:szCs w:val="16"/>
          <w:color w:val="313131"/>
        </w:rPr>
        <w:t>I</w:t>
      </w:r>
      <w:r>
        <w:rPr>
          <w:rFonts w:ascii="Arial" w:cs="Arial" w:eastAsia="Arial" w:hAnsi="Arial"/>
          <w:sz w:val="16"/>
          <w:szCs w:val="16"/>
          <w:color w:val="212121"/>
        </w:rPr>
        <w:t xml:space="preserve"> of this Exhibit A (or any parent company or entity of a Person listed in </w:t>
      </w:r>
      <w:r>
        <w:rPr>
          <w:rFonts w:ascii="Arial" w:cs="Arial" w:eastAsia="Arial" w:hAnsi="Arial"/>
          <w:sz w:val="16"/>
          <w:szCs w:val="16"/>
          <w:u w:val="single" w:color="auto"/>
          <w:color w:val="313131"/>
        </w:rPr>
        <w:t>Schedule l</w:t>
      </w:r>
      <w:r>
        <w:rPr>
          <w:rFonts w:ascii="Arial" w:cs="Arial" w:eastAsia="Arial" w:hAnsi="Arial"/>
          <w:sz w:val="16"/>
          <w:szCs w:val="16"/>
          <w:color w:val="212121"/>
        </w:rPr>
        <w:t xml:space="preserve"> of this Exhibit A or any successors thereto, other than a parent company or entity that is not a Competitive Enterprise) (a </w:t>
      </w:r>
      <w:r>
        <w:rPr>
          <w:rFonts w:ascii="Arial" w:cs="Arial" w:eastAsia="Arial" w:hAnsi="Arial"/>
          <w:sz w:val="16"/>
          <w:szCs w:val="16"/>
          <w:b w:val="1"/>
          <w:bCs w:val="1"/>
          <w:color w:val="212121"/>
        </w:rPr>
        <w:t>"Restricted Investment"),</w:t>
      </w:r>
      <w:r>
        <w:rPr>
          <w:rFonts w:ascii="Arial" w:cs="Arial" w:eastAsia="Arial" w:hAnsi="Arial"/>
          <w:sz w:val="16"/>
          <w:szCs w:val="16"/>
          <w:color w:val="212121"/>
        </w:rPr>
        <w:t xml:space="preserve"> or any derivative where the reference asset is an Ownership Interest in a Restricted Investment, except to the extent such Ownership Interests or derivatives are held through an index fund, an exchange traded fund, a mutual fund, hedge fund, or other form of collective investment or fund, or through a managed account, in each case, where a third party that is not affiliated with the Participant exercises sole investment discretion in respect of such fund or account and such third party has not disclosed at the time the Participant makes his or her investment that it holds or intends to hold any Ownership Interests in a Restricted Investment.</w:t>
      </w:r>
    </w:p>
    <w:p>
      <w:pPr>
        <w:spacing w:after="0" w:line="196" w:lineRule="exact"/>
        <w:rPr>
          <w:rFonts w:ascii="Arial" w:cs="Arial" w:eastAsia="Arial" w:hAnsi="Arial"/>
          <w:sz w:val="19"/>
          <w:szCs w:val="19"/>
          <w:color w:val="auto"/>
        </w:rPr>
      </w:pPr>
    </w:p>
    <w:p>
      <w:pPr>
        <w:ind w:left="321" w:right="300" w:hanging="321"/>
        <w:spacing w:after="0" w:line="301" w:lineRule="auto"/>
        <w:tabs>
          <w:tab w:leader="none" w:pos="304" w:val="left"/>
        </w:tabs>
        <w:numPr>
          <w:ilvl w:val="0"/>
          <w:numId w:val="202"/>
        </w:numPr>
        <w:rPr>
          <w:rFonts w:ascii="Arial" w:cs="Arial" w:eastAsia="Arial" w:hAnsi="Arial"/>
          <w:sz w:val="19"/>
          <w:szCs w:val="19"/>
          <w:color w:val="auto"/>
        </w:rPr>
      </w:pPr>
      <w:r>
        <w:rPr>
          <w:rFonts w:ascii="Arial" w:cs="Arial" w:eastAsia="Arial" w:hAnsi="Arial"/>
          <w:sz w:val="17"/>
          <w:szCs w:val="17"/>
          <w:b w:val="1"/>
          <w:bCs w:val="1"/>
          <w:color w:val="212121"/>
        </w:rPr>
        <w:t xml:space="preserve">"Competitive Enterprise" </w:t>
      </w:r>
      <w:r>
        <w:rPr>
          <w:rFonts w:ascii="Arial" w:cs="Arial" w:eastAsia="Arial" w:hAnsi="Arial"/>
          <w:sz w:val="17"/>
          <w:szCs w:val="17"/>
          <w:color w:val="212121"/>
        </w:rPr>
        <w:t>means any Person or business enterprise (in any form, including without limitation as a corporation, partnership, limited</w:t>
      </w:r>
      <w:r>
        <w:rPr>
          <w:rFonts w:ascii="Arial" w:cs="Arial" w:eastAsia="Arial" w:hAnsi="Arial"/>
          <w:sz w:val="17"/>
          <w:szCs w:val="17"/>
          <w:b w:val="1"/>
          <w:bCs w:val="1"/>
          <w:color w:val="212121"/>
        </w:rPr>
        <w:t xml:space="preserve"> </w:t>
      </w:r>
      <w:r>
        <w:rPr>
          <w:rFonts w:ascii="Arial" w:cs="Arial" w:eastAsia="Arial" w:hAnsi="Arial"/>
          <w:sz w:val="17"/>
          <w:szCs w:val="17"/>
          <w:color w:val="212121"/>
        </w:rPr>
        <w:t>liability company or other Person), or</w:t>
      </w:r>
    </w:p>
    <w:p>
      <w:pPr>
        <w:spacing w:after="0" w:line="37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01"/>
          </w:cols>
          <w:pgMar w:left="639" w:top="482" w:right="259" w:bottom="1440" w:gutter="0" w:footer="0" w:header="0"/>
        </w:sectPr>
      </w:pPr>
    </w:p>
    <w:bookmarkStart w:id="198" w:name="page199"/>
    <w:bookmarkEnd w:id="198"/>
    <w:p>
      <w:pPr>
        <w:ind w:left="322" w:right="240"/>
        <w:spacing w:after="0" w:line="261" w:lineRule="auto"/>
        <w:rPr>
          <w:sz w:val="20"/>
          <w:szCs w:val="20"/>
          <w:color w:val="auto"/>
        </w:rPr>
      </w:pPr>
      <w:r>
        <w:rPr>
          <w:rFonts w:ascii="Arial" w:cs="Arial" w:eastAsia="Arial" w:hAnsi="Arial"/>
          <w:sz w:val="17"/>
          <w:szCs w:val="17"/>
          <w:color w:val="212121"/>
        </w:rPr>
        <w:t>subsidiary, division, unit, group or portion thereof, whose primary business is (A) engaging in Strategy Competition; or (B) engaging in any other business in which the Company Parties engage in a material way, or have concrete plans to engage in a material way as of the Relevant Date, in each case as reasonably determined by the Company. For the sake of clarity, in the case of a subsidiary, division, unit, group or portion whose primary business is described above:</w:t>
      </w:r>
    </w:p>
    <w:p>
      <w:pPr>
        <w:spacing w:after="0" w:line="3" w:lineRule="exact"/>
        <w:rPr>
          <w:sz w:val="20"/>
          <w:szCs w:val="20"/>
          <w:color w:val="auto"/>
        </w:rPr>
      </w:pPr>
    </w:p>
    <w:p>
      <w:pPr>
        <w:ind w:left="322" w:hanging="7"/>
        <w:spacing w:after="0" w:line="298" w:lineRule="auto"/>
        <w:tabs>
          <w:tab w:leader="none" w:pos="701" w:val="left"/>
        </w:tabs>
        <w:numPr>
          <w:ilvl w:val="2"/>
          <w:numId w:val="203"/>
        </w:numPr>
        <w:rPr>
          <w:rFonts w:ascii="Arial" w:cs="Arial" w:eastAsia="Arial" w:hAnsi="Arial"/>
          <w:sz w:val="16"/>
          <w:szCs w:val="16"/>
          <w:color w:val="212121"/>
        </w:rPr>
      </w:pPr>
      <w:r>
        <w:rPr>
          <w:rFonts w:ascii="Arial" w:cs="Arial" w:eastAsia="Arial" w:hAnsi="Arial"/>
          <w:sz w:val="16"/>
          <w:szCs w:val="16"/>
          <w:color w:val="212121"/>
        </w:rPr>
        <w:t>the larger business enterprise or Person owning such subsidiary, division, unit, group or portion shall not be deemed to be a Competitive Enterprise unless the primary business of such larger business enterprise or Person is engaged in Strategy Competition and (2) the subsidiary, division, unit, group or portion whose primary business is engaging in Strategy Competition shall be deemed a Competitive Enterprise.</w:t>
      </w:r>
    </w:p>
    <w:p>
      <w:pPr>
        <w:spacing w:after="0" w:line="161" w:lineRule="exact"/>
        <w:rPr>
          <w:rFonts w:ascii="Arial" w:cs="Arial" w:eastAsia="Arial" w:hAnsi="Arial"/>
          <w:sz w:val="16"/>
          <w:szCs w:val="16"/>
          <w:color w:val="212121"/>
        </w:rPr>
      </w:pPr>
    </w:p>
    <w:p>
      <w:pPr>
        <w:ind w:left="322" w:right="100" w:hanging="309"/>
        <w:spacing w:after="0" w:line="290" w:lineRule="auto"/>
        <w:tabs>
          <w:tab w:leader="none" w:pos="305" w:val="left"/>
        </w:tabs>
        <w:numPr>
          <w:ilvl w:val="1"/>
          <w:numId w:val="204"/>
        </w:numPr>
        <w:rPr>
          <w:rFonts w:ascii="Arial" w:cs="Arial" w:eastAsia="Arial" w:hAnsi="Arial"/>
          <w:sz w:val="19"/>
          <w:szCs w:val="19"/>
          <w:color w:val="auto"/>
        </w:rPr>
      </w:pPr>
      <w:r>
        <w:rPr>
          <w:rFonts w:ascii="Arial" w:cs="Arial" w:eastAsia="Arial" w:hAnsi="Arial"/>
          <w:sz w:val="17"/>
          <w:szCs w:val="17"/>
          <w:b w:val="1"/>
          <w:bCs w:val="1"/>
          <w:color w:val="212121"/>
        </w:rPr>
        <w:t xml:space="preserve">"Competitive Technology" </w:t>
      </w:r>
      <w:r>
        <w:rPr>
          <w:rFonts w:ascii="Arial" w:cs="Arial" w:eastAsia="Arial" w:hAnsi="Arial"/>
          <w:sz w:val="17"/>
          <w:szCs w:val="17"/>
          <w:color w:val="212121"/>
        </w:rPr>
        <w:t>means any system, program, hardware or software (including any network architecture, system architecture, messaging</w:t>
      </w:r>
      <w:r>
        <w:rPr>
          <w:rFonts w:ascii="Arial" w:cs="Arial" w:eastAsia="Arial" w:hAnsi="Arial"/>
          <w:sz w:val="17"/>
          <w:szCs w:val="17"/>
          <w:b w:val="1"/>
          <w:bCs w:val="1"/>
          <w:color w:val="212121"/>
        </w:rPr>
        <w:t xml:space="preserve"> </w:t>
      </w:r>
      <w:r>
        <w:rPr>
          <w:rFonts w:ascii="Arial" w:cs="Arial" w:eastAsia="Arial" w:hAnsi="Arial"/>
          <w:sz w:val="17"/>
          <w:szCs w:val="17"/>
          <w:color w:val="212121"/>
        </w:rPr>
        <w:t>architecture, trade processing and clearing systems and architecture, database architecture and storage of market and trading data for purposes of statistical analysis, network infrastructure, market data processing and messaging types that support such market data processing, order processing or any other software or hardware): (i) only if developed for one or more financial institution(s) or designed primarily for use by, or sale or license to, one or more financial institutions, is (A) used (or will be used in the future in its current or any enhanced or modified form) in Strategy Competition to evaluate, route or execute orders or trades in any Financial Asset or (B) used (or will be used in the future in its current or any enhanced or modified form) in Strategy Competition for the efficient processing and dissemination of market data or messaging for Financial Assets, or (ii) in any case, is specifically designed or intended for use in Strategy Competition.</w:t>
      </w:r>
    </w:p>
    <w:p>
      <w:pPr>
        <w:spacing w:after="0" w:line="169" w:lineRule="exact"/>
        <w:rPr>
          <w:rFonts w:ascii="Arial" w:cs="Arial" w:eastAsia="Arial" w:hAnsi="Arial"/>
          <w:sz w:val="19"/>
          <w:szCs w:val="19"/>
          <w:color w:val="auto"/>
        </w:rPr>
      </w:pPr>
    </w:p>
    <w:p>
      <w:pPr>
        <w:ind w:left="302" w:right="80" w:hanging="302"/>
        <w:spacing w:after="0" w:line="290" w:lineRule="auto"/>
        <w:tabs>
          <w:tab w:leader="none" w:pos="302" w:val="left"/>
        </w:tabs>
        <w:numPr>
          <w:ilvl w:val="0"/>
          <w:numId w:val="205"/>
        </w:numPr>
        <w:rPr>
          <w:rFonts w:ascii="Arial" w:cs="Arial" w:eastAsia="Arial" w:hAnsi="Arial"/>
          <w:sz w:val="19"/>
          <w:szCs w:val="19"/>
          <w:color w:val="auto"/>
        </w:rPr>
      </w:pPr>
      <w:r>
        <w:rPr>
          <w:rFonts w:ascii="Arial" w:cs="Arial" w:eastAsia="Arial" w:hAnsi="Arial"/>
          <w:sz w:val="17"/>
          <w:szCs w:val="17"/>
          <w:b w:val="1"/>
          <w:bCs w:val="1"/>
          <w:color w:val="212121"/>
        </w:rPr>
        <w:t xml:space="preserve">"Confidential Information" </w:t>
      </w:r>
      <w:r>
        <w:rPr>
          <w:rFonts w:ascii="Arial" w:cs="Arial" w:eastAsia="Arial" w:hAnsi="Arial"/>
          <w:sz w:val="17"/>
          <w:szCs w:val="17"/>
          <w:color w:val="212121"/>
        </w:rPr>
        <w:t>means any information related to the activities of the Company Parties that the Participant may acquire from the</w:t>
      </w:r>
      <w:r>
        <w:rPr>
          <w:rFonts w:ascii="Arial" w:cs="Arial" w:eastAsia="Arial" w:hAnsi="Arial"/>
          <w:sz w:val="17"/>
          <w:szCs w:val="17"/>
          <w:b w:val="1"/>
          <w:bCs w:val="1"/>
          <w:color w:val="212121"/>
        </w:rPr>
        <w:t xml:space="preserve"> </w:t>
      </w:r>
      <w:r>
        <w:rPr>
          <w:rFonts w:ascii="Arial" w:cs="Arial" w:eastAsia="Arial" w:hAnsi="Arial"/>
          <w:sz w:val="17"/>
          <w:szCs w:val="17"/>
          <w:color w:val="212121"/>
        </w:rPr>
        <w:t>Company, other than information that (i) is already available through publicly available sources of information (other than as a result of disclosure by the Participant), (ii) was available to the Participant on a non-confidential basis prior to its disclosure to the Participant by the Company, or (iii) becomes available to the Participant on a non-confidential basis from a third party, provided such third party is not known by the Participant, after reasonable inquiry, to be bound by this Agreement or another confidentiality agreement with the Company. Such Confidential Information may include information that pertains or relates to the business and affairs of any other Company matters. Confidential Information may be used by the Participant and its Participant Parties only in connection with Company matters and in connection with the maintenance of the Participant's interest in the Company.</w:t>
      </w:r>
    </w:p>
    <w:p>
      <w:pPr>
        <w:spacing w:after="0" w:line="182" w:lineRule="exact"/>
        <w:rPr>
          <w:rFonts w:ascii="Arial" w:cs="Arial" w:eastAsia="Arial" w:hAnsi="Arial"/>
          <w:sz w:val="19"/>
          <w:szCs w:val="19"/>
          <w:color w:val="auto"/>
        </w:rPr>
      </w:pPr>
    </w:p>
    <w:p>
      <w:pPr>
        <w:ind w:left="282" w:hanging="282"/>
        <w:spacing w:after="0"/>
        <w:tabs>
          <w:tab w:leader="none" w:pos="282" w:val="left"/>
        </w:tabs>
        <w:numPr>
          <w:ilvl w:val="0"/>
          <w:numId w:val="205"/>
        </w:numPr>
        <w:rPr>
          <w:rFonts w:ascii="Arial" w:cs="Arial" w:eastAsia="Arial" w:hAnsi="Arial"/>
          <w:sz w:val="19"/>
          <w:szCs w:val="19"/>
          <w:color w:val="auto"/>
        </w:rPr>
      </w:pPr>
      <w:r>
        <w:rPr>
          <w:rFonts w:ascii="Arial" w:cs="Arial" w:eastAsia="Arial" w:hAnsi="Arial"/>
          <w:sz w:val="17"/>
          <w:szCs w:val="17"/>
          <w:b w:val="1"/>
          <w:bCs w:val="1"/>
          <w:color w:val="212121"/>
        </w:rPr>
        <w:t xml:space="preserve">"Financial Asset" </w:t>
      </w:r>
      <w:r>
        <w:rPr>
          <w:rFonts w:ascii="Arial" w:cs="Arial" w:eastAsia="Arial" w:hAnsi="Arial"/>
          <w:sz w:val="17"/>
          <w:szCs w:val="17"/>
          <w:color w:val="212121"/>
        </w:rPr>
        <w:t>means commodities, currencies, equities, notes, bonds, securities, evidence of indebtedness and derivatives thereof.</w:t>
      </w:r>
    </w:p>
    <w:p>
      <w:pPr>
        <w:spacing w:after="0" w:line="214" w:lineRule="exact"/>
        <w:rPr>
          <w:rFonts w:ascii="Arial" w:cs="Arial" w:eastAsia="Arial" w:hAnsi="Arial"/>
          <w:sz w:val="19"/>
          <w:szCs w:val="19"/>
          <w:color w:val="auto"/>
        </w:rPr>
      </w:pPr>
    </w:p>
    <w:p>
      <w:pPr>
        <w:ind w:left="302" w:right="200" w:hanging="302"/>
        <w:spacing w:after="0" w:line="301" w:lineRule="auto"/>
        <w:tabs>
          <w:tab w:leader="none" w:pos="284" w:val="left"/>
        </w:tabs>
        <w:numPr>
          <w:ilvl w:val="0"/>
          <w:numId w:val="205"/>
        </w:numPr>
        <w:rPr>
          <w:rFonts w:ascii="Arial" w:cs="Arial" w:eastAsia="Arial" w:hAnsi="Arial"/>
          <w:sz w:val="19"/>
          <w:szCs w:val="19"/>
          <w:color w:val="auto"/>
        </w:rPr>
      </w:pPr>
      <w:r>
        <w:rPr>
          <w:rFonts w:ascii="Arial" w:cs="Arial" w:eastAsia="Arial" w:hAnsi="Arial"/>
          <w:sz w:val="17"/>
          <w:szCs w:val="17"/>
          <w:b w:val="1"/>
          <w:bCs w:val="1"/>
          <w:color w:val="212121"/>
        </w:rPr>
        <w:t xml:space="preserve">"Governmental Authority" </w:t>
      </w:r>
      <w:r>
        <w:rPr>
          <w:rFonts w:ascii="Arial" w:cs="Arial" w:eastAsia="Arial" w:hAnsi="Arial"/>
          <w:sz w:val="17"/>
          <w:szCs w:val="17"/>
          <w:color w:val="212121"/>
        </w:rPr>
        <w:t>means any transnational, domestic or foreign federal, state or local governmental, regulatory or administrative authority,</w:t>
      </w:r>
      <w:r>
        <w:rPr>
          <w:rFonts w:ascii="Arial" w:cs="Arial" w:eastAsia="Arial" w:hAnsi="Arial"/>
          <w:sz w:val="17"/>
          <w:szCs w:val="17"/>
          <w:b w:val="1"/>
          <w:bCs w:val="1"/>
          <w:color w:val="212121"/>
        </w:rPr>
        <w:t xml:space="preserve"> </w:t>
      </w:r>
      <w:r>
        <w:rPr>
          <w:rFonts w:ascii="Arial" w:cs="Arial" w:eastAsia="Arial" w:hAnsi="Arial"/>
          <w:sz w:val="17"/>
          <w:szCs w:val="17"/>
          <w:color w:val="212121"/>
        </w:rPr>
        <w:t>department, court, agency or official, including any political subdivision thereof.</w:t>
      </w:r>
    </w:p>
    <w:p>
      <w:pPr>
        <w:spacing w:after="0" w:line="150" w:lineRule="exact"/>
        <w:rPr>
          <w:rFonts w:ascii="Arial" w:cs="Arial" w:eastAsia="Arial" w:hAnsi="Arial"/>
          <w:sz w:val="19"/>
          <w:szCs w:val="19"/>
          <w:color w:val="auto"/>
        </w:rPr>
      </w:pPr>
    </w:p>
    <w:p>
      <w:pPr>
        <w:ind w:left="302" w:right="60" w:hanging="302"/>
        <w:spacing w:after="0" w:line="291" w:lineRule="auto"/>
        <w:tabs>
          <w:tab w:leader="none" w:pos="284" w:val="left"/>
        </w:tabs>
        <w:numPr>
          <w:ilvl w:val="0"/>
          <w:numId w:val="205"/>
        </w:numPr>
        <w:rPr>
          <w:rFonts w:ascii="Arial" w:cs="Arial" w:eastAsia="Arial" w:hAnsi="Arial"/>
          <w:sz w:val="19"/>
          <w:szCs w:val="19"/>
          <w:color w:val="auto"/>
        </w:rPr>
      </w:pPr>
      <w:r>
        <w:rPr>
          <w:rFonts w:ascii="Arial" w:cs="Arial" w:eastAsia="Arial" w:hAnsi="Arial"/>
          <w:sz w:val="17"/>
          <w:szCs w:val="17"/>
          <w:b w:val="1"/>
          <w:bCs w:val="1"/>
          <w:color w:val="212121"/>
        </w:rPr>
        <w:t xml:space="preserve">"Jaguar Trading" </w:t>
      </w:r>
      <w:r>
        <w:rPr>
          <w:rFonts w:ascii="Arial" w:cs="Arial" w:eastAsia="Arial" w:hAnsi="Arial"/>
          <w:sz w:val="17"/>
          <w:szCs w:val="17"/>
          <w:color w:val="212121"/>
        </w:rPr>
        <w:t>means trading through the use of electronically automated means to analyze and act upon Economic Numerical Data (i.e., economic</w:t>
      </w:r>
      <w:r>
        <w:rPr>
          <w:rFonts w:ascii="Arial" w:cs="Arial" w:eastAsia="Arial" w:hAnsi="Arial"/>
          <w:sz w:val="17"/>
          <w:szCs w:val="17"/>
          <w:b w:val="1"/>
          <w:bCs w:val="1"/>
          <w:color w:val="212121"/>
        </w:rPr>
        <w:t xml:space="preserve"> </w:t>
      </w:r>
      <w:r>
        <w:rPr>
          <w:rFonts w:ascii="Arial" w:cs="Arial" w:eastAsia="Arial" w:hAnsi="Arial"/>
          <w:sz w:val="17"/>
          <w:szCs w:val="17"/>
          <w:color w:val="212121"/>
        </w:rPr>
        <w:t>data released by government agencies, quasi-governmental agencies, or industry groups commonly tracked by investors (e.g., ADP or Gallup employment data, the Michigan Consumer Sentiment Index and National Association of Realtors home-sale data)) with the intent to enter a position within two seconds after the public (or equivalent) release of such economic numerical data, including by using models and algorithms to predict the effect on prices of such economic numerical data. Economic Numerical</w:t>
      </w:r>
    </w:p>
    <w:p>
      <w:pPr>
        <w:spacing w:after="0" w:line="184" w:lineRule="exact"/>
        <w:rPr>
          <w:sz w:val="20"/>
          <w:szCs w:val="20"/>
          <w:color w:val="auto"/>
        </w:rPr>
      </w:pPr>
    </w:p>
    <w:p>
      <w:pPr>
        <w:jc w:val="center"/>
        <w:ind w:right="418"/>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82"/>
          </w:cols>
          <w:pgMar w:left="678" w:top="481" w:right="239" w:bottom="1440" w:gutter="0" w:footer="0" w:header="0"/>
        </w:sectPr>
      </w:pPr>
    </w:p>
    <w:bookmarkStart w:id="199" w:name="page200"/>
    <w:bookmarkEnd w:id="199"/>
    <w:p>
      <w:pPr>
        <w:ind w:left="341"/>
        <w:spacing w:after="0" w:line="268" w:lineRule="auto"/>
        <w:rPr>
          <w:sz w:val="20"/>
          <w:szCs w:val="20"/>
          <w:color w:val="auto"/>
        </w:rPr>
      </w:pPr>
      <w:r>
        <w:rPr>
          <w:rFonts w:ascii="Arial" w:cs="Arial" w:eastAsia="Arial" w:hAnsi="Arial"/>
          <w:sz w:val="17"/>
          <w:szCs w:val="17"/>
          <w:color w:val="212121"/>
        </w:rPr>
        <w:t>Data does not include financial instrument price and volume data. Jaguar Trading does not include trading in which each instruction to acquire or dispose of a specified quantity of a single instrument is individually manually generated and submitted for execution by a natural person (and not by any algorithmic means), even if such Order is executed within two seconds after the release of such economic numerical data (for example, and without limitation, the execution of a previously placed Stop Order triggered after the release of economic numerical data).</w:t>
      </w:r>
    </w:p>
    <w:p>
      <w:pPr>
        <w:spacing w:after="0" w:line="171" w:lineRule="exact"/>
        <w:rPr>
          <w:sz w:val="20"/>
          <w:szCs w:val="20"/>
          <w:color w:val="auto"/>
        </w:rPr>
      </w:pPr>
    </w:p>
    <w:p>
      <w:pPr>
        <w:ind w:left="321" w:hanging="295"/>
        <w:spacing w:after="0"/>
        <w:tabs>
          <w:tab w:leader="none" w:pos="321" w:val="left"/>
        </w:tabs>
        <w:numPr>
          <w:ilvl w:val="1"/>
          <w:numId w:val="206"/>
        </w:numPr>
        <w:rPr>
          <w:rFonts w:ascii="Arial" w:cs="Arial" w:eastAsia="Arial" w:hAnsi="Arial"/>
          <w:sz w:val="19"/>
          <w:szCs w:val="19"/>
          <w:color w:val="auto"/>
        </w:rPr>
      </w:pPr>
      <w:r>
        <w:rPr>
          <w:rFonts w:ascii="Arial" w:cs="Arial" w:eastAsia="Arial" w:hAnsi="Arial"/>
          <w:sz w:val="17"/>
          <w:szCs w:val="17"/>
          <w:b w:val="1"/>
          <w:bCs w:val="1"/>
          <w:color w:val="212121"/>
        </w:rPr>
        <w:t xml:space="preserve">"Order" </w:t>
      </w:r>
      <w:r>
        <w:rPr>
          <w:rFonts w:ascii="Arial" w:cs="Arial" w:eastAsia="Arial" w:hAnsi="Arial"/>
          <w:sz w:val="17"/>
          <w:szCs w:val="17"/>
          <w:color w:val="212121"/>
        </w:rPr>
        <w:t>means an instruction to acquire or dispose of a specified quantity or amount of a Financial Asset.</w:t>
      </w:r>
    </w:p>
    <w:p>
      <w:pPr>
        <w:spacing w:after="0" w:line="214" w:lineRule="exact"/>
        <w:rPr>
          <w:rFonts w:ascii="Arial" w:cs="Arial" w:eastAsia="Arial" w:hAnsi="Arial"/>
          <w:sz w:val="19"/>
          <w:szCs w:val="19"/>
          <w:color w:val="auto"/>
        </w:rPr>
      </w:pPr>
    </w:p>
    <w:p>
      <w:pPr>
        <w:ind w:left="321" w:hanging="295"/>
        <w:spacing w:after="0" w:line="301" w:lineRule="auto"/>
        <w:tabs>
          <w:tab w:leader="none" w:pos="321" w:val="left"/>
        </w:tabs>
        <w:numPr>
          <w:ilvl w:val="1"/>
          <w:numId w:val="206"/>
        </w:numPr>
        <w:rPr>
          <w:rFonts w:ascii="Arial" w:cs="Arial" w:eastAsia="Arial" w:hAnsi="Arial"/>
          <w:sz w:val="19"/>
          <w:szCs w:val="19"/>
          <w:color w:val="auto"/>
        </w:rPr>
      </w:pPr>
      <w:r>
        <w:rPr>
          <w:rFonts w:ascii="Arial" w:cs="Arial" w:eastAsia="Arial" w:hAnsi="Arial"/>
          <w:sz w:val="17"/>
          <w:szCs w:val="17"/>
          <w:b w:val="1"/>
          <w:bCs w:val="1"/>
          <w:color w:val="212121"/>
        </w:rPr>
        <w:t xml:space="preserve">Relevant Date" </w:t>
      </w:r>
      <w:r>
        <w:rPr>
          <w:rFonts w:ascii="Arial" w:cs="Arial" w:eastAsia="Arial" w:hAnsi="Arial"/>
          <w:sz w:val="17"/>
          <w:szCs w:val="17"/>
          <w:color w:val="212121"/>
        </w:rPr>
        <w:t>means, (i) for as long as the Termination Date has not occurred, the date that the Participant engages in any activity that is prohibited by</w:t>
      </w:r>
      <w:r>
        <w:rPr>
          <w:rFonts w:ascii="Arial" w:cs="Arial" w:eastAsia="Arial" w:hAnsi="Arial"/>
          <w:sz w:val="17"/>
          <w:szCs w:val="17"/>
          <w:b w:val="1"/>
          <w:bCs w:val="1"/>
          <w:color w:val="212121"/>
        </w:rPr>
        <w:t xml:space="preserve"> </w:t>
      </w:r>
      <w:r>
        <w:rPr>
          <w:rFonts w:ascii="Arial" w:cs="Arial" w:eastAsia="Arial" w:hAnsi="Arial"/>
          <w:sz w:val="17"/>
          <w:szCs w:val="17"/>
          <w:color w:val="212121"/>
        </w:rPr>
        <w:t>Section 2 of this Exhibit A and (ii) if the Termination Date has occurred such Termination Date.</w:t>
      </w:r>
    </w:p>
    <w:p>
      <w:pPr>
        <w:spacing w:after="0" w:line="138" w:lineRule="exact"/>
        <w:rPr>
          <w:rFonts w:ascii="Arial" w:cs="Arial" w:eastAsia="Arial" w:hAnsi="Arial"/>
          <w:sz w:val="19"/>
          <w:szCs w:val="19"/>
          <w:color w:val="auto"/>
        </w:rPr>
      </w:pPr>
    </w:p>
    <w:p>
      <w:pPr>
        <w:ind w:left="21"/>
        <w:spacing w:after="0"/>
        <w:rPr>
          <w:rFonts w:ascii="Arial" w:cs="Arial" w:eastAsia="Arial" w:hAnsi="Arial"/>
          <w:sz w:val="19"/>
          <w:szCs w:val="19"/>
          <w:color w:val="auto"/>
        </w:rPr>
      </w:pPr>
      <w:r>
        <w:rPr>
          <w:rFonts w:ascii="Arial" w:cs="Arial" w:eastAsia="Arial" w:hAnsi="Arial"/>
          <w:sz w:val="19"/>
          <w:szCs w:val="19"/>
          <w:color w:val="212121"/>
        </w:rPr>
        <w:t xml:space="preserve">I. </w:t>
      </w:r>
      <w:r>
        <w:rPr>
          <w:rFonts w:ascii="Arial" w:cs="Arial" w:eastAsia="Arial" w:hAnsi="Arial"/>
          <w:sz w:val="17"/>
          <w:szCs w:val="17"/>
          <w:b w:val="1"/>
          <w:bCs w:val="1"/>
          <w:color w:val="212121"/>
        </w:rPr>
        <w:t>"Restrictive Covenant Period"</w:t>
      </w:r>
      <w:r>
        <w:rPr>
          <w:rFonts w:ascii="Arial" w:cs="Arial" w:eastAsia="Arial" w:hAnsi="Arial"/>
          <w:sz w:val="19"/>
          <w:szCs w:val="19"/>
          <w:color w:val="212121"/>
        </w:rPr>
        <w:t xml:space="preserve"> </w:t>
      </w:r>
      <w:r>
        <w:rPr>
          <w:rFonts w:ascii="Arial" w:cs="Arial" w:eastAsia="Arial" w:hAnsi="Arial"/>
          <w:sz w:val="17"/>
          <w:szCs w:val="17"/>
          <w:color w:val="212121"/>
        </w:rPr>
        <w:t>means, any time until the eighteen month anniversary of the Termination Date.</w:t>
      </w:r>
    </w:p>
    <w:p>
      <w:pPr>
        <w:spacing w:after="0" w:line="226" w:lineRule="exact"/>
        <w:rPr>
          <w:rFonts w:ascii="Arial" w:cs="Arial" w:eastAsia="Arial" w:hAnsi="Arial"/>
          <w:sz w:val="19"/>
          <w:szCs w:val="19"/>
          <w:color w:val="auto"/>
        </w:rPr>
      </w:pPr>
    </w:p>
    <w:p>
      <w:pPr>
        <w:ind w:left="321" w:hanging="295"/>
        <w:spacing w:after="0"/>
        <w:tabs>
          <w:tab w:leader="none" w:pos="321" w:val="left"/>
        </w:tabs>
        <w:numPr>
          <w:ilvl w:val="1"/>
          <w:numId w:val="207"/>
        </w:numPr>
        <w:rPr>
          <w:rFonts w:ascii="Arial" w:cs="Arial" w:eastAsia="Arial" w:hAnsi="Arial"/>
          <w:sz w:val="17"/>
          <w:szCs w:val="17"/>
          <w:color w:val="auto"/>
        </w:rPr>
      </w:pPr>
      <w:r>
        <w:rPr>
          <w:rFonts w:ascii="Arial" w:cs="Arial" w:eastAsia="Arial" w:hAnsi="Arial"/>
          <w:sz w:val="17"/>
          <w:szCs w:val="17"/>
          <w:b w:val="1"/>
          <w:bCs w:val="1"/>
          <w:color w:val="212121"/>
        </w:rPr>
        <w:t xml:space="preserve">"Simultaneous" </w:t>
      </w:r>
      <w:r>
        <w:rPr>
          <w:rFonts w:ascii="Arial" w:cs="Arial" w:eastAsia="Arial" w:hAnsi="Arial"/>
          <w:sz w:val="17"/>
          <w:szCs w:val="17"/>
          <w:color w:val="212121"/>
        </w:rPr>
        <w:t>means, with respect to more than one event, the occurrence of such events occurring within 500 milliseconds of each other.</w:t>
      </w:r>
    </w:p>
    <w:p>
      <w:pPr>
        <w:spacing w:after="0" w:line="211" w:lineRule="exact"/>
        <w:rPr>
          <w:rFonts w:ascii="Arial" w:cs="Arial" w:eastAsia="Arial" w:hAnsi="Arial"/>
          <w:sz w:val="17"/>
          <w:szCs w:val="17"/>
          <w:color w:val="auto"/>
        </w:rPr>
      </w:pPr>
    </w:p>
    <w:p>
      <w:pPr>
        <w:ind w:left="321" w:hanging="295"/>
        <w:spacing w:after="0"/>
        <w:tabs>
          <w:tab w:leader="none" w:pos="321" w:val="left"/>
        </w:tabs>
        <w:numPr>
          <w:ilvl w:val="1"/>
          <w:numId w:val="207"/>
        </w:numPr>
        <w:rPr>
          <w:rFonts w:ascii="Arial" w:cs="Arial" w:eastAsia="Arial" w:hAnsi="Arial"/>
          <w:sz w:val="16"/>
          <w:szCs w:val="16"/>
          <w:color w:val="auto"/>
        </w:rPr>
      </w:pPr>
      <w:r>
        <w:rPr>
          <w:rFonts w:ascii="Arial" w:cs="Arial" w:eastAsia="Arial" w:hAnsi="Arial"/>
          <w:sz w:val="16"/>
          <w:szCs w:val="16"/>
          <w:b w:val="1"/>
          <w:bCs w:val="1"/>
          <w:color w:val="212121"/>
        </w:rPr>
        <w:t xml:space="preserve">"Strategy Competition" </w:t>
      </w:r>
      <w:r>
        <w:rPr>
          <w:rFonts w:ascii="Arial" w:cs="Arial" w:eastAsia="Arial" w:hAnsi="Arial"/>
          <w:sz w:val="16"/>
          <w:szCs w:val="16"/>
          <w:color w:val="212121"/>
        </w:rPr>
        <w:t>means,</w:t>
      </w:r>
      <w:r>
        <w:rPr>
          <w:rFonts w:ascii="Arial" w:cs="Arial" w:eastAsia="Arial" w:hAnsi="Arial"/>
          <w:sz w:val="16"/>
          <w:szCs w:val="16"/>
          <w:b w:val="1"/>
          <w:bCs w:val="1"/>
          <w:color w:val="212121"/>
        </w:rPr>
        <w:t xml:space="preserve"> </w:t>
      </w:r>
      <w:r>
        <w:rPr>
          <w:rFonts w:ascii="Arial" w:cs="Arial" w:eastAsia="Arial" w:hAnsi="Arial"/>
          <w:sz w:val="15"/>
          <w:szCs w:val="15"/>
          <w:color w:val="212121"/>
        </w:rPr>
        <w:t>(i)</w:t>
      </w:r>
      <w:r>
        <w:rPr>
          <w:rFonts w:ascii="Arial" w:cs="Arial" w:eastAsia="Arial" w:hAnsi="Arial"/>
          <w:sz w:val="16"/>
          <w:szCs w:val="16"/>
          <w:b w:val="1"/>
          <w:bCs w:val="1"/>
          <w:color w:val="212121"/>
        </w:rPr>
        <w:t xml:space="preserve"> </w:t>
      </w:r>
      <w:r>
        <w:rPr>
          <w:rFonts w:ascii="Arial" w:cs="Arial" w:eastAsia="Arial" w:hAnsi="Arial"/>
          <w:sz w:val="16"/>
          <w:szCs w:val="16"/>
          <w:color w:val="212121"/>
        </w:rPr>
        <w:t>trading activities that utilize trading strategies that constitute Algorithmic Liquidity Trading or Jaguar Trading or</w:t>
      </w:r>
    </w:p>
    <w:p>
      <w:pPr>
        <w:spacing w:after="0" w:line="43" w:lineRule="exact"/>
        <w:rPr>
          <w:rFonts w:ascii="Arial" w:cs="Arial" w:eastAsia="Arial" w:hAnsi="Arial"/>
          <w:sz w:val="16"/>
          <w:szCs w:val="16"/>
          <w:color w:val="auto"/>
        </w:rPr>
      </w:pPr>
    </w:p>
    <w:p>
      <w:pPr>
        <w:ind w:left="341" w:right="340" w:hanging="9"/>
        <w:spacing w:after="0" w:line="275" w:lineRule="auto"/>
        <w:tabs>
          <w:tab w:leader="none" w:pos="599" w:val="left"/>
        </w:tabs>
        <w:numPr>
          <w:ilvl w:val="2"/>
          <w:numId w:val="207"/>
        </w:numPr>
        <w:rPr>
          <w:rFonts w:ascii="Arial" w:cs="Arial" w:eastAsia="Arial" w:hAnsi="Arial"/>
          <w:sz w:val="17"/>
          <w:szCs w:val="17"/>
          <w:color w:val="212121"/>
        </w:rPr>
      </w:pPr>
      <w:r>
        <w:rPr>
          <w:rFonts w:ascii="Arial" w:cs="Arial" w:eastAsia="Arial" w:hAnsi="Arial"/>
          <w:sz w:val="17"/>
          <w:szCs w:val="17"/>
          <w:color w:val="212121"/>
        </w:rPr>
        <w:t>any other strategy in which the Company Parties engage in a material way or have concrete plans to engage in a material way as of the Relevant Date, in each case as reasonably determined by the Company.</w:t>
      </w:r>
    </w:p>
    <w:p>
      <w:pPr>
        <w:spacing w:after="0" w:line="164" w:lineRule="exact"/>
        <w:rPr>
          <w:sz w:val="20"/>
          <w:szCs w:val="20"/>
          <w:color w:val="auto"/>
        </w:rPr>
      </w:pPr>
    </w:p>
    <w:p>
      <w:pPr>
        <w:ind w:left="321" w:right="160" w:hanging="321"/>
        <w:spacing w:after="0" w:line="297" w:lineRule="auto"/>
        <w:tabs>
          <w:tab w:leader="none" w:pos="304" w:val="left"/>
        </w:tabs>
        <w:numPr>
          <w:ilvl w:val="0"/>
          <w:numId w:val="208"/>
        </w:numPr>
        <w:rPr>
          <w:rFonts w:ascii="Arial" w:cs="Arial" w:eastAsia="Arial" w:hAnsi="Arial"/>
          <w:sz w:val="17"/>
          <w:szCs w:val="17"/>
          <w:color w:val="auto"/>
        </w:rPr>
      </w:pPr>
      <w:r>
        <w:rPr>
          <w:rFonts w:ascii="Arial" w:cs="Arial" w:eastAsia="Arial" w:hAnsi="Arial"/>
          <w:sz w:val="17"/>
          <w:szCs w:val="17"/>
          <w:b w:val="1"/>
          <w:bCs w:val="1"/>
          <w:color w:val="212121"/>
        </w:rPr>
        <w:t xml:space="preserve">"Termination Date" </w:t>
      </w:r>
      <w:r>
        <w:rPr>
          <w:rFonts w:ascii="Arial" w:cs="Arial" w:eastAsia="Arial" w:hAnsi="Arial"/>
          <w:sz w:val="17"/>
          <w:szCs w:val="17"/>
          <w:color w:val="212121"/>
        </w:rPr>
        <w:t>means, the date the Participant ceases to be employed by the Company, Virtu Financial LLC or any of their respective controlled</w:t>
      </w:r>
      <w:r>
        <w:rPr>
          <w:rFonts w:ascii="Arial" w:cs="Arial" w:eastAsia="Arial" w:hAnsi="Arial"/>
          <w:sz w:val="17"/>
          <w:szCs w:val="17"/>
          <w:b w:val="1"/>
          <w:bCs w:val="1"/>
          <w:color w:val="212121"/>
        </w:rPr>
        <w:t xml:space="preserve"> </w:t>
      </w:r>
      <w:r>
        <w:rPr>
          <w:rFonts w:ascii="Arial" w:cs="Arial" w:eastAsia="Arial" w:hAnsi="Arial"/>
          <w:sz w:val="17"/>
          <w:szCs w:val="17"/>
          <w:color w:val="212121"/>
        </w:rPr>
        <w:t>Affiliates.</w:t>
      </w:r>
    </w:p>
    <w:p>
      <w:pPr>
        <w:spacing w:after="0" w:line="37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021"/>
          </w:cols>
          <w:pgMar w:left="639" w:top="482" w:right="239" w:bottom="1440" w:gutter="0" w:footer="0" w:header="0"/>
        </w:sectPr>
      </w:pPr>
    </w:p>
    <w:bookmarkStart w:id="200" w:name="page201"/>
    <w:bookmarkEnd w:id="200"/>
    <w:p>
      <w:pPr>
        <w:ind w:left="4480"/>
        <w:spacing w:after="0"/>
        <w:rPr>
          <w:sz w:val="20"/>
          <w:szCs w:val="20"/>
          <w:color w:val="auto"/>
        </w:rPr>
      </w:pPr>
      <w:r>
        <w:rPr>
          <w:rFonts w:ascii="Arial" w:cs="Arial" w:eastAsia="Arial" w:hAnsi="Arial"/>
          <w:sz w:val="17"/>
          <w:szCs w:val="17"/>
          <w:b w:val="1"/>
          <w:bCs w:val="1"/>
          <w:color w:val="1F1F1F"/>
        </w:rPr>
        <w:t>Schedule 1 of Exhibit A Restricted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100" w:type="dxa"/>
        <w:tblCellMar>
          <w:top w:w="0" w:type="dxa"/>
          <w:left w:w="0" w:type="dxa"/>
          <w:bottom w:w="0" w:type="dxa"/>
          <w:right w:w="0" w:type="dxa"/>
        </w:tblCellMar>
      </w:tblPr>
      <w:tr>
        <w:trPr>
          <w:trHeight w:val="280"/>
        </w:trPr>
        <w:tc>
          <w:tcPr>
            <w:tcW w:w="3400" w:type="dxa"/>
            <w:vAlign w:val="bottom"/>
          </w:tcPr>
          <w:p>
            <w:pPr>
              <w:spacing w:after="0"/>
              <w:rPr>
                <w:sz w:val="20"/>
                <w:szCs w:val="20"/>
                <w:color w:val="auto"/>
              </w:rPr>
            </w:pPr>
            <w:r>
              <w:rPr>
                <w:rFonts w:ascii="Arial" w:cs="Arial" w:eastAsia="Arial" w:hAnsi="Arial"/>
                <w:sz w:val="21"/>
                <w:szCs w:val="21"/>
                <w:color w:val="auto"/>
              </w:rPr>
              <w:t>All Options</w:t>
            </w:r>
          </w:p>
        </w:tc>
        <w:tc>
          <w:tcPr>
            <w:tcW w:w="2980" w:type="dxa"/>
            <w:vAlign w:val="bottom"/>
          </w:tcPr>
          <w:p>
            <w:pPr>
              <w:ind w:left="640"/>
              <w:spacing w:after="0"/>
              <w:rPr>
                <w:sz w:val="20"/>
                <w:szCs w:val="20"/>
                <w:color w:val="auto"/>
              </w:rPr>
            </w:pPr>
            <w:r>
              <w:rPr>
                <w:rFonts w:ascii="Arial" w:cs="Arial" w:eastAsia="Arial" w:hAnsi="Arial"/>
                <w:sz w:val="21"/>
                <w:szCs w:val="21"/>
                <w:color w:val="auto"/>
              </w:rPr>
              <w:t>Jump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Allston Trading</w:t>
            </w:r>
          </w:p>
        </w:tc>
        <w:tc>
          <w:tcPr>
            <w:tcW w:w="2980" w:type="dxa"/>
            <w:vAlign w:val="bottom"/>
          </w:tcPr>
          <w:p>
            <w:pPr>
              <w:ind w:left="640"/>
              <w:spacing w:after="0"/>
              <w:rPr>
                <w:sz w:val="20"/>
                <w:szCs w:val="20"/>
                <w:color w:val="auto"/>
              </w:rPr>
            </w:pPr>
            <w:r>
              <w:rPr>
                <w:rFonts w:ascii="Arial" w:cs="Arial" w:eastAsia="Arial" w:hAnsi="Arial"/>
                <w:sz w:val="21"/>
                <w:szCs w:val="21"/>
                <w:color w:val="auto"/>
              </w:rPr>
              <w:t>KCG Holdings</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AQR</w:t>
            </w:r>
          </w:p>
        </w:tc>
        <w:tc>
          <w:tcPr>
            <w:tcW w:w="2980" w:type="dxa"/>
            <w:vAlign w:val="bottom"/>
          </w:tcPr>
          <w:p>
            <w:pPr>
              <w:ind w:left="640"/>
              <w:spacing w:after="0"/>
              <w:rPr>
                <w:sz w:val="20"/>
                <w:szCs w:val="20"/>
                <w:color w:val="auto"/>
              </w:rPr>
            </w:pPr>
            <w:r>
              <w:rPr>
                <w:rFonts w:ascii="Arial" w:cs="Arial" w:eastAsia="Arial" w:hAnsi="Arial"/>
                <w:sz w:val="21"/>
                <w:szCs w:val="21"/>
                <w:color w:val="auto"/>
              </w:rPr>
              <w:t>Millenium</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Athena Capital</w:t>
            </w:r>
          </w:p>
        </w:tc>
        <w:tc>
          <w:tcPr>
            <w:tcW w:w="2980" w:type="dxa"/>
            <w:vAlign w:val="bottom"/>
          </w:tcPr>
          <w:p>
            <w:pPr>
              <w:ind w:left="640"/>
              <w:spacing w:after="0"/>
              <w:rPr>
                <w:sz w:val="20"/>
                <w:szCs w:val="20"/>
                <w:color w:val="auto"/>
              </w:rPr>
            </w:pPr>
            <w:r>
              <w:rPr>
                <w:rFonts w:ascii="Arial" w:cs="Arial" w:eastAsia="Arial" w:hAnsi="Arial"/>
                <w:sz w:val="21"/>
                <w:szCs w:val="21"/>
                <w:color w:val="auto"/>
              </w:rPr>
              <w:t>Nyenburgh</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Automat</w:t>
            </w:r>
          </w:p>
        </w:tc>
        <w:tc>
          <w:tcPr>
            <w:tcW w:w="2980" w:type="dxa"/>
            <w:vAlign w:val="bottom"/>
          </w:tcPr>
          <w:p>
            <w:pPr>
              <w:ind w:left="640"/>
              <w:spacing w:after="0"/>
              <w:rPr>
                <w:sz w:val="20"/>
                <w:szCs w:val="20"/>
                <w:color w:val="auto"/>
              </w:rPr>
            </w:pPr>
            <w:r>
              <w:rPr>
                <w:rFonts w:ascii="Arial" w:cs="Arial" w:eastAsia="Arial" w:hAnsi="Arial"/>
                <w:sz w:val="21"/>
                <w:szCs w:val="21"/>
                <w:color w:val="auto"/>
              </w:rPr>
              <w:t>Optiver</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Automated Trading Desk</w:t>
            </w:r>
          </w:p>
        </w:tc>
        <w:tc>
          <w:tcPr>
            <w:tcW w:w="2980" w:type="dxa"/>
            <w:vAlign w:val="bottom"/>
          </w:tcPr>
          <w:p>
            <w:pPr>
              <w:ind w:left="640"/>
              <w:spacing w:after="0"/>
              <w:rPr>
                <w:sz w:val="20"/>
                <w:szCs w:val="20"/>
                <w:color w:val="auto"/>
              </w:rPr>
            </w:pPr>
            <w:r>
              <w:rPr>
                <w:rFonts w:ascii="Arial" w:cs="Arial" w:eastAsia="Arial" w:hAnsi="Arial"/>
                <w:sz w:val="21"/>
                <w:szCs w:val="21"/>
                <w:color w:val="auto"/>
              </w:rPr>
              <w:t>Peak 6</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Blue Fire Capital</w:t>
            </w:r>
          </w:p>
        </w:tc>
        <w:tc>
          <w:tcPr>
            <w:tcW w:w="2980" w:type="dxa"/>
            <w:vAlign w:val="bottom"/>
          </w:tcPr>
          <w:p>
            <w:pPr>
              <w:ind w:left="640"/>
              <w:spacing w:after="0"/>
              <w:rPr>
                <w:sz w:val="20"/>
                <w:szCs w:val="20"/>
                <w:color w:val="auto"/>
              </w:rPr>
            </w:pPr>
            <w:r>
              <w:rPr>
                <w:rFonts w:ascii="Arial" w:cs="Arial" w:eastAsia="Arial" w:hAnsi="Arial"/>
                <w:sz w:val="21"/>
                <w:szCs w:val="21"/>
                <w:color w:val="auto"/>
                <w:w w:val="92"/>
              </w:rPr>
              <w:t>Point72 (f/k/a SAC Capital)</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Breakwater Capital</w:t>
            </w:r>
          </w:p>
        </w:tc>
        <w:tc>
          <w:tcPr>
            <w:tcW w:w="2980" w:type="dxa"/>
            <w:vAlign w:val="bottom"/>
          </w:tcPr>
          <w:p>
            <w:pPr>
              <w:ind w:left="640"/>
              <w:spacing w:after="0"/>
              <w:rPr>
                <w:sz w:val="20"/>
                <w:szCs w:val="20"/>
                <w:color w:val="auto"/>
              </w:rPr>
            </w:pPr>
            <w:r>
              <w:rPr>
                <w:rFonts w:ascii="Arial" w:cs="Arial" w:eastAsia="Arial" w:hAnsi="Arial"/>
                <w:sz w:val="21"/>
                <w:szCs w:val="21"/>
                <w:color w:val="auto"/>
              </w:rPr>
              <w:t>Quantlab</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Buttonwood</w:t>
            </w:r>
          </w:p>
        </w:tc>
        <w:tc>
          <w:tcPr>
            <w:tcW w:w="2980" w:type="dxa"/>
            <w:vAlign w:val="bottom"/>
          </w:tcPr>
          <w:p>
            <w:pPr>
              <w:ind w:left="640"/>
              <w:spacing w:after="0"/>
              <w:rPr>
                <w:sz w:val="20"/>
                <w:szCs w:val="20"/>
                <w:color w:val="auto"/>
              </w:rPr>
            </w:pPr>
            <w:r>
              <w:rPr>
                <w:rFonts w:ascii="Arial" w:cs="Arial" w:eastAsia="Arial" w:hAnsi="Arial"/>
                <w:sz w:val="21"/>
                <w:szCs w:val="21"/>
                <w:color w:val="auto"/>
              </w:rPr>
              <w:t>Renaissance</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Chicago Trading Company</w:t>
            </w:r>
          </w:p>
        </w:tc>
        <w:tc>
          <w:tcPr>
            <w:tcW w:w="2980" w:type="dxa"/>
            <w:vAlign w:val="bottom"/>
          </w:tcPr>
          <w:p>
            <w:pPr>
              <w:ind w:left="640"/>
              <w:spacing w:after="0"/>
              <w:rPr>
                <w:sz w:val="20"/>
                <w:szCs w:val="20"/>
                <w:color w:val="auto"/>
              </w:rPr>
            </w:pPr>
            <w:r>
              <w:rPr>
                <w:rFonts w:ascii="Arial" w:cs="Arial" w:eastAsia="Arial" w:hAnsi="Arial"/>
                <w:sz w:val="21"/>
                <w:szCs w:val="21"/>
                <w:color w:val="auto"/>
              </w:rPr>
              <w:t>RGM Advisors</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Chopper Trading</w:t>
            </w:r>
          </w:p>
        </w:tc>
        <w:tc>
          <w:tcPr>
            <w:tcW w:w="2980" w:type="dxa"/>
            <w:vAlign w:val="bottom"/>
          </w:tcPr>
          <w:p>
            <w:pPr>
              <w:ind w:left="640"/>
              <w:spacing w:after="0"/>
              <w:rPr>
                <w:sz w:val="20"/>
                <w:szCs w:val="20"/>
                <w:color w:val="auto"/>
              </w:rPr>
            </w:pPr>
            <w:r>
              <w:rPr>
                <w:rFonts w:ascii="Arial" w:cs="Arial" w:eastAsia="Arial" w:hAnsi="Arial"/>
                <w:sz w:val="21"/>
                <w:szCs w:val="21"/>
                <w:color w:val="auto"/>
              </w:rPr>
              <w:t>Ronin Capital</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Citadel</w:t>
            </w:r>
          </w:p>
        </w:tc>
        <w:tc>
          <w:tcPr>
            <w:tcW w:w="2980" w:type="dxa"/>
            <w:vAlign w:val="bottom"/>
          </w:tcPr>
          <w:p>
            <w:pPr>
              <w:ind w:left="640"/>
              <w:spacing w:after="0"/>
              <w:rPr>
                <w:sz w:val="20"/>
                <w:szCs w:val="20"/>
                <w:color w:val="auto"/>
              </w:rPr>
            </w:pPr>
            <w:r>
              <w:rPr>
                <w:rFonts w:ascii="Arial" w:cs="Arial" w:eastAsia="Arial" w:hAnsi="Arial"/>
                <w:sz w:val="21"/>
                <w:szCs w:val="21"/>
                <w:color w:val="auto"/>
              </w:rPr>
              <w:t>RSJ Algorithm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CTC</w:t>
            </w:r>
          </w:p>
        </w:tc>
        <w:tc>
          <w:tcPr>
            <w:tcW w:w="2980" w:type="dxa"/>
            <w:vAlign w:val="bottom"/>
          </w:tcPr>
          <w:p>
            <w:pPr>
              <w:ind w:left="640"/>
              <w:spacing w:after="0"/>
              <w:rPr>
                <w:sz w:val="20"/>
                <w:szCs w:val="20"/>
                <w:color w:val="auto"/>
              </w:rPr>
            </w:pPr>
            <w:r>
              <w:rPr>
                <w:rFonts w:ascii="Arial" w:cs="Arial" w:eastAsia="Arial" w:hAnsi="Arial"/>
                <w:sz w:val="21"/>
                <w:szCs w:val="21"/>
                <w:color w:val="auto"/>
              </w:rPr>
              <w:t>SIG Susquehanna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DE Shaw</w:t>
            </w:r>
          </w:p>
        </w:tc>
        <w:tc>
          <w:tcPr>
            <w:tcW w:w="2980" w:type="dxa"/>
            <w:vAlign w:val="bottom"/>
          </w:tcPr>
          <w:p>
            <w:pPr>
              <w:ind w:left="640"/>
              <w:spacing w:after="0"/>
              <w:rPr>
                <w:sz w:val="20"/>
                <w:szCs w:val="20"/>
                <w:color w:val="auto"/>
              </w:rPr>
            </w:pPr>
            <w:r>
              <w:rPr>
                <w:rFonts w:ascii="Arial" w:cs="Arial" w:eastAsia="Arial" w:hAnsi="Arial"/>
                <w:sz w:val="21"/>
                <w:szCs w:val="21"/>
                <w:color w:val="auto"/>
              </w:rPr>
              <w:t>Simplex Spot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DRW Trading Group</w:t>
            </w:r>
          </w:p>
        </w:tc>
        <w:tc>
          <w:tcPr>
            <w:tcW w:w="2980" w:type="dxa"/>
            <w:vAlign w:val="bottom"/>
          </w:tcPr>
          <w:p>
            <w:pPr>
              <w:ind w:left="640"/>
              <w:spacing w:after="0"/>
              <w:rPr>
                <w:sz w:val="20"/>
                <w:szCs w:val="20"/>
                <w:color w:val="auto"/>
              </w:rPr>
            </w:pPr>
            <w:r>
              <w:rPr>
                <w:rFonts w:ascii="Arial" w:cs="Arial" w:eastAsia="Arial" w:hAnsi="Arial"/>
                <w:sz w:val="21"/>
                <w:szCs w:val="21"/>
                <w:color w:val="auto"/>
              </w:rPr>
              <w:t>Sun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Final</w:t>
            </w:r>
          </w:p>
        </w:tc>
        <w:tc>
          <w:tcPr>
            <w:tcW w:w="2980" w:type="dxa"/>
            <w:vAlign w:val="bottom"/>
          </w:tcPr>
          <w:p>
            <w:pPr>
              <w:ind w:left="640"/>
              <w:spacing w:after="0"/>
              <w:rPr>
                <w:sz w:val="20"/>
                <w:szCs w:val="20"/>
                <w:color w:val="auto"/>
              </w:rPr>
            </w:pPr>
            <w:r>
              <w:rPr>
                <w:rFonts w:ascii="Arial" w:cs="Arial" w:eastAsia="Arial" w:hAnsi="Arial"/>
                <w:sz w:val="21"/>
                <w:szCs w:val="21"/>
                <w:color w:val="auto"/>
              </w:rPr>
              <w:t>Teza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Flow Traders</w:t>
            </w:r>
          </w:p>
        </w:tc>
        <w:tc>
          <w:tcPr>
            <w:tcW w:w="2980" w:type="dxa"/>
            <w:vAlign w:val="bottom"/>
          </w:tcPr>
          <w:p>
            <w:pPr>
              <w:ind w:left="640"/>
              <w:spacing w:after="0"/>
              <w:rPr>
                <w:sz w:val="20"/>
                <w:szCs w:val="20"/>
                <w:color w:val="auto"/>
              </w:rPr>
            </w:pPr>
            <w:r>
              <w:rPr>
                <w:rFonts w:ascii="Arial" w:cs="Arial" w:eastAsia="Arial" w:hAnsi="Arial"/>
                <w:sz w:val="21"/>
                <w:szCs w:val="21"/>
                <w:color w:val="auto"/>
              </w:rPr>
              <w:t>Tibra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Gelber</w:t>
            </w:r>
          </w:p>
        </w:tc>
        <w:tc>
          <w:tcPr>
            <w:tcW w:w="2980" w:type="dxa"/>
            <w:vAlign w:val="bottom"/>
          </w:tcPr>
          <w:p>
            <w:pPr>
              <w:ind w:left="640"/>
              <w:spacing w:after="0"/>
              <w:rPr>
                <w:sz w:val="20"/>
                <w:szCs w:val="20"/>
                <w:color w:val="auto"/>
              </w:rPr>
            </w:pPr>
            <w:r>
              <w:rPr>
                <w:rFonts w:ascii="Arial" w:cs="Arial" w:eastAsia="Arial" w:hAnsi="Arial"/>
                <w:sz w:val="21"/>
                <w:szCs w:val="21"/>
                <w:color w:val="auto"/>
              </w:rPr>
              <w:t>Tower Research Capital</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Hard 8 Future</w:t>
            </w:r>
          </w:p>
        </w:tc>
        <w:tc>
          <w:tcPr>
            <w:tcW w:w="2980" w:type="dxa"/>
            <w:vAlign w:val="bottom"/>
          </w:tcPr>
          <w:p>
            <w:pPr>
              <w:ind w:left="640"/>
              <w:spacing w:after="0"/>
              <w:rPr>
                <w:sz w:val="20"/>
                <w:szCs w:val="20"/>
                <w:color w:val="auto"/>
              </w:rPr>
            </w:pPr>
            <w:r>
              <w:rPr>
                <w:rFonts w:ascii="Arial" w:cs="Arial" w:eastAsia="Arial" w:hAnsi="Arial"/>
                <w:sz w:val="21"/>
                <w:szCs w:val="21"/>
                <w:color w:val="auto"/>
              </w:rPr>
              <w:t>Tradebot</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Headlands Capital</w:t>
            </w:r>
          </w:p>
        </w:tc>
        <w:tc>
          <w:tcPr>
            <w:tcW w:w="2980" w:type="dxa"/>
            <w:vAlign w:val="bottom"/>
          </w:tcPr>
          <w:p>
            <w:pPr>
              <w:ind w:left="640"/>
              <w:spacing w:after="0"/>
              <w:rPr>
                <w:sz w:val="20"/>
                <w:szCs w:val="20"/>
                <w:color w:val="auto"/>
              </w:rPr>
            </w:pPr>
            <w:r>
              <w:rPr>
                <w:rFonts w:ascii="Arial" w:cs="Arial" w:eastAsia="Arial" w:hAnsi="Arial"/>
                <w:sz w:val="21"/>
                <w:szCs w:val="21"/>
                <w:color w:val="auto"/>
              </w:rPr>
              <w:t>Tradeworx</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Hudson River Trading</w:t>
            </w:r>
          </w:p>
        </w:tc>
        <w:tc>
          <w:tcPr>
            <w:tcW w:w="2980" w:type="dxa"/>
            <w:vAlign w:val="bottom"/>
          </w:tcPr>
          <w:p>
            <w:pPr>
              <w:ind w:left="640"/>
              <w:spacing w:after="0"/>
              <w:rPr>
                <w:sz w:val="20"/>
                <w:szCs w:val="20"/>
                <w:color w:val="auto"/>
              </w:rPr>
            </w:pPr>
            <w:r>
              <w:rPr>
                <w:rFonts w:ascii="Arial" w:cs="Arial" w:eastAsia="Arial" w:hAnsi="Arial"/>
                <w:sz w:val="21"/>
                <w:szCs w:val="21"/>
                <w:color w:val="auto"/>
              </w:rPr>
              <w:t>Trading Machine</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IBKR</w:t>
            </w:r>
          </w:p>
        </w:tc>
        <w:tc>
          <w:tcPr>
            <w:tcW w:w="2980" w:type="dxa"/>
            <w:vAlign w:val="bottom"/>
          </w:tcPr>
          <w:p>
            <w:pPr>
              <w:ind w:left="640"/>
              <w:spacing w:after="0"/>
              <w:rPr>
                <w:sz w:val="20"/>
                <w:szCs w:val="20"/>
                <w:color w:val="auto"/>
              </w:rPr>
            </w:pPr>
            <w:r>
              <w:rPr>
                <w:rFonts w:ascii="Arial" w:cs="Arial" w:eastAsia="Arial" w:hAnsi="Arial"/>
                <w:sz w:val="21"/>
                <w:szCs w:val="21"/>
                <w:color w:val="auto"/>
              </w:rPr>
              <w:t>TransMarket Group</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IMC Asset Management</w:t>
            </w:r>
          </w:p>
        </w:tc>
        <w:tc>
          <w:tcPr>
            <w:tcW w:w="2980" w:type="dxa"/>
            <w:vAlign w:val="bottom"/>
          </w:tcPr>
          <w:p>
            <w:pPr>
              <w:ind w:left="640"/>
              <w:spacing w:after="0"/>
              <w:rPr>
                <w:sz w:val="20"/>
                <w:szCs w:val="20"/>
                <w:color w:val="auto"/>
              </w:rPr>
            </w:pPr>
            <w:r>
              <w:rPr>
                <w:rFonts w:ascii="Arial" w:cs="Arial" w:eastAsia="Arial" w:hAnsi="Arial"/>
                <w:sz w:val="21"/>
                <w:szCs w:val="21"/>
                <w:color w:val="auto"/>
              </w:rPr>
              <w:t>Two Sigma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Infinium Group</w:t>
            </w:r>
          </w:p>
        </w:tc>
        <w:tc>
          <w:tcPr>
            <w:tcW w:w="2980" w:type="dxa"/>
            <w:vAlign w:val="bottom"/>
          </w:tcPr>
          <w:p>
            <w:pPr>
              <w:ind w:left="640"/>
              <w:spacing w:after="0"/>
              <w:rPr>
                <w:sz w:val="20"/>
                <w:szCs w:val="20"/>
                <w:color w:val="auto"/>
              </w:rPr>
            </w:pPr>
            <w:r>
              <w:rPr>
                <w:rFonts w:ascii="Arial" w:cs="Arial" w:eastAsia="Arial" w:hAnsi="Arial"/>
                <w:sz w:val="21"/>
                <w:szCs w:val="21"/>
                <w:color w:val="auto"/>
              </w:rPr>
              <w:t>Wolverine</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Interactive Brokers (Timber Hill)</w:t>
            </w:r>
          </w:p>
        </w:tc>
        <w:tc>
          <w:tcPr>
            <w:tcW w:w="2980" w:type="dxa"/>
            <w:vAlign w:val="bottom"/>
          </w:tcPr>
          <w:p>
            <w:pPr>
              <w:ind w:left="640"/>
              <w:spacing w:after="0"/>
              <w:rPr>
                <w:sz w:val="20"/>
                <w:szCs w:val="20"/>
                <w:color w:val="auto"/>
              </w:rPr>
            </w:pPr>
            <w:r>
              <w:rPr>
                <w:rFonts w:ascii="Arial" w:cs="Arial" w:eastAsia="Arial" w:hAnsi="Arial"/>
                <w:sz w:val="21"/>
                <w:szCs w:val="21"/>
                <w:color w:val="auto"/>
              </w:rPr>
              <w:t>Xambala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International Algorithmic</w:t>
            </w:r>
          </w:p>
        </w:tc>
        <w:tc>
          <w:tcPr>
            <w:tcW w:w="2980" w:type="dxa"/>
            <w:vAlign w:val="bottom"/>
          </w:tcPr>
          <w:p>
            <w:pPr>
              <w:ind w:left="640"/>
              <w:spacing w:after="0"/>
              <w:rPr>
                <w:sz w:val="20"/>
                <w:szCs w:val="20"/>
                <w:color w:val="auto"/>
              </w:rPr>
            </w:pPr>
            <w:r>
              <w:rPr>
                <w:rFonts w:ascii="Arial" w:cs="Arial" w:eastAsia="Arial" w:hAnsi="Arial"/>
                <w:sz w:val="21"/>
                <w:szCs w:val="21"/>
                <w:color w:val="auto"/>
              </w:rPr>
              <w:t>Zomojo</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Jane Street</w:t>
            </w:r>
          </w:p>
        </w:tc>
        <w:tc>
          <w:tcPr>
            <w:tcW w:w="2980" w:type="dxa"/>
            <w:vAlign w:val="bottom"/>
          </w:tcPr>
          <w:p>
            <w:pPr>
              <w:spacing w:after="0"/>
              <w:rPr>
                <w:sz w:val="24"/>
                <w:szCs w:val="24"/>
                <w:color w:val="auto"/>
              </w:rPr>
            </w:pPr>
          </w:p>
        </w:tc>
      </w:tr>
      <w:tr>
        <w:trPr>
          <w:trHeight w:val="935"/>
        </w:trPr>
        <w:tc>
          <w:tcPr>
            <w:tcW w:w="3400" w:type="dxa"/>
            <w:vAlign w:val="bottom"/>
          </w:tcPr>
          <w:p>
            <w:pPr>
              <w:ind w:left="1380"/>
              <w:spacing w:after="0"/>
              <w:rPr>
                <w:sz w:val="20"/>
                <w:szCs w:val="20"/>
                <w:color w:val="auto"/>
              </w:rPr>
            </w:pPr>
            <w:r>
              <w:rPr>
                <w:rFonts w:ascii="Arial" w:cs="Arial" w:eastAsia="Arial" w:hAnsi="Arial"/>
                <w:sz w:val="17"/>
                <w:szCs w:val="17"/>
                <w:color w:val="auto"/>
              </w:rPr>
              <w:t>6</w:t>
            </w:r>
          </w:p>
        </w:tc>
        <w:tc>
          <w:tcPr>
            <w:tcW w:w="2980" w:type="dxa"/>
            <w:vAlign w:val="bottom"/>
          </w:tcPr>
          <w:p>
            <w:pPr>
              <w:spacing w:after="0"/>
              <w:rPr>
                <w:sz w:val="24"/>
                <w:szCs w:val="24"/>
                <w:color w:val="auto"/>
              </w:rPr>
            </w:pPr>
          </w:p>
        </w:tc>
      </w:tr>
    </w:tbl>
    <w:p>
      <w:pPr>
        <w:sectPr>
          <w:pgSz w:w="11900" w:h="16838" w:orient="portrait"/>
          <w:cols w:equalWidth="0" w:num="1">
            <w:col w:w="9480"/>
          </w:cols>
          <w:pgMar w:left="1440" w:top="554" w:right="979" w:bottom="1440" w:gutter="0" w:footer="0" w:header="0"/>
        </w:sectPr>
      </w:pPr>
    </w:p>
    <w:bookmarkStart w:id="201" w:name="page202"/>
    <w:bookmarkEnd w:id="201"/>
    <w:p>
      <w:pPr>
        <w:jc w:val="right"/>
        <w:spacing w:after="0"/>
        <w:rPr>
          <w:sz w:val="20"/>
          <w:szCs w:val="20"/>
          <w:color w:val="auto"/>
        </w:rPr>
      </w:pPr>
      <w:r>
        <w:rPr>
          <w:rFonts w:ascii="Arial" w:cs="Arial" w:eastAsia="Arial" w:hAnsi="Arial"/>
          <w:sz w:val="19"/>
          <w:szCs w:val="19"/>
          <w:b w:val="1"/>
          <w:bCs w:val="1"/>
          <w:color w:val="auto"/>
        </w:rPr>
        <w:t>EXECUTION COPY</w:t>
      </w:r>
    </w:p>
    <w:p>
      <w:pPr>
        <w:spacing w:after="0" w:line="200" w:lineRule="exact"/>
        <w:rPr>
          <w:sz w:val="20"/>
          <w:szCs w:val="20"/>
          <w:color w:val="auto"/>
        </w:rPr>
      </w:pPr>
    </w:p>
    <w:p>
      <w:pPr>
        <w:spacing w:after="0" w:line="238" w:lineRule="exact"/>
        <w:rPr>
          <w:sz w:val="20"/>
          <w:szCs w:val="20"/>
          <w:color w:val="auto"/>
        </w:rPr>
      </w:pPr>
    </w:p>
    <w:p>
      <w:pPr>
        <w:jc w:val="center"/>
        <w:ind w:left="2480"/>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ind w:left="2604" w:right="1900" w:firstLine="1794"/>
        <w:spacing w:after="0" w:line="257" w:lineRule="auto"/>
        <w:rPr>
          <w:sz w:val="20"/>
          <w:szCs w:val="20"/>
          <w:color w:val="auto"/>
        </w:rPr>
      </w:pPr>
      <w:r>
        <w:rPr>
          <w:rFonts w:ascii="Arial" w:cs="Arial" w:eastAsia="Arial" w:hAnsi="Arial"/>
          <w:sz w:val="19"/>
          <w:szCs w:val="19"/>
          <w:b w:val="1"/>
          <w:bCs w:val="1"/>
          <w:color w:val="auto"/>
        </w:rPr>
        <w:t xml:space="preserve">2015 MANAGEMENT INCENTIVE PLAN EMPLOYEE </w:t>
      </w:r>
      <w:r>
        <w:rPr>
          <w:rFonts w:ascii="Arial" w:cs="Arial" w:eastAsia="Arial" w:hAnsi="Arial"/>
          <w:sz w:val="19"/>
          <w:szCs w:val="19"/>
          <w:b w:val="1"/>
          <w:bCs w:val="1"/>
          <w:u w:val="single" w:color="auto"/>
          <w:color w:val="auto"/>
        </w:rPr>
        <w:t>RESTRICTED STOCK UNIT AND COMMON STOCK AWARD AGREEMENT</w:t>
      </w:r>
    </w:p>
    <w:p>
      <w:pPr>
        <w:spacing w:after="0" w:line="133" w:lineRule="exact"/>
        <w:rPr>
          <w:sz w:val="20"/>
          <w:szCs w:val="20"/>
          <w:color w:val="auto"/>
        </w:rPr>
      </w:pPr>
    </w:p>
    <w:p>
      <w:pPr>
        <w:ind w:left="624" w:right="200"/>
        <w:spacing w:after="0" w:line="274" w:lineRule="auto"/>
        <w:rPr>
          <w:sz w:val="20"/>
          <w:szCs w:val="20"/>
          <w:color w:val="auto"/>
        </w:rPr>
      </w:pPr>
      <w:r>
        <w:rPr>
          <w:rFonts w:ascii="Arial" w:cs="Arial" w:eastAsia="Arial" w:hAnsi="Arial"/>
          <w:sz w:val="19"/>
          <w:szCs w:val="19"/>
          <w:color w:val="auto"/>
        </w:rPr>
        <w:t>THIS RESTRICTED STOCK UNIT AND COMMON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December 31, 2016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Stephen Cavoli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05" w:lineRule="exact"/>
        <w:rPr>
          <w:sz w:val="20"/>
          <w:szCs w:val="20"/>
          <w:color w:val="auto"/>
        </w:rPr>
      </w:pPr>
    </w:p>
    <w:p>
      <w:pPr>
        <w:ind w:left="4" w:right="100" w:firstLine="630"/>
        <w:spacing w:after="0" w:line="274" w:lineRule="auto"/>
        <w:rPr>
          <w:sz w:val="20"/>
          <w:szCs w:val="20"/>
          <w:color w:val="auto"/>
        </w:rPr>
      </w:pPr>
      <w:r>
        <w:rPr>
          <w:rFonts w:ascii="Arial" w:cs="Arial" w:eastAsia="Arial" w:hAnsi="Arial"/>
          <w:sz w:val="19"/>
          <w:szCs w:val="19"/>
          <w:color w:val="auto"/>
        </w:rPr>
        <w:t>WHEREAS, the Company has adopted the Virtu Financial, Inc.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shares of Class A Common Stock and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may be granted; and</w:t>
      </w:r>
    </w:p>
    <w:p>
      <w:pPr>
        <w:spacing w:after="0" w:line="105" w:lineRule="exact"/>
        <w:rPr>
          <w:sz w:val="20"/>
          <w:szCs w:val="20"/>
          <w:color w:val="auto"/>
        </w:rPr>
      </w:pPr>
    </w:p>
    <w:p>
      <w:pPr>
        <w:ind w:left="4" w:right="40" w:firstLine="630"/>
        <w:spacing w:after="0" w:line="304" w:lineRule="auto"/>
        <w:rPr>
          <w:sz w:val="20"/>
          <w:szCs w:val="20"/>
          <w:color w:val="auto"/>
        </w:rPr>
      </w:pPr>
      <w:r>
        <w:rPr>
          <w:rFonts w:ascii="Arial" w:cs="Arial" w:eastAsia="Arial" w:hAnsi="Arial"/>
          <w:sz w:val="17"/>
          <w:szCs w:val="17"/>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2016 through December 31, 2016, and RSUs provided for herein to the Participant subject to the terms set forth herein.</w:t>
      </w:r>
    </w:p>
    <w:p>
      <w:pPr>
        <w:spacing w:after="0" w:line="84" w:lineRule="exact"/>
        <w:rPr>
          <w:sz w:val="20"/>
          <w:szCs w:val="20"/>
          <w:color w:val="auto"/>
        </w:rPr>
      </w:pPr>
    </w:p>
    <w:p>
      <w:pPr>
        <w:ind w:left="4" w:right="2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9" w:lineRule="exact"/>
        <w:rPr>
          <w:sz w:val="20"/>
          <w:szCs w:val="20"/>
          <w:color w:val="auto"/>
        </w:rPr>
      </w:pPr>
    </w:p>
    <w:p>
      <w:pPr>
        <w:ind w:left="744" w:hanging="744"/>
        <w:spacing w:after="0"/>
        <w:tabs>
          <w:tab w:leader="none" w:pos="744" w:val="left"/>
        </w:tabs>
        <w:numPr>
          <w:ilvl w:val="0"/>
          <w:numId w:val="209"/>
        </w:numPr>
        <w:rPr>
          <w:rFonts w:ascii="Arial" w:cs="Arial" w:eastAsia="Arial" w:hAnsi="Arial"/>
          <w:sz w:val="19"/>
          <w:szCs w:val="19"/>
          <w:b w:val="1"/>
          <w:bCs w:val="1"/>
          <w:color w:val="auto"/>
        </w:rPr>
      </w:pPr>
      <w:r>
        <w:rPr>
          <w:rFonts w:ascii="Arial" w:cs="Arial" w:eastAsia="Arial" w:hAnsi="Arial"/>
          <w:sz w:val="19"/>
          <w:szCs w:val="19"/>
          <w:b w:val="1"/>
          <w:bCs w:val="1"/>
          <w:color w:val="auto"/>
        </w:rPr>
        <w:t>Grant of Common Stock and Restricted Stock Units.</w:t>
      </w:r>
    </w:p>
    <w:p>
      <w:pPr>
        <w:spacing w:after="0" w:line="233" w:lineRule="exact"/>
        <w:rPr>
          <w:rFonts w:ascii="Arial" w:cs="Arial" w:eastAsia="Arial" w:hAnsi="Arial"/>
          <w:sz w:val="19"/>
          <w:szCs w:val="19"/>
          <w:b w:val="1"/>
          <w:bCs w:val="1"/>
          <w:color w:val="auto"/>
        </w:rPr>
      </w:pPr>
    </w:p>
    <w:p>
      <w:pPr>
        <w:ind w:left="4" w:right="120" w:firstLine="626"/>
        <w:spacing w:after="0" w:line="250" w:lineRule="auto"/>
        <w:tabs>
          <w:tab w:leader="none" w:pos="1023" w:val="left"/>
        </w:tabs>
        <w:numPr>
          <w:ilvl w:val="1"/>
          <w:numId w:val="209"/>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 total number of shares of Class A Common Stock equal to $60,000.00 divided by the Issue Price (the “</w:t>
      </w:r>
      <w:r>
        <w:rPr>
          <w:rFonts w:ascii="Arial" w:cs="Arial" w:eastAsia="Arial" w:hAnsi="Arial"/>
          <w:sz w:val="19"/>
          <w:szCs w:val="19"/>
          <w:u w:val="single" w:color="auto"/>
          <w:color w:val="auto"/>
        </w:rPr>
        <w:t>Shares</w:t>
      </w:r>
      <w:r>
        <w:rPr>
          <w:rFonts w:ascii="Arial" w:cs="Arial" w:eastAsia="Arial" w:hAnsi="Arial"/>
          <w:sz w:val="19"/>
          <w:szCs w:val="19"/>
          <w:color w:val="auto"/>
        </w:rPr>
        <w:t>”), and a total number of RSUs equal to $90,000.00 divided by the Issue Price, in each case on the terms and conditions set forth in this Agreement and as otherwise provided in the Plan. The RSUs shall be credited to a separate book- entry account maintained for the Participant on the books of the Company, which may be maintained by a third party. The “</w:t>
      </w:r>
      <w:r>
        <w:rPr>
          <w:rFonts w:ascii="Arial" w:cs="Arial" w:eastAsia="Arial" w:hAnsi="Arial"/>
          <w:sz w:val="19"/>
          <w:szCs w:val="19"/>
          <w:u w:val="single" w:color="auto"/>
          <w:color w:val="auto"/>
        </w:rPr>
        <w:t>Issue Price</w:t>
      </w:r>
      <w:r>
        <w:rPr>
          <w:rFonts w:ascii="Arial" w:cs="Arial" w:eastAsia="Arial" w:hAnsi="Arial"/>
          <w:sz w:val="19"/>
          <w:szCs w:val="19"/>
          <w:color w:val="auto"/>
        </w:rPr>
        <w:t>” shall mean the volume weighted average price of shares of the Company’s Class A Common Stock traded during the three days preceding the Date of Grant, as determined by the Company.</w:t>
      </w:r>
    </w:p>
    <w:p>
      <w:pPr>
        <w:spacing w:after="0" w:line="183" w:lineRule="exact"/>
        <w:rPr>
          <w:rFonts w:ascii="Arial" w:cs="Arial" w:eastAsia="Arial" w:hAnsi="Arial"/>
          <w:sz w:val="19"/>
          <w:szCs w:val="19"/>
          <w:color w:val="auto"/>
        </w:rPr>
      </w:pPr>
    </w:p>
    <w:p>
      <w:pPr>
        <w:ind w:left="4" w:right="20" w:firstLine="626"/>
        <w:spacing w:after="0" w:line="266" w:lineRule="auto"/>
        <w:tabs>
          <w:tab w:leader="none" w:pos="1033"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9" w:lineRule="exact"/>
        <w:rPr>
          <w:rFonts w:ascii="Arial" w:cs="Arial" w:eastAsia="Arial" w:hAnsi="Arial"/>
          <w:sz w:val="18"/>
          <w:szCs w:val="18"/>
          <w:color w:val="auto"/>
        </w:rPr>
      </w:pPr>
    </w:p>
    <w:p>
      <w:pPr>
        <w:ind w:left="624" w:hanging="624"/>
        <w:spacing w:after="0"/>
        <w:tabs>
          <w:tab w:leader="none" w:pos="624" w:val="left"/>
        </w:tabs>
        <w:numPr>
          <w:ilvl w:val="0"/>
          <w:numId w:val="209"/>
        </w:numPr>
        <w:rPr>
          <w:rFonts w:ascii="Arial" w:cs="Arial" w:eastAsia="Arial" w:hAnsi="Arial"/>
          <w:sz w:val="19"/>
          <w:szCs w:val="19"/>
          <w:b w:val="1"/>
          <w:bCs w:val="1"/>
          <w:color w:val="auto"/>
        </w:rPr>
      </w:pPr>
      <w:r>
        <w:rPr>
          <w:rFonts w:ascii="Arial" w:cs="Arial" w:eastAsia="Arial" w:hAnsi="Arial"/>
          <w:sz w:val="19"/>
          <w:szCs w:val="19"/>
          <w:b w:val="1"/>
          <w:bCs w:val="1"/>
          <w:color w:val="auto"/>
        </w:rPr>
        <w:t>Vesting; Settlement of Restricted Stock Units.</w:t>
      </w:r>
    </w:p>
    <w:p>
      <w:pPr>
        <w:spacing w:after="0" w:line="220" w:lineRule="exact"/>
        <w:rPr>
          <w:rFonts w:ascii="Arial" w:cs="Arial" w:eastAsia="Arial" w:hAnsi="Arial"/>
          <w:sz w:val="19"/>
          <w:szCs w:val="19"/>
          <w:b w:val="1"/>
          <w:bCs w:val="1"/>
          <w:color w:val="auto"/>
        </w:rPr>
      </w:pPr>
    </w:p>
    <w:p>
      <w:pPr>
        <w:ind w:left="1024" w:hanging="394"/>
        <w:spacing w:after="0"/>
        <w:tabs>
          <w:tab w:leader="none" w:pos="1024" w:val="left"/>
        </w:tabs>
        <w:numPr>
          <w:ilvl w:val="1"/>
          <w:numId w:val="209"/>
        </w:numPr>
        <w:rPr>
          <w:rFonts w:ascii="Arial" w:cs="Arial" w:eastAsia="Arial" w:hAnsi="Arial"/>
          <w:sz w:val="19"/>
          <w:szCs w:val="19"/>
          <w:color w:val="auto"/>
        </w:rPr>
      </w:pPr>
      <w:r>
        <w:rPr>
          <w:rFonts w:ascii="Arial" w:cs="Arial" w:eastAsia="Arial" w:hAnsi="Arial"/>
          <w:sz w:val="19"/>
          <w:szCs w:val="19"/>
          <w:color w:val="auto"/>
        </w:rPr>
        <w:t>The Shares shall be one hundred percent (100%) vested as of the Date of Grant.</w:t>
      </w:r>
    </w:p>
    <w:p>
      <w:pPr>
        <w:spacing w:after="0" w:line="227" w:lineRule="exact"/>
        <w:rPr>
          <w:rFonts w:ascii="Arial" w:cs="Arial" w:eastAsia="Arial" w:hAnsi="Arial"/>
          <w:sz w:val="19"/>
          <w:szCs w:val="19"/>
          <w:color w:val="auto"/>
        </w:rPr>
      </w:pPr>
    </w:p>
    <w:p>
      <w:pPr>
        <w:ind w:left="4" w:right="160" w:firstLine="626"/>
        <w:spacing w:after="0" w:line="259" w:lineRule="auto"/>
        <w:tabs>
          <w:tab w:leader="none" w:pos="1033" w:val="left"/>
        </w:tabs>
        <w:numPr>
          <w:ilvl w:val="1"/>
          <w:numId w:val="209"/>
        </w:numPr>
        <w:rPr>
          <w:rFonts w:ascii="Arial" w:cs="Arial" w:eastAsia="Arial" w:hAnsi="Arial"/>
          <w:sz w:val="19"/>
          <w:szCs w:val="19"/>
          <w:color w:val="auto"/>
        </w:rPr>
      </w:pPr>
      <w:r>
        <w:rPr>
          <w:rFonts w:ascii="Arial" w:cs="Arial" w:eastAsia="Arial" w:hAnsi="Arial"/>
          <w:sz w:val="19"/>
          <w:szCs w:val="19"/>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Upon</w:t>
      </w:r>
    </w:p>
    <w:p>
      <w:pPr>
        <w:sectPr>
          <w:pgSz w:w="11900" w:h="16838" w:orient="portrait"/>
          <w:cols w:equalWidth="0" w:num="1">
            <w:col w:w="11244"/>
          </w:cols>
          <w:pgMar w:left="416" w:top="183" w:right="239" w:bottom="1440" w:gutter="0" w:footer="0" w:header="0"/>
        </w:sectPr>
      </w:pPr>
    </w:p>
    <w:bookmarkStart w:id="202" w:name="page203"/>
    <w:bookmarkEnd w:id="202"/>
    <w:p>
      <w:pPr>
        <w:ind w:left="4" w:right="140"/>
        <w:spacing w:after="0" w:line="259" w:lineRule="auto"/>
        <w:rPr>
          <w:sz w:val="20"/>
          <w:szCs w:val="20"/>
          <w:color w:val="auto"/>
        </w:rPr>
      </w:pPr>
      <w:r>
        <w:rPr>
          <w:rFonts w:ascii="Arial" w:cs="Arial" w:eastAsia="Arial" w:hAnsi="Arial"/>
          <w:sz w:val="19"/>
          <w:szCs w:val="19"/>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5" w:lineRule="exact"/>
        <w:rPr>
          <w:sz w:val="20"/>
          <w:szCs w:val="20"/>
          <w:color w:val="auto"/>
        </w:rPr>
      </w:pPr>
    </w:p>
    <w:p>
      <w:pPr>
        <w:ind w:left="4" w:right="20" w:firstLine="626"/>
        <w:spacing w:after="0" w:line="274" w:lineRule="auto"/>
        <w:tabs>
          <w:tab w:leader="none" w:pos="1023" w:val="left"/>
        </w:tabs>
        <w:numPr>
          <w:ilvl w:val="1"/>
          <w:numId w:val="210"/>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64" w:lineRule="exact"/>
        <w:rPr>
          <w:rFonts w:ascii="Arial" w:cs="Arial" w:eastAsia="Arial" w:hAnsi="Arial"/>
          <w:sz w:val="19"/>
          <w:szCs w:val="19"/>
          <w:color w:val="auto"/>
        </w:rPr>
      </w:pPr>
    </w:p>
    <w:p>
      <w:pPr>
        <w:jc w:val="both"/>
        <w:ind w:left="4" w:right="260" w:hanging="4"/>
        <w:spacing w:after="0" w:line="285" w:lineRule="auto"/>
        <w:tabs>
          <w:tab w:leader="none" w:pos="752" w:val="left"/>
        </w:tabs>
        <w:numPr>
          <w:ilvl w:val="0"/>
          <w:numId w:val="2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In the event of any issuance of a cash dividend on the shares of Class A Common Stock (a “</w:t>
      </w:r>
      <w:r>
        <w:rPr>
          <w:rFonts w:ascii="Arial" w:cs="Arial" w:eastAsia="Arial" w:hAnsi="Arial"/>
          <w:sz w:val="19"/>
          <w:szCs w:val="19"/>
          <w:u w:val="single" w:color="auto"/>
          <w:color w:val="auto"/>
        </w:rPr>
        <w:t>Dividend</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82" w:lineRule="exact"/>
        <w:rPr>
          <w:rFonts w:ascii="Arial" w:cs="Arial" w:eastAsia="Arial" w:hAnsi="Arial"/>
          <w:sz w:val="19"/>
          <w:szCs w:val="19"/>
          <w:b w:val="1"/>
          <w:bCs w:val="1"/>
          <w:color w:val="auto"/>
        </w:rPr>
      </w:pPr>
    </w:p>
    <w:p>
      <w:pPr>
        <w:ind w:left="4" w:hanging="4"/>
        <w:spacing w:after="0" w:line="292" w:lineRule="auto"/>
        <w:tabs>
          <w:tab w:leader="none" w:pos="752" w:val="left"/>
        </w:tabs>
        <w:numPr>
          <w:ilvl w:val="0"/>
          <w:numId w:val="2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 Affiliates terminates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all unvested RSUs shall be cancelled immediately and the Participant shall not be entitled to receive any payments with respect thereto.</w:t>
      </w:r>
    </w:p>
    <w:p>
      <w:pPr>
        <w:spacing w:after="0" w:line="160" w:lineRule="exact"/>
        <w:rPr>
          <w:rFonts w:ascii="Arial" w:cs="Arial" w:eastAsia="Arial" w:hAnsi="Arial"/>
          <w:sz w:val="19"/>
          <w:szCs w:val="19"/>
          <w:b w:val="1"/>
          <w:bCs w:val="1"/>
          <w:color w:val="auto"/>
        </w:rPr>
      </w:pPr>
    </w:p>
    <w:p>
      <w:pPr>
        <w:ind w:left="4" w:hanging="4"/>
        <w:spacing w:after="0" w:line="281" w:lineRule="auto"/>
        <w:tabs>
          <w:tab w:leader="none" w:pos="752" w:val="left"/>
        </w:tabs>
        <w:numPr>
          <w:ilvl w:val="0"/>
          <w:numId w:val="2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not be deemed for any purpose to be the owner of any shares of Class A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58" w:lineRule="exact"/>
        <w:rPr>
          <w:rFonts w:ascii="Arial" w:cs="Arial" w:eastAsia="Arial" w:hAnsi="Arial"/>
          <w:sz w:val="19"/>
          <w:szCs w:val="19"/>
          <w:b w:val="1"/>
          <w:bCs w:val="1"/>
          <w:color w:val="auto"/>
        </w:rPr>
      </w:pPr>
    </w:p>
    <w:p>
      <w:pPr>
        <w:ind w:left="624" w:hanging="624"/>
        <w:spacing w:after="0"/>
        <w:tabs>
          <w:tab w:leader="none" w:pos="624" w:val="left"/>
        </w:tabs>
        <w:numPr>
          <w:ilvl w:val="0"/>
          <w:numId w:val="211"/>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0" w:lineRule="exact"/>
        <w:rPr>
          <w:rFonts w:ascii="Arial" w:cs="Arial" w:eastAsia="Arial" w:hAnsi="Arial"/>
          <w:sz w:val="19"/>
          <w:szCs w:val="19"/>
          <w:b w:val="1"/>
          <w:bCs w:val="1"/>
          <w:color w:val="auto"/>
        </w:rPr>
      </w:pPr>
    </w:p>
    <w:p>
      <w:pPr>
        <w:ind w:left="4" w:right="20" w:firstLine="626"/>
        <w:spacing w:after="0" w:line="269" w:lineRule="auto"/>
        <w:tabs>
          <w:tab w:leader="none" w:pos="1023"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8" w:lineRule="exact"/>
        <w:rPr>
          <w:rFonts w:ascii="Arial" w:cs="Arial" w:eastAsia="Arial" w:hAnsi="Arial"/>
          <w:sz w:val="18"/>
          <w:szCs w:val="18"/>
          <w:color w:val="auto"/>
        </w:rPr>
      </w:pPr>
    </w:p>
    <w:p>
      <w:pPr>
        <w:ind w:left="4" w:right="40" w:firstLine="626"/>
        <w:spacing w:after="0" w:line="263" w:lineRule="auto"/>
        <w:tabs>
          <w:tab w:leader="none" w:pos="1033"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90" w:lineRule="exact"/>
        <w:rPr>
          <w:sz w:val="20"/>
          <w:szCs w:val="20"/>
          <w:color w:val="auto"/>
        </w:rPr>
      </w:pPr>
    </w:p>
    <w:p>
      <w:pPr>
        <w:jc w:val="center"/>
        <w:ind w:right="116"/>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4"/>
          </w:cols>
          <w:pgMar w:left="416" w:top="425" w:right="279" w:bottom="1440" w:gutter="0" w:footer="0" w:header="0"/>
        </w:sectPr>
      </w:pPr>
    </w:p>
    <w:bookmarkStart w:id="203" w:name="page204"/>
    <w:bookmarkEnd w:id="203"/>
    <w:p>
      <w:pPr>
        <w:ind w:left="4" w:hanging="4"/>
        <w:spacing w:after="0" w:line="311" w:lineRule="auto"/>
        <w:tabs>
          <w:tab w:leader="none" w:pos="779"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 </w:t>
      </w:r>
      <w:r>
        <w:rPr>
          <w:rFonts w:ascii="Arial" w:cs="Arial" w:eastAsia="Arial" w:hAnsi="Arial"/>
          <w:sz w:val="17"/>
          <w:szCs w:val="17"/>
          <w:color w:val="auto"/>
        </w:rPr>
        <w:t>Notwithstanding anything to the contrary contained herein, the Committee may cancel the Shares and RSU award if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including for the avoidance of doubt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as determined by the Committee. In such event, the Participant will forfeit any compensation, gain or other value realized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41" w:lineRule="exact"/>
        <w:rPr>
          <w:rFonts w:ascii="Arial" w:cs="Arial" w:eastAsia="Arial" w:hAnsi="Arial"/>
          <w:sz w:val="17"/>
          <w:szCs w:val="17"/>
          <w:b w:val="1"/>
          <w:bCs w:val="1"/>
          <w:color w:val="auto"/>
        </w:rPr>
      </w:pPr>
    </w:p>
    <w:p>
      <w:pPr>
        <w:ind w:left="624" w:hanging="624"/>
        <w:spacing w:after="0"/>
        <w:tabs>
          <w:tab w:leader="none" w:pos="624" w:val="left"/>
        </w:tabs>
        <w:numPr>
          <w:ilvl w:val="0"/>
          <w:numId w:val="212"/>
        </w:numPr>
        <w:rPr>
          <w:rFonts w:ascii="Arial" w:cs="Arial" w:eastAsia="Arial" w:hAnsi="Arial"/>
          <w:sz w:val="19"/>
          <w:szCs w:val="19"/>
          <w:b w:val="1"/>
          <w:bCs w:val="1"/>
          <w:color w:val="auto"/>
        </w:rPr>
      </w:pPr>
      <w:r>
        <w:rPr>
          <w:rFonts w:ascii="Arial" w:cs="Arial" w:eastAsia="Arial" w:hAnsi="Arial"/>
          <w:sz w:val="19"/>
          <w:szCs w:val="19"/>
          <w:b w:val="1"/>
          <w:bCs w:val="1"/>
          <w:color w:val="auto"/>
        </w:rPr>
        <w:t>Restrictive Covenants.</w:t>
      </w:r>
    </w:p>
    <w:p>
      <w:pPr>
        <w:spacing w:after="0" w:line="220" w:lineRule="exact"/>
        <w:rPr>
          <w:rFonts w:ascii="Arial" w:cs="Arial" w:eastAsia="Arial" w:hAnsi="Arial"/>
          <w:sz w:val="19"/>
          <w:szCs w:val="19"/>
          <w:b w:val="1"/>
          <w:bCs w:val="1"/>
          <w:color w:val="auto"/>
        </w:rPr>
      </w:pPr>
    </w:p>
    <w:p>
      <w:pPr>
        <w:ind w:left="1024" w:hanging="394"/>
        <w:spacing w:after="0"/>
        <w:tabs>
          <w:tab w:leader="none" w:pos="1024" w:val="left"/>
        </w:tabs>
        <w:numPr>
          <w:ilvl w:val="1"/>
          <w:numId w:val="212"/>
        </w:numPr>
        <w:rPr>
          <w:rFonts w:ascii="Arial" w:cs="Arial" w:eastAsia="Arial" w:hAnsi="Arial"/>
          <w:sz w:val="19"/>
          <w:szCs w:val="19"/>
          <w:color w:val="auto"/>
        </w:rPr>
      </w:pPr>
      <w:r>
        <w:rPr>
          <w:rFonts w:ascii="Arial" w:cs="Arial" w:eastAsia="Arial" w:hAnsi="Arial"/>
          <w:sz w:val="19"/>
          <w:szCs w:val="19"/>
          <w:color w:val="auto"/>
        </w:rPr>
        <w:t xml:space="preserve">The Participant shall be subject to the confidentiality and restrictive covenants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w:t>
      </w:r>
    </w:p>
    <w:p>
      <w:pPr>
        <w:spacing w:after="0" w:line="201" w:lineRule="exact"/>
        <w:rPr>
          <w:rFonts w:ascii="Arial" w:cs="Arial" w:eastAsia="Arial" w:hAnsi="Arial"/>
          <w:sz w:val="19"/>
          <w:szCs w:val="19"/>
          <w:color w:val="auto"/>
        </w:rPr>
      </w:pPr>
    </w:p>
    <w:p>
      <w:pPr>
        <w:ind w:left="4" w:right="20" w:firstLine="626"/>
        <w:spacing w:after="0" w:line="252" w:lineRule="auto"/>
        <w:tabs>
          <w:tab w:leader="none" w:pos="1033" w:val="left"/>
        </w:tabs>
        <w:numPr>
          <w:ilvl w:val="1"/>
          <w:numId w:val="212"/>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restrictive covenants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85" w:lineRule="exact"/>
        <w:rPr>
          <w:rFonts w:ascii="Arial" w:cs="Arial" w:eastAsia="Arial" w:hAnsi="Arial"/>
          <w:sz w:val="19"/>
          <w:szCs w:val="19"/>
          <w:color w:val="auto"/>
        </w:rPr>
      </w:pPr>
    </w:p>
    <w:p>
      <w:pPr>
        <w:ind w:left="764" w:hanging="764"/>
        <w:spacing w:after="0"/>
        <w:tabs>
          <w:tab w:leader="none" w:pos="764" w:val="left"/>
        </w:tabs>
        <w:numPr>
          <w:ilvl w:val="0"/>
          <w:numId w:val="212"/>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33" w:lineRule="exact"/>
        <w:rPr>
          <w:rFonts w:ascii="Arial" w:cs="Arial" w:eastAsia="Arial" w:hAnsi="Arial"/>
          <w:sz w:val="19"/>
          <w:szCs w:val="19"/>
          <w:b w:val="1"/>
          <w:bCs w:val="1"/>
          <w:color w:val="auto"/>
        </w:rPr>
      </w:pPr>
    </w:p>
    <w:p>
      <w:pPr>
        <w:ind w:left="1024" w:hanging="394"/>
        <w:spacing w:after="0"/>
        <w:tabs>
          <w:tab w:leader="none" w:pos="1024"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w:t>
      </w:r>
    </w:p>
    <w:p>
      <w:pPr>
        <w:spacing w:after="0" w:line="32" w:lineRule="exact"/>
        <w:rPr>
          <w:sz w:val="20"/>
          <w:szCs w:val="20"/>
          <w:color w:val="auto"/>
        </w:rPr>
      </w:pPr>
    </w:p>
    <w:p>
      <w:pPr>
        <w:jc w:val="both"/>
        <w:ind w:left="4" w:right="16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78" w:lineRule="exact"/>
        <w:rPr>
          <w:sz w:val="20"/>
          <w:szCs w:val="20"/>
          <w:color w:val="auto"/>
        </w:rPr>
      </w:pPr>
    </w:p>
    <w:p>
      <w:pPr>
        <w:ind w:left="4" w:firstLine="626"/>
        <w:spacing w:after="0" w:line="254" w:lineRule="auto"/>
        <w:tabs>
          <w:tab w:leader="none" w:pos="1033"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90" w:lineRule="exact"/>
        <w:rPr>
          <w:rFonts w:ascii="Arial" w:cs="Arial" w:eastAsia="Arial" w:hAnsi="Arial"/>
          <w:sz w:val="19"/>
          <w:szCs w:val="19"/>
          <w:color w:val="auto"/>
        </w:rPr>
      </w:pPr>
    </w:p>
    <w:p>
      <w:pPr>
        <w:ind w:left="1024" w:hanging="394"/>
        <w:spacing w:after="0"/>
        <w:tabs>
          <w:tab w:leader="none" w:pos="1024"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RSUs are intended to be exempt from, or compliant with,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9"/>
          <w:szCs w:val="19"/>
          <w:color w:val="auto"/>
        </w:rPr>
        <w:t>Section 409A of the Code. Notwithstanding the foregoing or any provision of the Plan or this Agreement,</w:t>
      </w:r>
    </w:p>
    <w:p>
      <w:pPr>
        <w:spacing w:after="0" w:line="200" w:lineRule="exact"/>
        <w:rPr>
          <w:sz w:val="20"/>
          <w:szCs w:val="20"/>
          <w:color w:val="auto"/>
        </w:rPr>
      </w:pPr>
    </w:p>
    <w:p>
      <w:pPr>
        <w:spacing w:after="0" w:line="239" w:lineRule="exact"/>
        <w:rPr>
          <w:sz w:val="20"/>
          <w:szCs w:val="20"/>
          <w:color w:val="auto"/>
        </w:rPr>
      </w:pPr>
    </w:p>
    <w:p>
      <w:pPr>
        <w:jc w:val="center"/>
        <w:ind w:right="136"/>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4"/>
          </w:cols>
          <w:pgMar w:left="416" w:top="432" w:right="259" w:bottom="1440" w:gutter="0" w:footer="0" w:header="0"/>
        </w:sectPr>
      </w:pPr>
    </w:p>
    <w:bookmarkStart w:id="204" w:name="page205"/>
    <w:bookmarkEnd w:id="204"/>
    <w:p>
      <w:pPr>
        <w:ind w:right="20"/>
        <w:spacing w:after="0" w:line="250" w:lineRule="auto"/>
        <w:rPr>
          <w:sz w:val="20"/>
          <w:szCs w:val="20"/>
          <w:color w:val="auto"/>
        </w:rPr>
      </w:pPr>
      <w:r>
        <w:rPr>
          <w:rFonts w:ascii="Arial" w:cs="Arial" w:eastAsia="Arial" w:hAnsi="Arial"/>
          <w:sz w:val="19"/>
          <w:szCs w:val="19"/>
          <w:color w:val="auto"/>
        </w:rPr>
        <w:t>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9" w:lineRule="exact"/>
        <w:rPr>
          <w:sz w:val="20"/>
          <w:szCs w:val="20"/>
          <w:color w:val="auto"/>
        </w:rPr>
      </w:pPr>
    </w:p>
    <w:p>
      <w:pPr>
        <w:ind w:right="180" w:firstLine="626"/>
        <w:spacing w:after="0" w:line="259" w:lineRule="auto"/>
        <w:tabs>
          <w:tab w:leader="none" w:pos="1029"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1" w:lineRule="exact"/>
        <w:rPr>
          <w:rFonts w:ascii="Arial" w:cs="Arial" w:eastAsia="Arial" w:hAnsi="Arial"/>
          <w:sz w:val="19"/>
          <w:szCs w:val="19"/>
          <w:color w:val="auto"/>
        </w:rPr>
      </w:pPr>
    </w:p>
    <w:p>
      <w:pPr>
        <w:ind w:right="60" w:firstLine="626"/>
        <w:spacing w:after="0" w:line="252" w:lineRule="auto"/>
        <w:tabs>
          <w:tab w:leader="none" w:pos="1018"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8" w:lineRule="exact"/>
        <w:rPr>
          <w:rFonts w:ascii="Arial" w:cs="Arial" w:eastAsia="Arial" w:hAnsi="Arial"/>
          <w:sz w:val="19"/>
          <w:szCs w:val="19"/>
          <w:color w:val="auto"/>
        </w:rPr>
      </w:pPr>
    </w:p>
    <w:p>
      <w:pPr>
        <w:jc w:val="both"/>
        <w:ind w:right="160" w:firstLine="626"/>
        <w:spacing w:after="0" w:line="259" w:lineRule="auto"/>
        <w:tabs>
          <w:tab w:leader="none" w:pos="997"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1" w:lineRule="exact"/>
        <w:rPr>
          <w:rFonts w:ascii="Arial" w:cs="Arial" w:eastAsia="Arial" w:hAnsi="Arial"/>
          <w:sz w:val="19"/>
          <w:szCs w:val="19"/>
          <w:color w:val="auto"/>
        </w:rPr>
      </w:pPr>
    </w:p>
    <w:p>
      <w:pPr>
        <w:ind w:right="80" w:firstLine="626"/>
        <w:spacing w:after="0" w:line="254" w:lineRule="auto"/>
        <w:tabs>
          <w:tab w:leader="none" w:pos="1029"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90" w:lineRule="exact"/>
        <w:rPr>
          <w:rFonts w:ascii="Arial" w:cs="Arial" w:eastAsia="Arial" w:hAnsi="Arial"/>
          <w:sz w:val="19"/>
          <w:szCs w:val="19"/>
          <w:color w:val="auto"/>
        </w:rPr>
      </w:pPr>
    </w:p>
    <w:p>
      <w:pPr>
        <w:ind w:right="100" w:firstLine="626"/>
        <w:spacing w:after="0" w:line="259" w:lineRule="auto"/>
        <w:tabs>
          <w:tab w:leader="none" w:pos="1029"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85" w:lineRule="exact"/>
        <w:rPr>
          <w:rFonts w:ascii="Arial" w:cs="Arial" w:eastAsia="Arial" w:hAnsi="Arial"/>
          <w:sz w:val="19"/>
          <w:szCs w:val="19"/>
          <w:color w:val="auto"/>
        </w:rPr>
      </w:pPr>
    </w:p>
    <w:p>
      <w:pPr>
        <w:ind w:right="160" w:firstLine="626"/>
        <w:spacing w:after="0" w:line="274" w:lineRule="auto"/>
        <w:tabs>
          <w:tab w:leader="none" w:pos="986"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7" w:lineRule="exact"/>
        <w:rPr>
          <w:rFonts w:ascii="Arial" w:cs="Arial" w:eastAsia="Arial" w:hAnsi="Arial"/>
          <w:sz w:val="19"/>
          <w:szCs w:val="19"/>
          <w:color w:val="auto"/>
        </w:rPr>
      </w:pPr>
    </w:p>
    <w:p>
      <w:pPr>
        <w:ind w:right="520" w:firstLine="626"/>
        <w:spacing w:after="0" w:line="335" w:lineRule="auto"/>
        <w:tabs>
          <w:tab w:leader="none" w:pos="986"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23" w:lineRule="exact"/>
        <w:rPr>
          <w:rFonts w:ascii="Arial" w:cs="Arial" w:eastAsia="Arial" w:hAnsi="Arial"/>
          <w:sz w:val="17"/>
          <w:szCs w:val="17"/>
          <w:color w:val="auto"/>
        </w:rPr>
      </w:pPr>
    </w:p>
    <w:p>
      <w:pPr>
        <w:ind w:firstLine="626"/>
        <w:spacing w:after="0" w:line="254" w:lineRule="auto"/>
        <w:tabs>
          <w:tab w:leader="none" w:pos="1029"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9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420" w:top="425" w:right="259" w:bottom="1440" w:gutter="0" w:footer="0" w:header="0"/>
        </w:sectPr>
      </w:pPr>
    </w:p>
    <w:bookmarkStart w:id="205" w:name="page206"/>
    <w:bookmarkEnd w:id="205"/>
    <w:p>
      <w:pPr>
        <w:ind w:right="40" w:firstLine="626"/>
        <w:spacing w:after="0" w:line="259" w:lineRule="auto"/>
        <w:tabs>
          <w:tab w:leader="none" w:pos="986"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85" w:lineRule="exact"/>
        <w:rPr>
          <w:rFonts w:ascii="Arial" w:cs="Arial" w:eastAsia="Arial" w:hAnsi="Arial"/>
          <w:sz w:val="19"/>
          <w:szCs w:val="19"/>
          <w:color w:val="auto"/>
        </w:rPr>
      </w:pPr>
    </w:p>
    <w:p>
      <w:pPr>
        <w:ind w:left="620" w:right="60" w:firstLine="636"/>
        <w:spacing w:after="0" w:line="264" w:lineRule="auto"/>
        <w:tabs>
          <w:tab w:leader="none" w:pos="1606"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1" w:lineRule="exact"/>
        <w:rPr>
          <w:rFonts w:ascii="Arial" w:cs="Arial" w:eastAsia="Arial" w:hAnsi="Arial"/>
          <w:sz w:val="18"/>
          <w:szCs w:val="18"/>
          <w:color w:val="auto"/>
        </w:rPr>
      </w:pPr>
    </w:p>
    <w:p>
      <w:pPr>
        <w:ind w:left="620" w:right="320" w:firstLine="636"/>
        <w:spacing w:after="0" w:line="248" w:lineRule="auto"/>
        <w:tabs>
          <w:tab w:leader="none" w:pos="1660" w:val="left"/>
        </w:tabs>
        <w:numPr>
          <w:ilvl w:val="1"/>
          <w:numId w:val="215"/>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rFonts w:ascii="Arial" w:cs="Arial" w:eastAsia="Arial" w:hAnsi="Arial"/>
          <w:sz w:val="19"/>
          <w:szCs w:val="19"/>
          <w:color w:val="auto"/>
        </w:rPr>
      </w:pPr>
    </w:p>
    <w:p>
      <w:pPr>
        <w:ind w:left="620" w:right="160"/>
        <w:spacing w:after="0" w:line="257" w:lineRule="auto"/>
        <w:rPr>
          <w:rFonts w:ascii="Arial" w:cs="Arial" w:eastAsia="Arial" w:hAnsi="Arial"/>
          <w:sz w:val="19"/>
          <w:szCs w:val="19"/>
          <w:color w:val="auto"/>
        </w:rPr>
      </w:pPr>
      <w:r>
        <w:rPr>
          <w:rFonts w:ascii="Arial" w:cs="Arial" w:eastAsia="Arial" w:hAnsi="Arial"/>
          <w:sz w:val="19"/>
          <w:szCs w:val="19"/>
          <w:color w:val="auto"/>
        </w:rPr>
        <w:t>(B) acknowledges that it and the other parties hereto have been induced to enter into this Agreement by, among other things, the mutual waivers and certifications in this section.</w:t>
      </w:r>
    </w:p>
    <w:p>
      <w:pPr>
        <w:spacing w:after="0" w:line="172" w:lineRule="exact"/>
        <w:rPr>
          <w:rFonts w:ascii="Arial" w:cs="Arial" w:eastAsia="Arial" w:hAnsi="Arial"/>
          <w:sz w:val="19"/>
          <w:szCs w:val="19"/>
          <w:color w:val="auto"/>
        </w:rPr>
      </w:pPr>
    </w:p>
    <w:p>
      <w:pPr>
        <w:ind w:right="180" w:firstLine="626"/>
        <w:spacing w:after="0" w:line="259" w:lineRule="auto"/>
        <w:tabs>
          <w:tab w:leader="none" w:pos="1083"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85" w:lineRule="exact"/>
        <w:rPr>
          <w:rFonts w:ascii="Arial" w:cs="Arial" w:eastAsia="Arial" w:hAnsi="Arial"/>
          <w:sz w:val="19"/>
          <w:szCs w:val="19"/>
          <w:color w:val="auto"/>
        </w:rPr>
      </w:pPr>
    </w:p>
    <w:p>
      <w:pPr>
        <w:ind w:right="180" w:firstLine="626"/>
        <w:spacing w:after="0" w:line="280" w:lineRule="auto"/>
        <w:tabs>
          <w:tab w:leader="none" w:pos="102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54" w:lineRule="exact"/>
        <w:rPr>
          <w:rFonts w:ascii="Arial" w:cs="Arial" w:eastAsia="Arial" w:hAnsi="Arial"/>
          <w:sz w:val="18"/>
          <w:szCs w:val="18"/>
          <w:color w:val="auto"/>
        </w:rPr>
      </w:pPr>
    </w:p>
    <w:p>
      <w:pPr>
        <w:ind w:firstLine="626"/>
        <w:spacing w:after="0" w:line="252" w:lineRule="auto"/>
        <w:tabs>
          <w:tab w:leader="none" w:pos="1029"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Electronic Signature and Delivery</w:t>
      </w:r>
      <w:r>
        <w:rPr>
          <w:rFonts w:ascii="Arial" w:cs="Arial" w:eastAsia="Arial" w:hAnsi="Arial"/>
          <w:sz w:val="19"/>
          <w:szCs w:val="19"/>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91" w:lineRule="exact"/>
        <w:rPr>
          <w:rFonts w:ascii="Arial" w:cs="Arial" w:eastAsia="Arial" w:hAnsi="Arial"/>
          <w:sz w:val="19"/>
          <w:szCs w:val="19"/>
          <w:color w:val="auto"/>
        </w:rPr>
      </w:pPr>
    </w:p>
    <w:p>
      <w:pPr>
        <w:ind w:right="60" w:firstLine="626"/>
        <w:spacing w:after="0" w:line="254" w:lineRule="auto"/>
        <w:tabs>
          <w:tab w:leader="none" w:pos="1029"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18"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420" w:top="425" w:right="259" w:bottom="1440" w:gutter="0" w:footer="0" w:header="0"/>
        </w:sectPr>
      </w:pPr>
    </w:p>
    <w:bookmarkStart w:id="206" w:name="page207"/>
    <w:bookmarkEnd w:id="206"/>
    <w:p>
      <w:pPr>
        <w:spacing w:after="0"/>
        <w:rPr>
          <w:sz w:val="20"/>
          <w:szCs w:val="20"/>
          <w:color w:val="auto"/>
        </w:rPr>
      </w:pPr>
      <w:r>
        <w:rPr>
          <w:rFonts w:ascii="Arial" w:cs="Arial" w:eastAsia="Arial" w:hAnsi="Arial"/>
          <w:sz w:val="15"/>
          <w:szCs w:val="15"/>
          <w:color w:val="242424"/>
        </w:rPr>
        <w:t>IN WITNESS WHEREOF, this Agreement has been executed by the Company and the Participant as of the day first written above.</w:t>
      </w:r>
    </w:p>
    <w:p>
      <w:pPr>
        <w:sectPr>
          <w:pgSz w:w="11900" w:h="16838" w:orient="portrait"/>
          <w:cols w:equalWidth="0" w:num="1">
            <w:col w:w="9200"/>
          </w:cols>
          <w:pgMar w:left="1380" w:top="482" w:right="13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820"/>
        <w:spacing w:after="0"/>
        <w:rPr>
          <w:sz w:val="20"/>
          <w:szCs w:val="20"/>
          <w:color w:val="auto"/>
        </w:rPr>
      </w:pPr>
      <w:r>
        <w:rPr>
          <w:rFonts w:ascii="Arial" w:cs="Arial" w:eastAsia="Arial" w:hAnsi="Arial"/>
          <w:sz w:val="17"/>
          <w:szCs w:val="17"/>
          <w:color w:val="242424"/>
        </w:rPr>
        <w:t>VIRTU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150495</wp:posOffset>
            </wp:positionV>
            <wp:extent cx="2683510" cy="1866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2683510" cy="186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242424"/>
        </w:rPr>
        <w:t>[Signature Page to Restricted Stock Unit and Common Stock Award Agreement]</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200"/>
          </w:cols>
          <w:pgMar w:left="1380" w:top="482" w:right="1319" w:bottom="1440" w:gutter="0" w:footer="0" w:header="0"/>
          <w:type w:val="continuous"/>
        </w:sectPr>
      </w:pPr>
    </w:p>
    <w:bookmarkStart w:id="207" w:name="page208"/>
    <w:bookmarkEnd w:id="207"/>
    <w:p>
      <w:pPr>
        <w:ind w:left="6364"/>
        <w:spacing w:after="0"/>
        <w:rPr>
          <w:sz w:val="20"/>
          <w:szCs w:val="20"/>
          <w:color w:val="auto"/>
        </w:rPr>
      </w:pPr>
      <w:r>
        <w:rPr>
          <w:rFonts w:ascii="Arial" w:cs="Arial" w:eastAsia="Arial" w:hAnsi="Arial"/>
          <w:sz w:val="19"/>
          <w:szCs w:val="19"/>
          <w:b w:val="1"/>
          <w:bCs w:val="1"/>
          <w:u w:val="single" w:color="auto"/>
          <w:color w:val="auto"/>
        </w:rPr>
        <w:t>Exhibit A</w:t>
      </w:r>
    </w:p>
    <w:p>
      <w:pPr>
        <w:spacing w:after="0" w:line="247" w:lineRule="exact"/>
        <w:rPr>
          <w:sz w:val="20"/>
          <w:szCs w:val="20"/>
          <w:color w:val="auto"/>
        </w:rPr>
      </w:pPr>
    </w:p>
    <w:p>
      <w:pPr>
        <w:ind w:left="324" w:hanging="324"/>
        <w:spacing w:after="0"/>
        <w:tabs>
          <w:tab w:leader="none" w:pos="324"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624" w:hanging="309"/>
        <w:spacing w:after="0" w:line="252" w:lineRule="auto"/>
        <w:tabs>
          <w:tab w:leader="none" w:pos="624" w:val="left"/>
        </w:tabs>
        <w:numPr>
          <w:ilvl w:val="1"/>
          <w:numId w:val="216"/>
        </w:numPr>
        <w:rPr>
          <w:rFonts w:ascii="Arial" w:cs="Arial" w:eastAsia="Arial" w:hAnsi="Arial"/>
          <w:sz w:val="19"/>
          <w:szCs w:val="19"/>
          <w:color w:val="auto"/>
        </w:rPr>
      </w:pPr>
      <w:r>
        <w:rPr>
          <w:rFonts w:ascii="Arial" w:cs="Arial" w:eastAsia="Arial" w:hAnsi="Arial"/>
          <w:sz w:val="19"/>
          <w:szCs w:val="19"/>
          <w:color w:val="auto"/>
        </w:rPr>
        <w:t>The Participant shall, and shall direct his or her Affiliates and their respective directors, officers, members, stockholders, partners, employees, attorneys, accountants, consultants, trustees and other advisors (the “</w:t>
      </w:r>
      <w:r>
        <w:rPr>
          <w:rFonts w:ascii="Arial" w:cs="Arial" w:eastAsia="Arial" w:hAnsi="Arial"/>
          <w:sz w:val="19"/>
          <w:szCs w:val="19"/>
          <w:b w:val="1"/>
          <w:bCs w:val="1"/>
          <w:color w:val="auto"/>
        </w:rPr>
        <w:t>Participant Parties</w:t>
      </w:r>
      <w:r>
        <w:rPr>
          <w:rFonts w:ascii="Arial" w:cs="Arial" w:eastAsia="Arial" w:hAnsi="Arial"/>
          <w:sz w:val="19"/>
          <w:szCs w:val="19"/>
          <w:color w:val="auto"/>
        </w:rPr>
        <w:t>”) who have access to Confidential Information to keep confidential and not disclose any Confidential Information to any Person, other than a Participant Party who agrees to keep such Confidential Information confidential in accordance with this Section 1of this Exhibit A, without the express consent of the Company, unless:</w:t>
      </w:r>
    </w:p>
    <w:p>
      <w:pPr>
        <w:spacing w:after="0" w:line="178" w:lineRule="exact"/>
        <w:rPr>
          <w:rFonts w:ascii="Arial" w:cs="Arial" w:eastAsia="Arial" w:hAnsi="Arial"/>
          <w:sz w:val="19"/>
          <w:szCs w:val="19"/>
          <w:color w:val="auto"/>
        </w:rPr>
      </w:pPr>
    </w:p>
    <w:p>
      <w:pPr>
        <w:ind w:left="944" w:hanging="314"/>
        <w:spacing w:after="0"/>
        <w:tabs>
          <w:tab w:leader="none" w:pos="944" w:val="left"/>
        </w:tabs>
        <w:numPr>
          <w:ilvl w:val="2"/>
          <w:numId w:val="216"/>
        </w:numPr>
        <w:rPr>
          <w:rFonts w:ascii="Arial" w:cs="Arial" w:eastAsia="Arial" w:hAnsi="Arial"/>
          <w:sz w:val="19"/>
          <w:szCs w:val="19"/>
          <w:color w:val="auto"/>
        </w:rPr>
      </w:pPr>
      <w:r>
        <w:rPr>
          <w:rFonts w:ascii="Arial" w:cs="Arial" w:eastAsia="Arial" w:hAnsi="Arial"/>
          <w:sz w:val="19"/>
          <w:szCs w:val="19"/>
          <w:color w:val="auto"/>
        </w:rPr>
        <w:t>such disclosure shall be required by applicable law;</w:t>
      </w:r>
    </w:p>
    <w:p>
      <w:pPr>
        <w:spacing w:after="0" w:line="227" w:lineRule="exact"/>
        <w:rPr>
          <w:rFonts w:ascii="Arial" w:cs="Arial" w:eastAsia="Arial" w:hAnsi="Arial"/>
          <w:sz w:val="19"/>
          <w:szCs w:val="19"/>
          <w:color w:val="auto"/>
        </w:rPr>
      </w:pPr>
    </w:p>
    <w:p>
      <w:pPr>
        <w:ind w:left="944" w:hanging="314"/>
        <w:spacing w:after="0"/>
        <w:tabs>
          <w:tab w:leader="none" w:pos="944" w:val="left"/>
        </w:tabs>
        <w:numPr>
          <w:ilvl w:val="2"/>
          <w:numId w:val="216"/>
        </w:numPr>
        <w:rPr>
          <w:rFonts w:ascii="Arial" w:cs="Arial" w:eastAsia="Arial" w:hAnsi="Arial"/>
          <w:sz w:val="19"/>
          <w:szCs w:val="19"/>
          <w:color w:val="auto"/>
        </w:rPr>
      </w:pPr>
      <w:r>
        <w:rPr>
          <w:rFonts w:ascii="Arial" w:cs="Arial" w:eastAsia="Arial" w:hAnsi="Arial"/>
          <w:sz w:val="19"/>
          <w:szCs w:val="19"/>
          <w:color w:val="auto"/>
        </w:rPr>
        <w:t>such disclosure is reasonably required in connection with any tax audit involving the Company or its Affiliates;</w:t>
      </w:r>
    </w:p>
    <w:p>
      <w:pPr>
        <w:spacing w:after="0" w:line="214" w:lineRule="exact"/>
        <w:rPr>
          <w:rFonts w:ascii="Arial" w:cs="Arial" w:eastAsia="Arial" w:hAnsi="Arial"/>
          <w:sz w:val="19"/>
          <w:szCs w:val="19"/>
          <w:color w:val="auto"/>
        </w:rPr>
      </w:pPr>
    </w:p>
    <w:p>
      <w:pPr>
        <w:ind w:left="944" w:hanging="314"/>
        <w:spacing w:after="0"/>
        <w:tabs>
          <w:tab w:leader="none" w:pos="944" w:val="left"/>
        </w:tabs>
        <w:numPr>
          <w:ilvl w:val="2"/>
          <w:numId w:val="216"/>
        </w:numPr>
        <w:rPr>
          <w:rFonts w:ascii="Arial" w:cs="Arial" w:eastAsia="Arial" w:hAnsi="Arial"/>
          <w:sz w:val="19"/>
          <w:szCs w:val="19"/>
          <w:color w:val="auto"/>
        </w:rPr>
      </w:pPr>
      <w:r>
        <w:rPr>
          <w:rFonts w:ascii="Arial" w:cs="Arial" w:eastAsia="Arial" w:hAnsi="Arial"/>
          <w:sz w:val="19"/>
          <w:szCs w:val="19"/>
          <w:color w:val="auto"/>
        </w:rPr>
        <w:t>such disclosure is reasonably required in connection with any litigation against or involving the Company; or</w:t>
      </w:r>
    </w:p>
    <w:p>
      <w:pPr>
        <w:spacing w:after="0" w:line="227" w:lineRule="exact"/>
        <w:rPr>
          <w:rFonts w:ascii="Arial" w:cs="Arial" w:eastAsia="Arial" w:hAnsi="Arial"/>
          <w:sz w:val="19"/>
          <w:szCs w:val="19"/>
          <w:color w:val="auto"/>
        </w:rPr>
      </w:pPr>
    </w:p>
    <w:p>
      <w:pPr>
        <w:ind w:left="944" w:hanging="314"/>
        <w:spacing w:after="0" w:line="252" w:lineRule="auto"/>
        <w:tabs>
          <w:tab w:leader="none" w:pos="944" w:val="left"/>
        </w:tabs>
        <w:numPr>
          <w:ilvl w:val="2"/>
          <w:numId w:val="216"/>
        </w:numPr>
        <w:rPr>
          <w:rFonts w:ascii="Arial" w:cs="Arial" w:eastAsia="Arial" w:hAnsi="Arial"/>
          <w:sz w:val="19"/>
          <w:szCs w:val="19"/>
          <w:color w:val="auto"/>
        </w:rPr>
      </w:pPr>
      <w:r>
        <w:rPr>
          <w:rFonts w:ascii="Arial" w:cs="Arial" w:eastAsia="Arial" w:hAnsi="Arial"/>
          <w:sz w:val="19"/>
          <w:szCs w:val="19"/>
          <w:color w:val="auto"/>
        </w:rPr>
        <w:t xml:space="preserve">such disclosure is reasonably required in connection with any proposed Transfer of all or any part of the Participant’s Shares or RSUs;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use of any Confidential Information referred to in this clause (iv), advance notice must be given to the Company so that it may require any proposed transferee to enter into a confidentiality agreement with terms substantially similar to the terms of this Section 1 of this Exhibit A (excluding this clause (iv)) prior to the disclosure of such Confidential Information.</w:t>
      </w:r>
    </w:p>
    <w:p>
      <w:pPr>
        <w:spacing w:after="0" w:line="178" w:lineRule="exact"/>
        <w:rPr>
          <w:rFonts w:ascii="Arial" w:cs="Arial" w:eastAsia="Arial" w:hAnsi="Arial"/>
          <w:sz w:val="19"/>
          <w:szCs w:val="19"/>
          <w:color w:val="auto"/>
        </w:rPr>
      </w:pPr>
    </w:p>
    <w:p>
      <w:pPr>
        <w:ind w:left="624" w:hanging="309"/>
        <w:spacing w:after="0" w:line="249" w:lineRule="auto"/>
        <w:tabs>
          <w:tab w:leader="none" w:pos="624" w:val="left"/>
        </w:tabs>
        <w:numPr>
          <w:ilvl w:val="1"/>
          <w:numId w:val="216"/>
        </w:numPr>
        <w:rPr>
          <w:rFonts w:ascii="Arial" w:cs="Arial" w:eastAsia="Arial" w:hAnsi="Arial"/>
          <w:sz w:val="19"/>
          <w:szCs w:val="19"/>
          <w:color w:val="auto"/>
        </w:rPr>
      </w:pPr>
      <w:r>
        <w:rPr>
          <w:rFonts w:ascii="Arial" w:cs="Arial" w:eastAsia="Arial" w:hAnsi="Arial"/>
          <w:sz w:val="19"/>
          <w:szCs w:val="19"/>
          <w:color w:val="auto"/>
        </w:rPr>
        <w:t>In the event that the Participant or any Participant Party is required to disclose any of the Confidential Information, the Participant shall use reasonable efforts to provide the Company with prompt written notice so that the Company may seek a protective order or other appropriate remedy and/or waive compliance with the provisions of this Agreement, and the Participant shall use reasonable efforts to cooperate with the Company in any effort the Company undertakes to obtain a protective order or other remedy. In the event that such protective order or other remedy is not obtained, or that the Company waives compliance with the provisions of this Section 1 of Exhibit A, the Participant and the Participant Parties shall furnish only that portion of the Confidential Information that is legally required and shall exercise all reasonable efforts to obtain reasonably reliable assurance that the Confidential Information shall be accorded confidential treatment.</w:t>
      </w:r>
    </w:p>
    <w:p>
      <w:pPr>
        <w:spacing w:after="0" w:line="181" w:lineRule="exact"/>
        <w:rPr>
          <w:rFonts w:ascii="Arial" w:cs="Arial" w:eastAsia="Arial" w:hAnsi="Arial"/>
          <w:sz w:val="19"/>
          <w:szCs w:val="19"/>
          <w:color w:val="auto"/>
        </w:rPr>
      </w:pPr>
    </w:p>
    <w:p>
      <w:pPr>
        <w:ind w:left="624" w:right="80" w:hanging="309"/>
        <w:spacing w:after="0" w:line="274" w:lineRule="auto"/>
        <w:tabs>
          <w:tab w:leader="none" w:pos="624" w:val="left"/>
        </w:tabs>
        <w:numPr>
          <w:ilvl w:val="1"/>
          <w:numId w:val="216"/>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Participant may disclose to any subsequent employer the restrictions to which the Participant is subject to pursuant to this Agreement.</w:t>
      </w:r>
    </w:p>
    <w:p>
      <w:pPr>
        <w:spacing w:after="0" w:line="170" w:lineRule="exact"/>
        <w:rPr>
          <w:rFonts w:ascii="Arial" w:cs="Arial" w:eastAsia="Arial" w:hAnsi="Arial"/>
          <w:sz w:val="19"/>
          <w:szCs w:val="19"/>
          <w:color w:val="auto"/>
        </w:rPr>
      </w:pPr>
    </w:p>
    <w:p>
      <w:pPr>
        <w:ind w:left="324" w:hanging="324"/>
        <w:spacing w:after="0"/>
        <w:tabs>
          <w:tab w:leader="none" w:pos="324"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Non-Compete; Non-Solicit; Non-Disparagement</w:t>
      </w:r>
      <w:r>
        <w:rPr>
          <w:rFonts w:ascii="Arial" w:cs="Arial" w:eastAsia="Arial" w:hAnsi="Arial"/>
          <w:sz w:val="19"/>
          <w:szCs w:val="19"/>
          <w:color w:val="auto"/>
        </w:rPr>
        <w:t>. During the Restrictive Covenant Period, the Participant:</w:t>
      </w:r>
    </w:p>
    <w:p>
      <w:pPr>
        <w:spacing w:after="0" w:line="227" w:lineRule="exact"/>
        <w:rPr>
          <w:rFonts w:ascii="Arial" w:cs="Arial" w:eastAsia="Arial" w:hAnsi="Arial"/>
          <w:sz w:val="19"/>
          <w:szCs w:val="19"/>
          <w:color w:val="auto"/>
        </w:rPr>
      </w:pPr>
    </w:p>
    <w:p>
      <w:pPr>
        <w:ind w:left="624" w:hanging="309"/>
        <w:spacing w:after="0"/>
        <w:tabs>
          <w:tab w:leader="none" w:pos="624" w:val="left"/>
        </w:tabs>
        <w:numPr>
          <w:ilvl w:val="1"/>
          <w:numId w:val="216"/>
        </w:numPr>
        <w:rPr>
          <w:rFonts w:ascii="Arial" w:cs="Arial" w:eastAsia="Arial" w:hAnsi="Arial"/>
          <w:sz w:val="19"/>
          <w:szCs w:val="19"/>
          <w:color w:val="auto"/>
        </w:rPr>
      </w:pPr>
      <w:r>
        <w:rPr>
          <w:rFonts w:ascii="Arial" w:cs="Arial" w:eastAsia="Arial" w:hAnsi="Arial"/>
          <w:sz w:val="19"/>
          <w:szCs w:val="19"/>
          <w:color w:val="auto"/>
        </w:rPr>
        <w:t>shall not directly or indirectly engage in any Competitive Activity;</w:t>
      </w:r>
    </w:p>
    <w:p>
      <w:pPr>
        <w:spacing w:after="0" w:line="227" w:lineRule="exact"/>
        <w:rPr>
          <w:rFonts w:ascii="Arial" w:cs="Arial" w:eastAsia="Arial" w:hAnsi="Arial"/>
          <w:sz w:val="19"/>
          <w:szCs w:val="19"/>
          <w:color w:val="auto"/>
        </w:rPr>
      </w:pPr>
    </w:p>
    <w:p>
      <w:pPr>
        <w:ind w:left="624" w:right="20" w:hanging="309"/>
        <w:spacing w:after="0" w:line="274" w:lineRule="auto"/>
        <w:tabs>
          <w:tab w:leader="none" w:pos="624" w:val="left"/>
        </w:tabs>
        <w:numPr>
          <w:ilvl w:val="1"/>
          <w:numId w:val="216"/>
        </w:numPr>
        <w:rPr>
          <w:rFonts w:ascii="Arial" w:cs="Arial" w:eastAsia="Arial" w:hAnsi="Arial"/>
          <w:sz w:val="19"/>
          <w:szCs w:val="19"/>
          <w:color w:val="auto"/>
        </w:rPr>
      </w:pPr>
      <w:r>
        <w:rPr>
          <w:rFonts w:ascii="Arial" w:cs="Arial" w:eastAsia="Arial" w:hAnsi="Arial"/>
          <w:sz w:val="19"/>
          <w:szCs w:val="19"/>
          <w:color w:val="auto"/>
        </w:rPr>
        <w:t>shall not directly or indirectly solicit, or assist any other Person to solicit, as an employee or consultant, any employee, former employee or member of the Company, Virtu Financial LLC or any of their respective Affiliates (the “</w:t>
      </w:r>
      <w:r>
        <w:rPr>
          <w:rFonts w:ascii="Arial" w:cs="Arial" w:eastAsia="Arial" w:hAnsi="Arial"/>
          <w:sz w:val="19"/>
          <w:szCs w:val="19"/>
          <w:b w:val="1"/>
          <w:bCs w:val="1"/>
          <w:color w:val="auto"/>
        </w:rPr>
        <w:t>Company Parties</w:t>
      </w:r>
      <w:r>
        <w:rPr>
          <w:rFonts w:ascii="Arial" w:cs="Arial" w:eastAsia="Arial" w:hAnsi="Arial"/>
          <w:sz w:val="19"/>
          <w:szCs w:val="19"/>
          <w:color w:val="auto"/>
        </w:rPr>
        <w:t>”);</w:t>
      </w:r>
    </w:p>
    <w:p>
      <w:pPr>
        <w:spacing w:after="0" w:line="398" w:lineRule="exact"/>
        <w:rPr>
          <w:sz w:val="20"/>
          <w:szCs w:val="20"/>
          <w:color w:val="auto"/>
        </w:rPr>
      </w:pPr>
    </w:p>
    <w:p>
      <w:pPr>
        <w:jc w:val="center"/>
        <w:ind w:right="56"/>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44"/>
          </w:cols>
          <w:pgMar w:left="416" w:top="419" w:right="339" w:bottom="1440" w:gutter="0" w:footer="0" w:header="0"/>
        </w:sectPr>
      </w:pPr>
    </w:p>
    <w:bookmarkStart w:id="208" w:name="page209"/>
    <w:bookmarkEnd w:id="208"/>
    <w:p>
      <w:pPr>
        <w:ind w:left="624" w:right="120" w:hanging="309"/>
        <w:spacing w:after="0" w:line="274" w:lineRule="auto"/>
        <w:tabs>
          <w:tab w:leader="none" w:pos="624" w:val="left"/>
        </w:tabs>
        <w:numPr>
          <w:ilvl w:val="1"/>
          <w:numId w:val="217"/>
        </w:numPr>
        <w:rPr>
          <w:rFonts w:ascii="Arial" w:cs="Arial" w:eastAsia="Arial" w:hAnsi="Arial"/>
          <w:sz w:val="19"/>
          <w:szCs w:val="19"/>
          <w:color w:val="auto"/>
        </w:rPr>
      </w:pPr>
      <w:r>
        <w:rPr>
          <w:rFonts w:ascii="Arial" w:cs="Arial" w:eastAsia="Arial" w:hAnsi="Arial"/>
          <w:sz w:val="19"/>
          <w:szCs w:val="19"/>
          <w:color w:val="auto"/>
        </w:rPr>
        <w:t>shall not, and shall cause his or her controlled Affiliates not to, hire, or assist any other Person to hire, as an employee or consultant, any employee, former employee, member or retired member of the Company Parties; and</w:t>
      </w:r>
    </w:p>
    <w:p>
      <w:pPr>
        <w:spacing w:after="0" w:line="157" w:lineRule="exact"/>
        <w:rPr>
          <w:rFonts w:ascii="Arial" w:cs="Arial" w:eastAsia="Arial" w:hAnsi="Arial"/>
          <w:sz w:val="19"/>
          <w:szCs w:val="19"/>
          <w:color w:val="auto"/>
        </w:rPr>
      </w:pPr>
    </w:p>
    <w:p>
      <w:pPr>
        <w:ind w:left="624" w:right="140" w:hanging="309"/>
        <w:spacing w:after="0" w:line="252" w:lineRule="auto"/>
        <w:tabs>
          <w:tab w:leader="none" w:pos="624" w:val="left"/>
        </w:tabs>
        <w:numPr>
          <w:ilvl w:val="1"/>
          <w:numId w:val="217"/>
        </w:numPr>
        <w:rPr>
          <w:rFonts w:ascii="Arial" w:cs="Arial" w:eastAsia="Arial" w:hAnsi="Arial"/>
          <w:sz w:val="19"/>
          <w:szCs w:val="19"/>
          <w:color w:val="auto"/>
        </w:rPr>
      </w:pPr>
      <w:r>
        <w:rPr>
          <w:rFonts w:ascii="Arial" w:cs="Arial" w:eastAsia="Arial" w:hAnsi="Arial"/>
          <w:sz w:val="19"/>
          <w:szCs w:val="19"/>
          <w:color w:val="auto"/>
        </w:rPr>
        <w:t xml:space="preserve">shall not take, and shall take reasonable steps to cause his or her Affiliates not to take, any action or make any public statement, whether or not in writing, that disparages or denigrates the Company Parties or their respective directors, officers, employees, members, representatives and agents;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Section 2(d) of this Exhibit A shall prevent the Participant from (i) testifying truthfully in any legal or administrative proceeding if such testimony is compelled or requested or (ii) complying with applicable legal requirements.</w:t>
      </w:r>
    </w:p>
    <w:p>
      <w:pPr>
        <w:spacing w:after="0" w:line="178" w:lineRule="exact"/>
        <w:rPr>
          <w:rFonts w:ascii="Arial" w:cs="Arial" w:eastAsia="Arial" w:hAnsi="Arial"/>
          <w:sz w:val="19"/>
          <w:szCs w:val="19"/>
          <w:color w:val="auto"/>
        </w:rPr>
      </w:pPr>
    </w:p>
    <w:p>
      <w:pPr>
        <w:ind w:left="324" w:right="80" w:hanging="324"/>
        <w:spacing w:after="0" w:line="279" w:lineRule="auto"/>
        <w:tabs>
          <w:tab w:leader="none" w:pos="324"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Enforcement of Covenants.</w:t>
      </w:r>
      <w:r>
        <w:rPr>
          <w:rFonts w:ascii="Arial" w:cs="Arial" w:eastAsia="Arial" w:hAnsi="Arial"/>
          <w:sz w:val="17"/>
          <w:szCs w:val="17"/>
          <w:color w:val="auto"/>
        </w:rPr>
        <w:t xml:space="preserve"> The Participant agrees that (i) the agreements and covenants contained in Section 2 of this Exhibit A are reasonable in scope and duration and necessary to protect and preserve the Company Parties’ legitimate business interests and to prevent any unfair advantage conferred on the Participant taking into account, and in specific consideration of, the undertakings and obligations of the parties under the Agreement, (ii) but for the Participant’s agreement to be bound by the agreements and covenants contained under Section 2 of this Exhibit A, the Company Parties would not have entered into or consummated those transactions contemplated by the Agreement, and</w:t>
      </w:r>
    </w:p>
    <w:p>
      <w:pPr>
        <w:spacing w:after="0" w:line="2" w:lineRule="exact"/>
        <w:rPr>
          <w:sz w:val="20"/>
          <w:szCs w:val="20"/>
          <w:color w:val="auto"/>
        </w:rPr>
      </w:pPr>
    </w:p>
    <w:p>
      <w:pPr>
        <w:ind w:left="324" w:right="120" w:hanging="9"/>
        <w:spacing w:after="0" w:line="304" w:lineRule="auto"/>
        <w:tabs>
          <w:tab w:leader="none" w:pos="993" w:val="left"/>
        </w:tabs>
        <w:numPr>
          <w:ilvl w:val="1"/>
          <w:numId w:val="219"/>
        </w:numPr>
        <w:rPr>
          <w:rFonts w:ascii="Arial" w:cs="Arial" w:eastAsia="Arial" w:hAnsi="Arial"/>
          <w:sz w:val="17"/>
          <w:szCs w:val="17"/>
          <w:color w:val="auto"/>
        </w:rPr>
      </w:pPr>
      <w:r>
        <w:rPr>
          <w:rFonts w:ascii="Arial" w:cs="Arial" w:eastAsia="Arial" w:hAnsi="Arial"/>
          <w:sz w:val="17"/>
          <w:szCs w:val="17"/>
          <w:color w:val="auto"/>
        </w:rPr>
        <w:t>irreparable harm would result to the Company Parties as a result of a violation or breach (or potential violation or breach) by the Participant (or his or her Affiliates) of Section 2 of this Exhibit A and the Company Parties shall have the right to specifically enforce the provisions of Section 2 of this Exhibit A in any federal court located in the State of Delaware or any Delaware state court, in addition to any other remedy to which they are entitled at law or in equity. If a final judgment of a court of competent jurisdiction or other Governmental Authority determines that any term, provision, covenant or restriction contained in Section 2 of this Exhibit A is invalid or unenforceable, then the parties hereto agree that the court of competent jurisdiction or other Governmental Authority will have the power to modify Section</w:t>
      </w:r>
    </w:p>
    <w:p>
      <w:pPr>
        <w:spacing w:after="0" w:line="1" w:lineRule="exact"/>
        <w:rPr>
          <w:rFonts w:ascii="Arial" w:cs="Arial" w:eastAsia="Arial" w:hAnsi="Arial"/>
          <w:sz w:val="17"/>
          <w:szCs w:val="17"/>
          <w:color w:val="auto"/>
        </w:rPr>
      </w:pPr>
    </w:p>
    <w:p>
      <w:pPr>
        <w:ind w:left="324"/>
        <w:spacing w:after="0" w:line="296" w:lineRule="auto"/>
        <w:rPr>
          <w:rFonts w:ascii="Arial" w:cs="Arial" w:eastAsia="Arial" w:hAnsi="Arial"/>
          <w:sz w:val="17"/>
          <w:szCs w:val="17"/>
          <w:color w:val="auto"/>
        </w:rPr>
      </w:pPr>
      <w:r>
        <w:rPr>
          <w:rFonts w:ascii="Arial" w:cs="Arial" w:eastAsia="Arial" w:hAnsi="Arial"/>
          <w:sz w:val="18"/>
          <w:szCs w:val="18"/>
          <w:color w:val="auto"/>
        </w:rPr>
        <w:t>2 of this Exhibit A (including by reducing the scope, duration or geographic area of the term or provision, deleting specific words or phrases or replacing any invalid or unenforceable term or provision with a term or provision that is valid and enforceable and that comes closest to expressing the intention of the invalid or unenforceable term or provision) so as to effect the original intention of the invalid or unenforceable term or provision. To the fullest extent permitted by law, in the event that any proceeding is brought under or in connection with Section 2 of this Exhibit A, the prevailing party in such proceeding (whether at final or on appeal) shall be entitled to recover from the other party all costs, expenses, and reasonable attorneys’ fees incident to any such proceeding. The term “prevailing party” as used herein means the party in whose favor the final judgment or award is entered in any such proceeding.</w:t>
      </w:r>
    </w:p>
    <w:p>
      <w:pPr>
        <w:spacing w:after="0" w:line="155" w:lineRule="exact"/>
        <w:rPr>
          <w:rFonts w:ascii="Arial" w:cs="Arial" w:eastAsia="Arial" w:hAnsi="Arial"/>
          <w:sz w:val="17"/>
          <w:szCs w:val="17"/>
          <w:color w:val="auto"/>
        </w:rPr>
      </w:pPr>
    </w:p>
    <w:p>
      <w:pPr>
        <w:ind w:left="324" w:hanging="324"/>
        <w:spacing w:after="0"/>
        <w:tabs>
          <w:tab w:leader="none" w:pos="324"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w:t>
      </w:r>
    </w:p>
    <w:p>
      <w:pPr>
        <w:spacing w:after="0" w:line="209" w:lineRule="exact"/>
        <w:rPr>
          <w:sz w:val="20"/>
          <w:szCs w:val="20"/>
          <w:color w:val="auto"/>
        </w:rPr>
      </w:pPr>
    </w:p>
    <w:p>
      <w:pPr>
        <w:ind w:left="624" w:right="40" w:hanging="309"/>
        <w:spacing w:after="0" w:line="249" w:lineRule="auto"/>
        <w:tabs>
          <w:tab w:leader="none" w:pos="624" w:val="left"/>
        </w:tabs>
        <w:numPr>
          <w:ilvl w:val="0"/>
          <w:numId w:val="2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Algorithmic Liquidity Trading</w:t>
      </w:r>
      <w:r>
        <w:rPr>
          <w:rFonts w:ascii="Arial" w:cs="Arial" w:eastAsia="Arial" w:hAnsi="Arial"/>
          <w:sz w:val="19"/>
          <w:szCs w:val="19"/>
          <w:color w:val="auto"/>
        </w:rPr>
        <w:t>” means trading Financial Assets through the use of an electronically automated trading system that generates order sets (which, for purposes of clarity, can consist of a single order) with the intention of (i) creating profit by providing two-sided liquidity to the market, (ii) making a profit margin consistent with the business of making the bid- offer spread or less per unit of the Financial Asset(s) being traded (including by providing either one-sided or two sided liquidity to the market), or (iii) creating Simultaneous order sets that are generated with the intention of locking in an Arbitrage profit. For the avoidance of doubt, “Algorithmic Liquidity Trading” does not include trading in which an Order or Orders are manually generated and submitted for execution by a natural person (including, without limitation, Stop Orders, Limit Orders, Volume-Weighted Average Price Orders and other common Order types that may involve multiple instructions to a third party and which may involve such third party employing an algorithm in executing the Order provided the algorithm</w:t>
      </w:r>
    </w:p>
    <w:p>
      <w:pPr>
        <w:spacing w:after="0" w:line="201" w:lineRule="exact"/>
        <w:rPr>
          <w:sz w:val="20"/>
          <w:szCs w:val="20"/>
          <w:color w:val="auto"/>
        </w:rPr>
      </w:pPr>
    </w:p>
    <w:p>
      <w:pPr>
        <w:jc w:val="center"/>
        <w:ind w:right="156"/>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4"/>
          </w:cols>
          <w:pgMar w:left="416" w:top="425" w:right="239" w:bottom="1440" w:gutter="0" w:footer="0" w:header="0"/>
        </w:sectPr>
      </w:pPr>
    </w:p>
    <w:bookmarkStart w:id="209" w:name="page210"/>
    <w:bookmarkEnd w:id="209"/>
    <w:p>
      <w:pPr>
        <w:ind w:left="309" w:right="20"/>
        <w:spacing w:after="0" w:line="274" w:lineRule="auto"/>
        <w:rPr>
          <w:sz w:val="20"/>
          <w:szCs w:val="20"/>
          <w:color w:val="auto"/>
        </w:rPr>
      </w:pPr>
      <w:r>
        <w:rPr>
          <w:rFonts w:ascii="Arial" w:cs="Arial" w:eastAsia="Arial" w:hAnsi="Arial"/>
          <w:sz w:val="19"/>
          <w:szCs w:val="19"/>
          <w:color w:val="auto"/>
        </w:rPr>
        <w:t>executes only on one side of the market as a “buy” or “sell” Order, and including a portfolio- rebalancing Order (which for the avoidance of doubt may involve both a “buy” and a “sell” component within a single Order)).</w:t>
      </w:r>
    </w:p>
    <w:p>
      <w:pPr>
        <w:spacing w:after="0" w:line="151" w:lineRule="exact"/>
        <w:rPr>
          <w:sz w:val="20"/>
          <w:szCs w:val="20"/>
          <w:color w:val="auto"/>
        </w:rPr>
      </w:pPr>
    </w:p>
    <w:p>
      <w:pPr>
        <w:ind w:left="309" w:hanging="309"/>
        <w:spacing w:after="0"/>
        <w:tabs>
          <w:tab w:leader="none" w:pos="309" w:val="left"/>
        </w:tabs>
        <w:numPr>
          <w:ilvl w:val="0"/>
          <w:numId w:val="2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Arbitrage</w:t>
      </w:r>
      <w:r>
        <w:rPr>
          <w:rFonts w:ascii="Arial" w:cs="Arial" w:eastAsia="Arial" w:hAnsi="Arial"/>
          <w:sz w:val="19"/>
          <w:szCs w:val="19"/>
          <w:color w:val="auto"/>
        </w:rPr>
        <w:t>” means arbitrage consistent with the practice of high frequency trading.</w:t>
      </w:r>
    </w:p>
    <w:p>
      <w:pPr>
        <w:spacing w:after="0" w:line="214" w:lineRule="exact"/>
        <w:rPr>
          <w:rFonts w:ascii="Arial" w:cs="Arial" w:eastAsia="Arial" w:hAnsi="Arial"/>
          <w:sz w:val="19"/>
          <w:szCs w:val="19"/>
          <w:color w:val="auto"/>
        </w:rPr>
      </w:pPr>
    </w:p>
    <w:p>
      <w:pPr>
        <w:ind w:left="309" w:hanging="309"/>
        <w:spacing w:after="0" w:line="287" w:lineRule="auto"/>
        <w:tabs>
          <w:tab w:leader="none" w:pos="3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Competitive Activity</w:t>
      </w:r>
      <w:r>
        <w:rPr>
          <w:rFonts w:ascii="Arial" w:cs="Arial" w:eastAsia="Arial" w:hAnsi="Arial"/>
          <w:sz w:val="17"/>
          <w:szCs w:val="17"/>
          <w:color w:val="auto"/>
        </w:rPr>
        <w:t>” means (i) serving as a director, officer, employee, trader, manager, consultant, agent or advisor of, or otherwise directly or through an Affiliate providing services to a Competitive Enterprise; (ii) designing or developing any Competitive Technology;</w:t>
      </w:r>
    </w:p>
    <w:p>
      <w:pPr>
        <w:ind w:left="309" w:right="360" w:firstLine="6"/>
        <w:spacing w:after="0" w:line="248" w:lineRule="auto"/>
        <w:tabs>
          <w:tab w:leader="none" w:pos="646" w:val="left"/>
        </w:tabs>
        <w:numPr>
          <w:ilvl w:val="1"/>
          <w:numId w:val="222"/>
        </w:numPr>
        <w:rPr>
          <w:rFonts w:ascii="Arial" w:cs="Arial" w:eastAsia="Arial" w:hAnsi="Arial"/>
          <w:sz w:val="19"/>
          <w:szCs w:val="19"/>
          <w:color w:val="auto"/>
        </w:rPr>
      </w:pPr>
      <w:r>
        <w:rPr>
          <w:rFonts w:ascii="Arial" w:cs="Arial" w:eastAsia="Arial" w:hAnsi="Arial"/>
          <w:sz w:val="19"/>
          <w:szCs w:val="19"/>
          <w:color w:val="auto"/>
        </w:rPr>
        <w:t>directly or through an Affiliate (A) engaging in Strategy Competition or (B) retaining or otherwise engaging any other Person to undertake any of the actions described in clauses (i), (ii), (iii)(A) or</w:t>
      </w:r>
    </w:p>
    <w:p>
      <w:pPr>
        <w:ind w:left="309" w:right="20" w:firstLine="6"/>
        <w:spacing w:after="0" w:line="308" w:lineRule="auto"/>
        <w:tabs>
          <w:tab w:leader="none" w:pos="902" w:val="left"/>
        </w:tabs>
        <w:numPr>
          <w:ilvl w:val="1"/>
          <w:numId w:val="222"/>
        </w:numPr>
        <w:rPr>
          <w:rFonts w:ascii="Arial" w:cs="Arial" w:eastAsia="Arial" w:hAnsi="Arial"/>
          <w:sz w:val="17"/>
          <w:szCs w:val="17"/>
          <w:color w:val="auto"/>
        </w:rPr>
      </w:pPr>
      <w:r>
        <w:rPr>
          <w:rFonts w:ascii="Arial" w:cs="Arial" w:eastAsia="Arial" w:hAnsi="Arial"/>
          <w:sz w:val="17"/>
          <w:szCs w:val="17"/>
          <w:color w:val="auto"/>
        </w:rPr>
        <w:t>of this definition; (iv) serving as a director, officer, employee, trader, manager, consultant, agent or advisor of, or otherwise directly or through an Affiliate providing services to any business, financial institution, investment bank or other business enterprise (in any form, including without limitation as a corporation, partnership, limited liability company or other Person) that is, or whose Affiliate is, engaged in Strategy Competition, in each case except in a capacity that does not involve or require the Participant to engage in any activities described in clauses (i), (ii) or (iii) of this definition above or have any direct management oversight of or involvement in Strategy Competition; (v) acquiring directly or through an Affiliate in the aggregate directly or beneficially, whether as a shareholder, partner, member or otherwise, any equity (including stock options or warrants, whether or not exercisable), voting or profit participation interests (collectively, “</w:t>
      </w:r>
      <w:r>
        <w:rPr>
          <w:rFonts w:ascii="Arial" w:cs="Arial" w:eastAsia="Arial" w:hAnsi="Arial"/>
          <w:sz w:val="17"/>
          <w:szCs w:val="17"/>
          <w:b w:val="1"/>
          <w:bCs w:val="1"/>
          <w:color w:val="auto"/>
        </w:rPr>
        <w:t>Ownership Interests</w:t>
      </w:r>
      <w:r>
        <w:rPr>
          <w:rFonts w:ascii="Arial" w:cs="Arial" w:eastAsia="Arial" w:hAnsi="Arial"/>
          <w:sz w:val="17"/>
          <w:szCs w:val="17"/>
          <w:color w:val="auto"/>
        </w:rPr>
        <w:t xml:space="preserve">”) in a Competitive Enterprise, or any derivative where the reference asset is an Ownership Interest in a Competitive Enterprise, other than a passive investment of not more than, as calculated at the time of acquisition (but after giving effect to any transaction or transactions to occur in connection with such acquisition), 1% (measured by voting power or value, whichever is greater) of the fully diluted Ownership Interests of a Competitive Enterprise (for the avoidance of doubt, such percentage interest shall be calculated based on the Participant’s percentage of direct and indirect ownership of the Competitive Enterprise and not any intermediary, such as a holding company or partnership) (it being understood that this clause (v) shall not apply to prohibit the holding of an Ownership Interest if, at the time of acquisition of such Ownership Interest, the Person in which such direct or indirect Ownership Interest is acquired is not a Competitive Enterprise and the Participant is not aware at the time of such acquisition, after reasonable inquiry, that such Person has any plans to become a Competitive Enterprise); or (vi) directly or through an Affiliate owning any Ownership Interests in any Person listed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of this Exhibit A (or any parent company or entity of a Person listed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of this Exhibit A or any successors thereto, other than a parent company or entity that is not a Competitive Enterprise) (a “</w:t>
      </w:r>
      <w:r>
        <w:rPr>
          <w:rFonts w:ascii="Arial" w:cs="Arial" w:eastAsia="Arial" w:hAnsi="Arial"/>
          <w:sz w:val="17"/>
          <w:szCs w:val="17"/>
          <w:b w:val="1"/>
          <w:bCs w:val="1"/>
          <w:color w:val="auto"/>
        </w:rPr>
        <w:t>Restricted Investment</w:t>
      </w:r>
      <w:r>
        <w:rPr>
          <w:rFonts w:ascii="Arial" w:cs="Arial" w:eastAsia="Arial" w:hAnsi="Arial"/>
          <w:sz w:val="17"/>
          <w:szCs w:val="17"/>
          <w:color w:val="auto"/>
        </w:rPr>
        <w:t>”), or any derivative where the reference asset is an Ownership Interest in a Restricted Investment, except to the extent such Ownership Interests or derivatives are held through an index fund, an exchange traded fund, a mutual fund, hedge fund, or other form of collective investment or fund, or through a managed account, in each case, where a third party that is not affiliated with the Participant exercises sole investment discretion in respect of such fund or account and such third party has not disclosed at the time the Participant makes his or her investment that it holds or intends to hold any Ownership Interests in a Restricted Investment.</w:t>
      </w:r>
    </w:p>
    <w:p>
      <w:pPr>
        <w:spacing w:after="0" w:line="147" w:lineRule="exact"/>
        <w:rPr>
          <w:rFonts w:ascii="Arial" w:cs="Arial" w:eastAsia="Arial" w:hAnsi="Arial"/>
          <w:sz w:val="17"/>
          <w:szCs w:val="17"/>
          <w:color w:val="auto"/>
        </w:rPr>
      </w:pPr>
    </w:p>
    <w:p>
      <w:pPr>
        <w:ind w:left="309" w:right="120" w:hanging="309"/>
        <w:spacing w:after="0" w:line="287" w:lineRule="auto"/>
        <w:tabs>
          <w:tab w:leader="none" w:pos="3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Competitive Enterprise</w:t>
      </w:r>
      <w:r>
        <w:rPr>
          <w:rFonts w:ascii="Arial" w:cs="Arial" w:eastAsia="Arial" w:hAnsi="Arial"/>
          <w:sz w:val="17"/>
          <w:szCs w:val="17"/>
          <w:color w:val="auto"/>
        </w:rPr>
        <w:t>” means any Person or business enterprise (in any form, including without limitation as a corporation, partnership, limited liability company or other Person), or subsidiary, division, unit, group or portion thereof, whose primary business is</w:t>
      </w:r>
    </w:p>
    <w:p>
      <w:pPr>
        <w:jc w:val="both"/>
        <w:ind w:left="309" w:right="60"/>
        <w:spacing w:after="0" w:line="251" w:lineRule="auto"/>
        <w:rPr>
          <w:rFonts w:ascii="Arial" w:cs="Arial" w:eastAsia="Arial" w:hAnsi="Arial"/>
          <w:sz w:val="17"/>
          <w:szCs w:val="17"/>
          <w:color w:val="auto"/>
        </w:rPr>
      </w:pPr>
      <w:r>
        <w:rPr>
          <w:rFonts w:ascii="Arial" w:cs="Arial" w:eastAsia="Arial" w:hAnsi="Arial"/>
          <w:sz w:val="19"/>
          <w:szCs w:val="19"/>
          <w:color w:val="auto"/>
        </w:rPr>
        <w:t>(A) engaging in Strategy Competition; or (B) engaging in any other business in which the Company Parties engage in a material way, or have concrete plans to engage in a material way as of the Relevant Date, in each case as reasonably determined by the Company. For the sake of clarity, in the case</w:t>
      </w:r>
    </w:p>
    <w:p>
      <w:pPr>
        <w:spacing w:after="0" w:line="195" w:lineRule="exact"/>
        <w:rPr>
          <w:sz w:val="20"/>
          <w:szCs w:val="20"/>
          <w:color w:val="auto"/>
        </w:rPr>
      </w:pPr>
    </w:p>
    <w:p>
      <w:pPr>
        <w:jc w:val="center"/>
        <w:ind w:right="431"/>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89"/>
          </w:cols>
          <w:pgMar w:left="731" w:top="425" w:right="279" w:bottom="1440" w:gutter="0" w:footer="0" w:header="0"/>
        </w:sectPr>
      </w:pPr>
    </w:p>
    <w:bookmarkStart w:id="210" w:name="page211"/>
    <w:bookmarkEnd w:id="210"/>
    <w:p>
      <w:pPr>
        <w:ind w:left="309"/>
        <w:spacing w:after="0"/>
        <w:rPr>
          <w:sz w:val="20"/>
          <w:szCs w:val="20"/>
          <w:color w:val="auto"/>
        </w:rPr>
      </w:pPr>
      <w:r>
        <w:rPr>
          <w:rFonts w:ascii="Arial" w:cs="Arial" w:eastAsia="Arial" w:hAnsi="Arial"/>
          <w:sz w:val="19"/>
          <w:szCs w:val="19"/>
          <w:color w:val="auto"/>
        </w:rPr>
        <w:t>of a subsidiary, division, unit, group or portion whose primary business is described above:</w:t>
      </w:r>
    </w:p>
    <w:p>
      <w:pPr>
        <w:spacing w:after="0" w:line="21" w:lineRule="exact"/>
        <w:rPr>
          <w:sz w:val="20"/>
          <w:szCs w:val="20"/>
          <w:color w:val="auto"/>
        </w:rPr>
      </w:pPr>
    </w:p>
    <w:p>
      <w:pPr>
        <w:ind w:left="309" w:right="180" w:firstLine="6"/>
        <w:spacing w:after="0" w:line="273" w:lineRule="auto"/>
        <w:tabs>
          <w:tab w:leader="none" w:pos="582"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the larger business enterprise or Person owning such subsidiary, division, unit, group or portion shall not be deemed to be a Competitive Enterprise unless the primary business of such larger business enterprise or Person is engaged in Strategy Competition and</w:t>
      </w:r>
    </w:p>
    <w:p>
      <w:pPr>
        <w:spacing w:after="0" w:line="1" w:lineRule="exact"/>
        <w:rPr>
          <w:rFonts w:ascii="Arial" w:cs="Arial" w:eastAsia="Arial" w:hAnsi="Arial"/>
          <w:sz w:val="17"/>
          <w:szCs w:val="17"/>
          <w:color w:val="auto"/>
        </w:rPr>
      </w:pPr>
    </w:p>
    <w:p>
      <w:pPr>
        <w:ind w:left="309" w:right="660" w:firstLine="6"/>
        <w:spacing w:after="0" w:line="257" w:lineRule="auto"/>
        <w:tabs>
          <w:tab w:leader="none" w:pos="582" w:val="left"/>
        </w:tabs>
        <w:numPr>
          <w:ilvl w:val="1"/>
          <w:numId w:val="223"/>
        </w:numPr>
        <w:rPr>
          <w:rFonts w:ascii="Arial" w:cs="Arial" w:eastAsia="Arial" w:hAnsi="Arial"/>
          <w:sz w:val="19"/>
          <w:szCs w:val="19"/>
          <w:color w:val="auto"/>
        </w:rPr>
      </w:pPr>
      <w:r>
        <w:rPr>
          <w:rFonts w:ascii="Arial" w:cs="Arial" w:eastAsia="Arial" w:hAnsi="Arial"/>
          <w:sz w:val="19"/>
          <w:szCs w:val="19"/>
          <w:color w:val="auto"/>
        </w:rPr>
        <w:t>the subsidiary, division, unit, group or portion whose primary business is engaging in Strategy Competition shall be deemed a Competitive Enterprise.</w:t>
      </w:r>
    </w:p>
    <w:p>
      <w:pPr>
        <w:spacing w:after="0" w:line="166" w:lineRule="exact"/>
        <w:rPr>
          <w:rFonts w:ascii="Arial" w:cs="Arial" w:eastAsia="Arial" w:hAnsi="Arial"/>
          <w:sz w:val="19"/>
          <w:szCs w:val="19"/>
          <w:color w:val="auto"/>
        </w:rPr>
      </w:pPr>
    </w:p>
    <w:p>
      <w:pPr>
        <w:ind w:left="309" w:hanging="309"/>
        <w:spacing w:after="0" w:line="249" w:lineRule="auto"/>
        <w:tabs>
          <w:tab w:leader="none" w:pos="309" w:val="left"/>
        </w:tabs>
        <w:numPr>
          <w:ilvl w:val="0"/>
          <w:numId w:val="2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Competitive Technology</w:t>
      </w:r>
      <w:r>
        <w:rPr>
          <w:rFonts w:ascii="Arial" w:cs="Arial" w:eastAsia="Arial" w:hAnsi="Arial"/>
          <w:sz w:val="19"/>
          <w:szCs w:val="19"/>
          <w:color w:val="auto"/>
        </w:rPr>
        <w:t>” means any system, program, hardware or software (including any network architecture, system architecture, messaging architecture, trade processing and clearing systems and architecture, database architecture and storage of market and trading data for purposes of statistical analysis, network infrastructure, market data processing and messaging types that support such market data processing, order processing or any other software or hardware): (i) only if developed for one or more financial institution(s) or designed primarily for use by, or sale or license to, one or more financial institutions, is (A) used (or will be used in the future in its current or any enhanced or modified form) in Strategy Competition to evaluate, route or execute orders or trades in any Financial Asset or (B) used (or will be used in the future in its current or any enhanced or modified form) in Strategy Competition for the efficient processing and dissemination of market data or messaging for Financial Assets, or (ii) in any case, is specifically designed or intended for use in Strategy Competition.</w:t>
      </w:r>
    </w:p>
    <w:p>
      <w:pPr>
        <w:spacing w:after="0" w:line="177" w:lineRule="exact"/>
        <w:rPr>
          <w:rFonts w:ascii="Arial" w:cs="Arial" w:eastAsia="Arial" w:hAnsi="Arial"/>
          <w:sz w:val="19"/>
          <w:szCs w:val="19"/>
          <w:color w:val="auto"/>
        </w:rPr>
      </w:pPr>
    </w:p>
    <w:p>
      <w:pPr>
        <w:ind w:left="309" w:right="20" w:hanging="309"/>
        <w:spacing w:after="0" w:line="266" w:lineRule="auto"/>
        <w:tabs>
          <w:tab w:leader="none" w:pos="29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related to the activities of the Company Parties that the Participant may acquire from the Company, other than information that (i) is already available through publicly available sources of information (other than as a result of disclosure by the Participant), (ii) was available to the Participant on a non-confidential basis prior to its disclosure to the Participant by the Company, or (iii) becomes available to the Participant on a non-confidential basis from a third party, provided such third party is not known by the Participant, after reasonable inquiry, to be bound by this Agreement or another confidentiality agreement with the Company. Such Confidential Information may include information that pertains or relates to the business and affairs of any other Company matters. Confidential Information may be used by the Participant and its Participant Parties only in connection with Company matters and in connection with the maintenance of the Participant’s interest in the Company.</w:t>
      </w:r>
    </w:p>
    <w:p>
      <w:pPr>
        <w:spacing w:after="0" w:line="172" w:lineRule="exact"/>
        <w:rPr>
          <w:rFonts w:ascii="Arial" w:cs="Arial" w:eastAsia="Arial" w:hAnsi="Arial"/>
          <w:sz w:val="18"/>
          <w:szCs w:val="18"/>
          <w:color w:val="auto"/>
        </w:rPr>
      </w:pPr>
    </w:p>
    <w:p>
      <w:pPr>
        <w:ind w:left="309" w:hanging="309"/>
        <w:spacing w:after="0"/>
        <w:tabs>
          <w:tab w:leader="none" w:pos="309" w:val="left"/>
        </w:tabs>
        <w:numPr>
          <w:ilvl w:val="0"/>
          <w:numId w:val="2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Asset</w:t>
      </w:r>
      <w:r>
        <w:rPr>
          <w:rFonts w:ascii="Arial" w:cs="Arial" w:eastAsia="Arial" w:hAnsi="Arial"/>
          <w:sz w:val="17"/>
          <w:szCs w:val="17"/>
          <w:color w:val="auto"/>
        </w:rPr>
        <w:t>” means commodities, currencies, equities, notes, bonds, securities, evidence of indebtedness and derivatives thereof.</w:t>
      </w:r>
    </w:p>
    <w:p>
      <w:pPr>
        <w:spacing w:after="0" w:line="250" w:lineRule="exact"/>
        <w:rPr>
          <w:rFonts w:ascii="Arial" w:cs="Arial" w:eastAsia="Arial" w:hAnsi="Arial"/>
          <w:sz w:val="17"/>
          <w:szCs w:val="17"/>
          <w:color w:val="auto"/>
        </w:rPr>
      </w:pPr>
    </w:p>
    <w:p>
      <w:pPr>
        <w:ind w:left="309" w:right="1020" w:hanging="309"/>
        <w:spacing w:after="0" w:line="310" w:lineRule="auto"/>
        <w:tabs>
          <w:tab w:leader="none" w:pos="30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21" w:lineRule="exact"/>
        <w:rPr>
          <w:rFonts w:ascii="Arial" w:cs="Arial" w:eastAsia="Arial" w:hAnsi="Arial"/>
          <w:sz w:val="18"/>
          <w:szCs w:val="18"/>
          <w:color w:val="auto"/>
        </w:rPr>
      </w:pPr>
    </w:p>
    <w:p>
      <w:pPr>
        <w:ind w:left="309" w:right="120" w:hanging="309"/>
        <w:spacing w:after="0" w:line="283" w:lineRule="auto"/>
        <w:tabs>
          <w:tab w:leader="none" w:pos="29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Jaguar Trading</w:t>
      </w:r>
      <w:r>
        <w:rPr>
          <w:rFonts w:ascii="Arial" w:cs="Arial" w:eastAsia="Arial" w:hAnsi="Arial"/>
          <w:sz w:val="17"/>
          <w:szCs w:val="17"/>
          <w:color w:val="auto"/>
        </w:rPr>
        <w:t>” means trading through the use of electronically automated means to analyze and act upon Economic Numerical Data (i.e., economic data released by government agencies, quasi-governmental agencies, or industry groups commonly tracked by investors (e.g., ADP or Gallup employment data, the Michigan Consumer Sentiment Index and National Association of Realtors home-sale data)) with the intent to enter a position within two seconds after the public (or equivalent) release of such economic numerical data, including by using models and algorithms to predict the effect on prices of such economic numerical data. Economic Numerical Data does not include financial instrument price and volume data. Jaguar Trading does not include trading in which each instruction to acquire or dispose of a specified quantity of a single instrument is individually manually generated and submitted for execution by a natural person (and not by any algorithmic means), even if such Order is executed within two seconds after the</w:t>
      </w:r>
    </w:p>
    <w:p>
      <w:pPr>
        <w:spacing w:after="0" w:line="174" w:lineRule="exact"/>
        <w:rPr>
          <w:sz w:val="20"/>
          <w:szCs w:val="20"/>
          <w:color w:val="auto"/>
        </w:rPr>
      </w:pPr>
    </w:p>
    <w:p>
      <w:pPr>
        <w:jc w:val="center"/>
        <w:ind w:right="471"/>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29"/>
          </w:cols>
          <w:pgMar w:left="731" w:top="438" w:right="239" w:bottom="1440" w:gutter="0" w:footer="0" w:header="0"/>
        </w:sectPr>
      </w:pPr>
    </w:p>
    <w:bookmarkStart w:id="211" w:name="page212"/>
    <w:bookmarkEnd w:id="211"/>
    <w:p>
      <w:pPr>
        <w:ind w:left="309"/>
        <w:spacing w:after="0" w:line="274" w:lineRule="auto"/>
        <w:rPr>
          <w:sz w:val="20"/>
          <w:szCs w:val="20"/>
          <w:color w:val="auto"/>
        </w:rPr>
      </w:pPr>
      <w:r>
        <w:rPr>
          <w:rFonts w:ascii="Arial" w:cs="Arial" w:eastAsia="Arial" w:hAnsi="Arial"/>
          <w:sz w:val="19"/>
          <w:szCs w:val="19"/>
          <w:color w:val="auto"/>
        </w:rPr>
        <w:t>release of such economic numerical data (for example, and without limitation, the execution of a previously placed Stop Order triggered after the release of economic numerical data).</w:t>
      </w:r>
    </w:p>
    <w:p>
      <w:pPr>
        <w:spacing w:after="0" w:line="164" w:lineRule="exact"/>
        <w:rPr>
          <w:sz w:val="20"/>
          <w:szCs w:val="20"/>
          <w:color w:val="auto"/>
        </w:rPr>
      </w:pPr>
    </w:p>
    <w:p>
      <w:pPr>
        <w:ind w:left="309" w:hanging="309"/>
        <w:spacing w:after="0"/>
        <w:tabs>
          <w:tab w:leader="none" w:pos="309" w:val="left"/>
        </w:tabs>
        <w:numPr>
          <w:ilvl w:val="0"/>
          <w:numId w:val="2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Order</w:t>
      </w:r>
      <w:r>
        <w:rPr>
          <w:rFonts w:ascii="Arial" w:cs="Arial" w:eastAsia="Arial" w:hAnsi="Arial"/>
          <w:sz w:val="19"/>
          <w:szCs w:val="19"/>
          <w:color w:val="auto"/>
        </w:rPr>
        <w:t>” means an instruction to acquire or dispose of a specified quantity or amount of a Financial Asset.</w:t>
      </w:r>
    </w:p>
    <w:p>
      <w:pPr>
        <w:spacing w:after="0" w:line="227" w:lineRule="exact"/>
        <w:rPr>
          <w:rFonts w:ascii="Arial" w:cs="Arial" w:eastAsia="Arial" w:hAnsi="Arial"/>
          <w:sz w:val="19"/>
          <w:szCs w:val="19"/>
          <w:color w:val="auto"/>
        </w:rPr>
      </w:pPr>
    </w:p>
    <w:p>
      <w:pPr>
        <w:ind w:left="309" w:hanging="309"/>
        <w:spacing w:after="0" w:line="281" w:lineRule="auto"/>
        <w:tabs>
          <w:tab w:leader="none" w:pos="309" w:val="left"/>
        </w:tabs>
        <w:numPr>
          <w:ilvl w:val="0"/>
          <w:numId w:val="225"/>
        </w:numPr>
        <w:rPr>
          <w:rFonts w:ascii="Arial" w:cs="Arial" w:eastAsia="Arial" w:hAnsi="Arial"/>
          <w:sz w:val="19"/>
          <w:szCs w:val="19"/>
          <w:color w:val="auto"/>
        </w:rPr>
      </w:pPr>
      <w:r>
        <w:rPr>
          <w:rFonts w:ascii="Arial" w:cs="Arial" w:eastAsia="Arial" w:hAnsi="Arial"/>
          <w:sz w:val="19"/>
          <w:szCs w:val="19"/>
          <w:b w:val="1"/>
          <w:bCs w:val="1"/>
          <w:color w:val="auto"/>
        </w:rPr>
        <w:t>Relevant Date</w:t>
      </w:r>
      <w:r>
        <w:rPr>
          <w:rFonts w:ascii="Arial" w:cs="Arial" w:eastAsia="Arial" w:hAnsi="Arial"/>
          <w:sz w:val="19"/>
          <w:szCs w:val="19"/>
          <w:color w:val="auto"/>
        </w:rPr>
        <w:t>” means, (i) for as long as the Termination Date has not occurred, the date that the Participant engages in any activity that</w:t>
      </w:r>
      <w:r>
        <w:rPr>
          <w:rFonts w:ascii="Arial" w:cs="Arial" w:eastAsia="Arial" w:hAnsi="Arial"/>
          <w:sz w:val="19"/>
          <w:szCs w:val="19"/>
          <w:b w:val="1"/>
          <w:bCs w:val="1"/>
          <w:color w:val="auto"/>
        </w:rPr>
        <w:t xml:space="preserve"> </w:t>
      </w:r>
      <w:r>
        <w:rPr>
          <w:rFonts w:ascii="Arial" w:cs="Arial" w:eastAsia="Arial" w:hAnsi="Arial"/>
          <w:sz w:val="19"/>
          <w:szCs w:val="19"/>
          <w:color w:val="auto"/>
        </w:rPr>
        <w:t>is prohibited by Section 2 of this Exhibit A and (ii) if the Termination Date has occurred such Termination Date.</w:t>
      </w:r>
    </w:p>
    <w:p>
      <w:pPr>
        <w:spacing w:after="0" w:line="144" w:lineRule="exact"/>
        <w:rPr>
          <w:rFonts w:ascii="Arial" w:cs="Arial" w:eastAsia="Arial" w:hAnsi="Arial"/>
          <w:sz w:val="19"/>
          <w:szCs w:val="19"/>
          <w:color w:val="auto"/>
        </w:rPr>
      </w:pPr>
    </w:p>
    <w:p>
      <w:pPr>
        <w:ind w:left="309" w:hanging="309"/>
        <w:spacing w:after="0"/>
        <w:tabs>
          <w:tab w:leader="none" w:pos="309" w:val="left"/>
        </w:tabs>
        <w:numPr>
          <w:ilvl w:val="0"/>
          <w:numId w:val="2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Restrictive Covenant Period</w:t>
      </w:r>
      <w:r>
        <w:rPr>
          <w:rFonts w:ascii="Arial" w:cs="Arial" w:eastAsia="Arial" w:hAnsi="Arial"/>
          <w:sz w:val="19"/>
          <w:szCs w:val="19"/>
          <w:color w:val="auto"/>
        </w:rPr>
        <w:t>” means, any time until the eighteen (18) month anniversary of the Termination Date.</w:t>
      </w:r>
    </w:p>
    <w:p>
      <w:pPr>
        <w:spacing w:after="0" w:line="227" w:lineRule="exact"/>
        <w:rPr>
          <w:rFonts w:ascii="Arial" w:cs="Arial" w:eastAsia="Arial" w:hAnsi="Arial"/>
          <w:sz w:val="19"/>
          <w:szCs w:val="19"/>
          <w:color w:val="auto"/>
        </w:rPr>
      </w:pPr>
    </w:p>
    <w:p>
      <w:pPr>
        <w:ind w:left="309" w:right="160" w:hanging="309"/>
        <w:spacing w:after="0" w:line="281" w:lineRule="auto"/>
        <w:tabs>
          <w:tab w:leader="none" w:pos="309" w:val="left"/>
        </w:tabs>
        <w:numPr>
          <w:ilvl w:val="0"/>
          <w:numId w:val="2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Simultaneous</w:t>
      </w:r>
      <w:r>
        <w:rPr>
          <w:rFonts w:ascii="Arial" w:cs="Arial" w:eastAsia="Arial" w:hAnsi="Arial"/>
          <w:sz w:val="19"/>
          <w:szCs w:val="19"/>
          <w:color w:val="auto"/>
        </w:rPr>
        <w:t>” means, with respect to more than one event, the occurrence of such events occurring within 500 milliseconds of each other.</w:t>
      </w:r>
    </w:p>
    <w:p>
      <w:pPr>
        <w:spacing w:after="0" w:line="144" w:lineRule="exact"/>
        <w:rPr>
          <w:rFonts w:ascii="Arial" w:cs="Arial" w:eastAsia="Arial" w:hAnsi="Arial"/>
          <w:sz w:val="19"/>
          <w:szCs w:val="19"/>
          <w:color w:val="auto"/>
        </w:rPr>
      </w:pPr>
    </w:p>
    <w:p>
      <w:pPr>
        <w:ind w:left="309" w:right="200" w:hanging="309"/>
        <w:spacing w:after="0" w:line="284" w:lineRule="auto"/>
        <w:tabs>
          <w:tab w:leader="none" w:pos="30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Strategy Competition</w:t>
      </w:r>
      <w:r>
        <w:rPr>
          <w:rFonts w:ascii="Arial" w:cs="Arial" w:eastAsia="Arial" w:hAnsi="Arial"/>
          <w:sz w:val="18"/>
          <w:szCs w:val="18"/>
          <w:color w:val="auto"/>
        </w:rPr>
        <w:t>” means, (i) trading activities that utilize trading strategies that constitute Algorithmic Liquidity Trading or Jaguar Trading or (ii) any other strategy in which the Company Parties engage in a material way or have concrete plans to engage in a material way as of the Relevant Date, in each case as reasonably determined by the Company.</w:t>
      </w:r>
    </w:p>
    <w:p>
      <w:pPr>
        <w:spacing w:after="0" w:line="157" w:lineRule="exact"/>
        <w:rPr>
          <w:rFonts w:ascii="Arial" w:cs="Arial" w:eastAsia="Arial" w:hAnsi="Arial"/>
          <w:sz w:val="18"/>
          <w:szCs w:val="18"/>
          <w:color w:val="auto"/>
        </w:rPr>
      </w:pPr>
    </w:p>
    <w:p>
      <w:pPr>
        <w:ind w:left="309" w:right="580" w:hanging="309"/>
        <w:spacing w:after="0" w:line="281" w:lineRule="auto"/>
        <w:tabs>
          <w:tab w:leader="none" w:pos="309" w:val="left"/>
        </w:tabs>
        <w:numPr>
          <w:ilvl w:val="0"/>
          <w:numId w:val="2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Date</w:t>
      </w:r>
      <w:r>
        <w:rPr>
          <w:rFonts w:ascii="Arial" w:cs="Arial" w:eastAsia="Arial" w:hAnsi="Arial"/>
          <w:sz w:val="19"/>
          <w:szCs w:val="19"/>
          <w:color w:val="auto"/>
        </w:rPr>
        <w:t>” means, the date the Participant ceases to be employed by the Company, Virtu Financial LLC or any of their respective controlled Affiliates.</w:t>
      </w:r>
    </w:p>
    <w:p>
      <w:pPr>
        <w:spacing w:after="0" w:line="391" w:lineRule="exact"/>
        <w:rPr>
          <w:sz w:val="20"/>
          <w:szCs w:val="20"/>
          <w:color w:val="auto"/>
        </w:rPr>
      </w:pPr>
    </w:p>
    <w:p>
      <w:pPr>
        <w:jc w:val="center"/>
        <w:ind w:right="35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09"/>
          </w:cols>
          <w:pgMar w:left="731" w:top="425" w:right="359" w:bottom="1440" w:gutter="0" w:footer="0" w:header="0"/>
        </w:sectPr>
      </w:pPr>
    </w:p>
    <w:bookmarkStart w:id="212" w:name="page213"/>
    <w:bookmarkEnd w:id="212"/>
    <w:p>
      <w:pPr>
        <w:ind w:left="5160"/>
        <w:spacing w:after="0"/>
        <w:rPr>
          <w:sz w:val="20"/>
          <w:szCs w:val="20"/>
          <w:color w:val="auto"/>
        </w:rPr>
      </w:pPr>
      <w:r>
        <w:rPr>
          <w:rFonts w:ascii="Arial" w:cs="Arial" w:eastAsia="Arial" w:hAnsi="Arial"/>
          <w:sz w:val="17"/>
          <w:szCs w:val="17"/>
          <w:b w:val="1"/>
          <w:bCs w:val="1"/>
          <w:color w:val="auto"/>
        </w:rPr>
        <w:t>Schedule 1 of Exhibit A Restricted Investments</w:t>
      </w:r>
    </w:p>
    <w:p>
      <w:pPr>
        <w:sectPr>
          <w:pgSz w:w="11900" w:h="16838" w:orient="portrait"/>
          <w:cols w:equalWidth="0" w:num="1">
            <w:col w:w="9939"/>
          </w:cols>
          <w:pgMar w:left="520" w:top="537"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1"/>
          <w:szCs w:val="21"/>
          <w:color w:val="auto"/>
        </w:rPr>
        <w:t>All Options</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Allston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AQR</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Athena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Automat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Automated Trading Desk</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Blue Fire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Breakwater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Buttonwood</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Chicago Trading Company</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Chopper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Citadel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CTC</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DE Shaw</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DRW Trading Group</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Final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Flow Traders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Gelber</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Hard 8 Future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Headlands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Hudson River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IBKR</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IMC Asset Management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Infinium Group</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Interactive Brokers (Timber Hill)</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International Algorithmic</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Jane Street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color w:val="auto"/>
        </w:rPr>
        <w:t>Jump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KCG Holdings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Millenium</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Nyenburgh</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Optiver</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Peak 6</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Point72 (f/k/a SAC Capital)</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Quantlab</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Renaissance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RGM Advisors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Ronin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RSJ Algorithm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SIG Susquehanna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Simplex Spot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Sun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Teza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Tibra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Tower Research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Tradebot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Tradeworx</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Trading Machine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TransMarket Group</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Two Sigma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Wolverine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Xambala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Zomojo</w:t>
      </w:r>
    </w:p>
    <w:p>
      <w:pPr>
        <w:spacing w:after="0" w:line="488" w:lineRule="exact"/>
        <w:rPr>
          <w:sz w:val="20"/>
          <w:szCs w:val="20"/>
          <w:color w:val="auto"/>
        </w:rPr>
      </w:pPr>
    </w:p>
    <w:p>
      <w:pPr>
        <w:sectPr>
          <w:pgSz w:w="11900" w:h="16838" w:orient="portrait"/>
          <w:cols w:equalWidth="0" w:num="2">
            <w:col w:w="4600" w:space="720"/>
            <w:col w:w="4619"/>
          </w:cols>
          <w:pgMar w:left="520" w:top="537" w:right="1440" w:bottom="1440" w:gutter="0" w:footer="0" w:header="0"/>
          <w:type w:val="continuous"/>
        </w:sectPr>
      </w:pPr>
    </w:p>
    <w:p>
      <w:pPr>
        <w:spacing w:after="0" w:line="53"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939"/>
          </w:cols>
          <w:pgMar w:left="520" w:top="537" w:right="1440" w:bottom="1440" w:gutter="0" w:footer="0" w:header="0"/>
          <w:type w:val="continuous"/>
        </w:sectPr>
      </w:pPr>
    </w:p>
    <w:bookmarkStart w:id="213" w:name="page214"/>
    <w:bookmarkEnd w:id="213"/>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Douglas A. Cifu, certify that:</w:t>
      </w:r>
    </w:p>
    <w:p>
      <w:pPr>
        <w:spacing w:after="0" w:line="224" w:lineRule="exact"/>
        <w:rPr>
          <w:sz w:val="20"/>
          <w:szCs w:val="20"/>
          <w:color w:val="auto"/>
        </w:rPr>
      </w:pPr>
    </w:p>
    <w:p>
      <w:pPr>
        <w:ind w:left="640" w:right="180" w:hanging="320"/>
        <w:spacing w:after="0" w:line="290" w:lineRule="auto"/>
        <w:tabs>
          <w:tab w:leader="none" w:pos="64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2018 of Virtu Financial, Inc. (the “registrant”) as filed with the Securities and Exchange Commission on the date hereof;</w:t>
      </w:r>
    </w:p>
    <w:p>
      <w:pPr>
        <w:spacing w:after="0" w:line="157" w:lineRule="exact"/>
        <w:rPr>
          <w:rFonts w:ascii="Arial" w:cs="Arial" w:eastAsia="Arial" w:hAnsi="Arial"/>
          <w:sz w:val="17"/>
          <w:szCs w:val="17"/>
          <w:color w:val="auto"/>
        </w:rPr>
      </w:pPr>
    </w:p>
    <w:p>
      <w:pPr>
        <w:ind w:left="640" w:right="120" w:hanging="320"/>
        <w:spacing w:after="0" w:line="360" w:lineRule="auto"/>
        <w:tabs>
          <w:tab w:leader="none" w:pos="64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40" w:right="580" w:hanging="320"/>
        <w:spacing w:after="0" w:line="290" w:lineRule="auto"/>
        <w:tabs>
          <w:tab w:leader="none" w:pos="64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60" w:hanging="320"/>
        <w:spacing w:after="0" w:line="274" w:lineRule="auto"/>
        <w:tabs>
          <w:tab w:leader="none" w:pos="64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100" w:right="380" w:hanging="465"/>
        <w:spacing w:after="0" w:line="274" w:lineRule="auto"/>
        <w:tabs>
          <w:tab w:leader="none" w:pos="110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100" w:right="80" w:hanging="465"/>
        <w:spacing w:after="0" w:line="274" w:lineRule="auto"/>
        <w:tabs>
          <w:tab w:leader="none" w:pos="110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jc w:val="both"/>
        <w:ind w:left="1100" w:right="860" w:hanging="465"/>
        <w:spacing w:after="0" w:line="360" w:lineRule="auto"/>
        <w:tabs>
          <w:tab w:leader="none" w:pos="1100" w:val="left"/>
        </w:tabs>
        <w:numPr>
          <w:ilvl w:val="1"/>
          <w:numId w:val="2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100" w:right="100" w:hanging="465"/>
        <w:spacing w:after="0" w:line="274" w:lineRule="auto"/>
        <w:tabs>
          <w:tab w:leader="none" w:pos="110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640" w:right="500" w:hanging="320"/>
        <w:spacing w:after="0" w:line="323" w:lineRule="auto"/>
        <w:tabs>
          <w:tab w:leader="none" w:pos="6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100" w:right="300" w:hanging="465"/>
        <w:spacing w:after="0" w:line="265" w:lineRule="auto"/>
        <w:tabs>
          <w:tab w:leader="none" w:pos="110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00" w:right="260" w:hanging="465"/>
        <w:spacing w:after="0" w:line="275" w:lineRule="auto"/>
        <w:tabs>
          <w:tab w:leader="none" w:pos="110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p>
      <w:pPr>
        <w:ind w:left="3980"/>
        <w:spacing w:after="0"/>
        <w:tabs>
          <w:tab w:leader="none" w:pos="6300" w:val="left"/>
        </w:tabs>
        <w:rPr>
          <w:sz w:val="20"/>
          <w:szCs w:val="20"/>
          <w:color w:val="auto"/>
        </w:rPr>
      </w:pPr>
      <w:r>
        <w:rPr>
          <w:rFonts w:ascii="Arial" w:cs="Arial" w:eastAsia="Arial" w:hAnsi="Arial"/>
          <w:sz w:val="17"/>
          <w:szCs w:val="17"/>
          <w:color w:val="auto"/>
        </w:rPr>
        <w:t>Date: November 8, 2018 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33655</wp:posOffset>
            </wp:positionV>
            <wp:extent cx="32588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spacing w:after="0" w:line="6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67"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CFO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Joseph Molluso, certify that:</w:t>
      </w:r>
    </w:p>
    <w:p>
      <w:pPr>
        <w:spacing w:after="0" w:line="224" w:lineRule="exact"/>
        <w:rPr>
          <w:sz w:val="20"/>
          <w:szCs w:val="20"/>
          <w:color w:val="auto"/>
        </w:rPr>
      </w:pPr>
    </w:p>
    <w:p>
      <w:pPr>
        <w:ind w:left="640" w:right="180" w:hanging="320"/>
        <w:spacing w:after="0" w:line="290" w:lineRule="auto"/>
        <w:tabs>
          <w:tab w:leader="none" w:pos="6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2018 of Virtu Financial, Inc. (the “registrant”) as filed with the Securities and Exchange Commission on the date hereof;</w:t>
      </w:r>
    </w:p>
    <w:p>
      <w:pPr>
        <w:spacing w:after="0" w:line="157" w:lineRule="exact"/>
        <w:rPr>
          <w:rFonts w:ascii="Arial" w:cs="Arial" w:eastAsia="Arial" w:hAnsi="Arial"/>
          <w:sz w:val="17"/>
          <w:szCs w:val="17"/>
          <w:color w:val="auto"/>
        </w:rPr>
      </w:pPr>
    </w:p>
    <w:p>
      <w:pPr>
        <w:ind w:left="640" w:right="120" w:hanging="320"/>
        <w:spacing w:after="0" w:line="360" w:lineRule="auto"/>
        <w:tabs>
          <w:tab w:leader="none" w:pos="6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40" w:right="580" w:hanging="320"/>
        <w:spacing w:after="0" w:line="290" w:lineRule="auto"/>
        <w:tabs>
          <w:tab w:leader="none" w:pos="6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60" w:hanging="320"/>
        <w:spacing w:after="0" w:line="274" w:lineRule="auto"/>
        <w:tabs>
          <w:tab w:leader="none" w:pos="6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100" w:right="380" w:hanging="465"/>
        <w:spacing w:after="0" w:line="274" w:lineRule="auto"/>
        <w:tabs>
          <w:tab w:leader="none" w:pos="11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100" w:right="80" w:hanging="465"/>
        <w:spacing w:after="0" w:line="274" w:lineRule="auto"/>
        <w:tabs>
          <w:tab w:leader="none" w:pos="11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jc w:val="both"/>
        <w:ind w:left="1100" w:right="860" w:hanging="465"/>
        <w:spacing w:after="0" w:line="360" w:lineRule="auto"/>
        <w:tabs>
          <w:tab w:leader="none" w:pos="110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100" w:right="100" w:hanging="465"/>
        <w:spacing w:after="0" w:line="274" w:lineRule="auto"/>
        <w:tabs>
          <w:tab w:leader="none" w:pos="11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640" w:right="500" w:hanging="320"/>
        <w:spacing w:after="0" w:line="323" w:lineRule="auto"/>
        <w:tabs>
          <w:tab w:leader="none" w:pos="6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100" w:right="300" w:hanging="465"/>
        <w:spacing w:after="0" w:line="290" w:lineRule="auto"/>
        <w:tabs>
          <w:tab w:leader="none" w:pos="11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100" w:right="260" w:hanging="465"/>
        <w:spacing w:after="0" w:line="290" w:lineRule="auto"/>
        <w:tabs>
          <w:tab w:leader="none" w:pos="11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4080"/>
        <w:spacing w:after="0"/>
        <w:tabs>
          <w:tab w:leader="none" w:pos="6420" w:val="left"/>
        </w:tabs>
        <w:rPr>
          <w:sz w:val="20"/>
          <w:szCs w:val="20"/>
          <w:color w:val="auto"/>
        </w:rPr>
      </w:pPr>
      <w:r>
        <w:rPr>
          <w:rFonts w:ascii="Arial" w:cs="Arial" w:eastAsia="Arial" w:hAnsi="Arial"/>
          <w:sz w:val="17"/>
          <w:szCs w:val="17"/>
          <w:color w:val="auto"/>
        </w:rPr>
        <w:t>Date: November 8, 2018 By:</w:t>
      </w:r>
      <w:r>
        <w:rPr>
          <w:sz w:val="20"/>
          <w:szCs w:val="20"/>
          <w:color w:val="auto"/>
        </w:rPr>
        <w:tab/>
      </w:r>
      <w:r>
        <w:rPr>
          <w:rFonts w:ascii="Arial" w:cs="Arial" w:eastAsia="Arial" w:hAnsi="Arial"/>
          <w:sz w:val="15"/>
          <w:szCs w:val="15"/>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33655</wp:posOffset>
            </wp:positionV>
            <wp:extent cx="3183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60"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Joseph Molluso</w:t>
      </w:r>
    </w:p>
    <w:p>
      <w:pPr>
        <w:spacing w:after="0" w:line="6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67"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3"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In connection with the Quarterly Report of Virtu Financial, Inc. (the “Company”) on Form 10-Q for the period ended September 30, 2018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70" w:lineRule="exact"/>
        <w:rPr>
          <w:sz w:val="20"/>
          <w:szCs w:val="20"/>
          <w:color w:val="auto"/>
        </w:rPr>
      </w:pPr>
    </w:p>
    <w:p>
      <w:pPr>
        <w:ind w:left="1280" w:hanging="173"/>
        <w:spacing w:after="0"/>
        <w:tabs>
          <w:tab w:leader="none" w:pos="12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24" w:lineRule="exact"/>
        <w:rPr>
          <w:rFonts w:ascii="Arial" w:cs="Arial" w:eastAsia="Arial" w:hAnsi="Arial"/>
          <w:sz w:val="17"/>
          <w:szCs w:val="17"/>
          <w:color w:val="auto"/>
        </w:rPr>
      </w:pPr>
    </w:p>
    <w:p>
      <w:pPr>
        <w:ind w:left="1100" w:right="740" w:firstLine="7"/>
        <w:spacing w:after="0" w:line="290" w:lineRule="auto"/>
        <w:tabs>
          <w:tab w:leader="none" w:pos="1272"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33655</wp:posOffset>
            </wp:positionV>
            <wp:extent cx="35502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Executive Officer</w:t>
      </w:r>
    </w:p>
    <w:p>
      <w:pPr>
        <w:spacing w:after="0" w:line="329"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Date: November 8, 2018</w:t>
      </w:r>
    </w:p>
    <w:p>
      <w:pPr>
        <w:sectPr>
          <w:pgSz w:w="11900" w:h="16838" w:orient="portrait"/>
          <w:cols w:equalWidth="0" w:num="1">
            <w:col w:w="11420"/>
          </w:cols>
          <w:pgMar w:left="240" w:top="568"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3"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In connection with the Quarterly Report of Virtu Financial, Inc. (the “Company”) on Form 10-Q for the period ended September 30, 2018 as filed with the Securities and Exchange Commission on the date hereof (the “Report”), I, Joseph Molluso, certify, pursuant to 18 U.S.C. Section 1350, as adopted pursuant to Section 906 of the Sarbanes-Oxley Act of 2002, in my capacity as an officer of the Company that, to my knowledge:</w:t>
      </w:r>
    </w:p>
    <w:p>
      <w:pPr>
        <w:spacing w:after="0" w:line="170" w:lineRule="exact"/>
        <w:rPr>
          <w:sz w:val="20"/>
          <w:szCs w:val="20"/>
          <w:color w:val="auto"/>
        </w:rPr>
      </w:pPr>
    </w:p>
    <w:p>
      <w:pPr>
        <w:ind w:left="1280" w:hanging="173"/>
        <w:spacing w:after="0"/>
        <w:tabs>
          <w:tab w:leader="none" w:pos="12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24" w:lineRule="exact"/>
        <w:rPr>
          <w:rFonts w:ascii="Arial" w:cs="Arial" w:eastAsia="Arial" w:hAnsi="Arial"/>
          <w:sz w:val="17"/>
          <w:szCs w:val="17"/>
          <w:color w:val="auto"/>
        </w:rPr>
      </w:pPr>
    </w:p>
    <w:p>
      <w:pPr>
        <w:ind w:left="1100" w:right="740" w:firstLine="7"/>
        <w:spacing w:after="0" w:line="290" w:lineRule="auto"/>
        <w:tabs>
          <w:tab w:leader="none" w:pos="127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33655</wp:posOffset>
            </wp:positionV>
            <wp:extent cx="35502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Joseph Molluso</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Financial Officer</w:t>
      </w:r>
    </w:p>
    <w:p>
      <w:pPr>
        <w:spacing w:after="0" w:line="329"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Date: November 8, 2018</w:t>
      </w:r>
    </w:p>
    <w:sectPr>
      <w:pgSz w:w="11900" w:h="16838" w:orient="portrait"/>
      <w:cols w:equalWidth="0" w:num="1">
        <w:col w:w="11420"/>
      </w:cols>
      <w:pgMar w:left="240" w:top="5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1)"/>
      <w:numFmt w:val="decimal"/>
      <w:start w:val="1"/>
    </w:lvl>
  </w:abstractNum>
  <w:abstractNum w:abstractNumId="3">
    <w:nsid w:val="2B0D8DBE"/>
    <w:multiLevelType w:val="hybridMultilevel"/>
    <w:lvl w:ilvl="0">
      <w:lvlJc w:val="left"/>
      <w:lvlText w:val="(%1)"/>
      <w:numFmt w:val="decimal"/>
      <w:start w:val="2"/>
    </w:lvl>
  </w:abstractNum>
  <w:abstractNum w:abstractNumId="4">
    <w:nsid w:val="6C80EC70"/>
    <w:multiLevelType w:val="hybridMultilevel"/>
    <w:lvl w:ilvl="0">
      <w:lvlJc w:val="left"/>
      <w:lvlText w:val="(%1)"/>
      <w:numFmt w:val="decimal"/>
      <w:start w:val="1"/>
    </w:lvl>
  </w:abstractNum>
  <w:abstractNum w:abstractNumId="5">
    <w:nsid w:val="379E21B5"/>
    <w:multiLevelType w:val="hybridMultilevel"/>
    <w:lvl w:ilvl="0">
      <w:lvlJc w:val="left"/>
      <w:lvlText w:val="•"/>
      <w:numFmt w:val="bullet"/>
      <w:start w:val="1"/>
    </w:lvl>
  </w:abstractNum>
  <w:abstractNum w:abstractNumId="6">
    <w:nsid w:val="69E373"/>
    <w:multiLevelType w:val="hybridMultilevel"/>
    <w:lvl w:ilvl="0">
      <w:lvlJc w:val="left"/>
      <w:lvlText w:val="•"/>
      <w:numFmt w:val="bullet"/>
      <w:start w:val="1"/>
    </w:lvl>
  </w:abstractNum>
  <w:abstractNum w:abstractNumId="7">
    <w:nsid w:val="2C27173B"/>
    <w:multiLevelType w:val="hybridMultilevel"/>
    <w:lvl w:ilvl="0">
      <w:lvlJc w:val="left"/>
      <w:lvlText w:val="•"/>
      <w:numFmt w:val="bullet"/>
      <w:start w:val="1"/>
    </w:lvl>
  </w:abstractNum>
  <w:abstractNum w:abstractNumId="8">
    <w:nsid w:val="4C9B0904"/>
    <w:multiLevelType w:val="hybridMultilevel"/>
    <w:lvl w:ilvl="0">
      <w:lvlJc w:val="left"/>
      <w:lvlText w:val="•"/>
      <w:numFmt w:val="bullet"/>
      <w:start w:val="1"/>
    </w:lvl>
  </w:abstractNum>
  <w:abstractNum w:abstractNumId="9">
    <w:nsid w:val="6AA7B75C"/>
    <w:multiLevelType w:val="hybridMultilevel"/>
    <w:lvl w:ilvl="0">
      <w:lvlJc w:val="left"/>
      <w:lvlText w:val="•"/>
      <w:numFmt w:val="bullet"/>
      <w:start w:val="1"/>
    </w:lvl>
  </w:abstractNum>
  <w:abstractNum w:abstractNumId="10">
    <w:nsid w:val="1DF029D3"/>
    <w:multiLevelType w:val="hybridMultilevel"/>
    <w:lvl w:ilvl="0">
      <w:lvlJc w:val="left"/>
      <w:lvlText w:val="•"/>
      <w:numFmt w:val="bullet"/>
      <w:start w:val="1"/>
    </w:lvl>
  </w:abstractNum>
  <w:abstractNum w:abstractNumId="11">
    <w:nsid w:val="5675FF36"/>
    <w:multiLevelType w:val="hybridMultilevel"/>
    <w:lvl w:ilvl="0">
      <w:lvlJc w:val="left"/>
      <w:lvlText w:val="(%1)"/>
      <w:numFmt w:val="decimal"/>
      <w:start w:val="1"/>
    </w:lvl>
  </w:abstractNum>
  <w:abstractNum w:abstractNumId="12">
    <w:nsid w:val="3DD15094"/>
    <w:multiLevelType w:val="hybridMultilevel"/>
    <w:lvl w:ilvl="0">
      <w:lvlJc w:val="left"/>
      <w:lvlText w:val="(%1)"/>
      <w:numFmt w:val="decimal"/>
      <w:start w:val="1"/>
    </w:lvl>
  </w:abstractNum>
  <w:abstractNum w:abstractNumId="13">
    <w:nsid w:val="3DB012B3"/>
    <w:multiLevelType w:val="hybridMultilevel"/>
    <w:lvl w:ilvl="0">
      <w:lvlJc w:val="left"/>
      <w:lvlText w:val="(%1)"/>
      <w:numFmt w:val="decimal"/>
      <w:start w:val="1"/>
    </w:lvl>
  </w:abstractNum>
  <w:abstractNum w:abstractNumId="14">
    <w:nsid w:val="2708C9AF"/>
    <w:multiLevelType w:val="hybridMultilevel"/>
    <w:lvl w:ilvl="0">
      <w:lvlJc w:val="left"/>
      <w:lvlText w:val="•"/>
      <w:numFmt w:val="bullet"/>
      <w:start w:val="1"/>
    </w:lvl>
  </w:abstractNum>
  <w:abstractNum w:abstractNumId="15">
    <w:nsid w:val="5B25ACE2"/>
    <w:multiLevelType w:val="hybridMultilevel"/>
    <w:lvl w:ilvl="0">
      <w:lvlJc w:val="left"/>
      <w:lvlText w:val="•"/>
      <w:numFmt w:val="bullet"/>
      <w:start w:val="1"/>
    </w:lvl>
  </w:abstractNum>
  <w:abstractNum w:abstractNumId="16">
    <w:nsid w:val="175DFCF0"/>
    <w:multiLevelType w:val="hybridMultilevel"/>
    <w:lvl w:ilvl="0">
      <w:lvlJc w:val="left"/>
      <w:lvlText w:val="•"/>
      <w:numFmt w:val="bullet"/>
      <w:start w:val="1"/>
    </w:lvl>
  </w:abstractNum>
  <w:abstractNum w:abstractNumId="17">
    <w:nsid w:val="4F97E3E4"/>
    <w:multiLevelType w:val="hybridMultilevel"/>
    <w:lvl w:ilvl="0">
      <w:lvlJc w:val="left"/>
      <w:lvlText w:val="•"/>
      <w:numFmt w:val="bullet"/>
      <w:start w:val="1"/>
    </w:lvl>
  </w:abstractNum>
  <w:abstractNum w:abstractNumId="18">
    <w:nsid w:val="53B0A9E"/>
    <w:multiLevelType w:val="hybridMultilevel"/>
    <w:lvl w:ilvl="0">
      <w:lvlJc w:val="left"/>
      <w:lvlText w:val="%1."/>
      <w:numFmt w:val="decimal"/>
      <w:start w:val="1"/>
    </w:lvl>
    <w:lvl w:ilvl="1">
      <w:lvlJc w:val="left"/>
      <w:lvlText w:val="(%2)"/>
      <w:numFmt w:val="lowerLetter"/>
      <w:start w:val="1"/>
    </w:lvl>
  </w:abstractNum>
  <w:abstractNum w:abstractNumId="19">
    <w:nsid w:val="34FD6B4F"/>
    <w:multiLevelType w:val="hybridMultilevel"/>
    <w:lvl w:ilvl="0">
      <w:lvlJc w:val="left"/>
      <w:lvlText w:val="%1"/>
      <w:numFmt w:val="decimal"/>
      <w:start w:val="1"/>
    </w:lvl>
    <w:lvl w:ilvl="1">
      <w:lvlJc w:val="left"/>
      <w:lvlText w:val="(%2)"/>
      <w:numFmt w:val="lowerLetter"/>
      <w:start w:val="3"/>
    </w:lvl>
  </w:abstractNum>
  <w:abstractNum w:abstractNumId="20">
    <w:nsid w:val="5915FF32"/>
    <w:multiLevelType w:val="hybridMultilevel"/>
    <w:lvl w:ilvl="0">
      <w:lvlJc w:val="left"/>
      <w:lvlText w:val="%1."/>
      <w:numFmt w:val="decimal"/>
      <w:start w:val="3"/>
    </w:lvl>
    <w:lvl w:ilvl="1">
      <w:lvlJc w:val="left"/>
      <w:lvlText w:val="%2"/>
      <w:numFmt w:val="lowerLetter"/>
      <w:start w:val="1"/>
    </w:lvl>
  </w:abstractNum>
  <w:abstractNum w:abstractNumId="21">
    <w:nsid w:val="56438D15"/>
    <w:multiLevelType w:val="hybridMultilevel"/>
    <w:lvl w:ilvl="0">
      <w:lvlJc w:val="left"/>
      <w:lvlText w:val="%1."/>
      <w:numFmt w:val="decimal"/>
      <w:start w:val="5"/>
    </w:lvl>
  </w:abstractNum>
  <w:abstractNum w:abstractNumId="22">
    <w:nsid w:val="519E3149"/>
    <w:multiLevelType w:val="hybridMultilevel"/>
    <w:lvl w:ilvl="0">
      <w:lvlJc w:val="left"/>
      <w:lvlText w:val="%1."/>
      <w:numFmt w:val="decimal"/>
      <w:start w:val="6"/>
    </w:lvl>
    <w:lvl w:ilvl="1">
      <w:lvlJc w:val="left"/>
      <w:lvlText w:val="(%2)"/>
      <w:numFmt w:val="lowerLetter"/>
      <w:start w:val="1"/>
    </w:lvl>
  </w:abstractNum>
  <w:abstractNum w:abstractNumId="23">
    <w:nsid w:val="2C6E4AFD"/>
    <w:multiLevelType w:val="hybridMultilevel"/>
    <w:lvl w:ilvl="0">
      <w:lvlJc w:val="left"/>
      <w:lvlText w:val="(%1)"/>
      <w:numFmt w:val="lowerLetter"/>
      <w:start w:val="2"/>
    </w:lvl>
  </w:abstractNum>
  <w:abstractNum w:abstractNumId="24">
    <w:nsid w:val="17A1B582"/>
    <w:multiLevelType w:val="hybridMultilevel"/>
    <w:lvl w:ilvl="0">
      <w:lvlJc w:val="left"/>
      <w:lvlText w:val="(%1)"/>
      <w:numFmt w:val="lowerLetter"/>
      <w:start w:val="6"/>
    </w:lvl>
    <w:lvl w:ilvl="1">
      <w:lvlJc w:val="left"/>
      <w:lvlText w:val="(%2)"/>
      <w:numFmt w:val="lowerRoman"/>
      <w:start w:val="1"/>
    </w:lvl>
  </w:abstractNum>
  <w:abstractNum w:abstractNumId="25">
    <w:nsid w:val="4DF72E4E"/>
    <w:multiLevelType w:val="hybridMultilevel"/>
    <w:lvl w:ilvl="0">
      <w:lvlJc w:val="left"/>
      <w:lvlText w:val="(%1)"/>
      <w:numFmt w:val="lowerLetter"/>
      <w:start w:val="1"/>
    </w:lvl>
  </w:abstractNum>
  <w:abstractNum w:abstractNumId="26">
    <w:nsid w:val="5046B5A9"/>
    <w:multiLevelType w:val="hybridMultilevel"/>
    <w:lvl w:ilvl="0">
      <w:lvlJc w:val="left"/>
      <w:lvlText w:val="(%1)"/>
      <w:numFmt w:val="lowerLetter"/>
      <w:start w:val="8"/>
    </w:lvl>
  </w:abstractNum>
  <w:abstractNum w:abstractNumId="27">
    <w:nsid w:val="5D888A08"/>
    <w:multiLevelType w:val="hybridMultilevel"/>
    <w:lvl w:ilvl="0">
      <w:lvlJc w:val="left"/>
      <w:lvlText w:val="(%1)"/>
      <w:numFmt w:val="lowerLetter"/>
      <w:start w:val="1"/>
    </w:lvl>
  </w:abstractNum>
  <w:abstractNum w:abstractNumId="28">
    <w:nsid w:val="2A082C70"/>
    <w:multiLevelType w:val="hybridMultilevel"/>
    <w:lvl w:ilvl="0">
      <w:lvlJc w:val="left"/>
      <w:lvlText w:val="(%1)"/>
      <w:numFmt w:val="lowerLetter"/>
      <w:start w:val="1"/>
    </w:lvl>
  </w:abstractNum>
  <w:abstractNum w:abstractNumId="29">
    <w:nsid w:val="5EC6AFD4"/>
    <w:multiLevelType w:val="hybridMultilevel"/>
    <w:lvl w:ilvl="0">
      <w:lvlJc w:val="left"/>
      <w:lvlText w:val="(%1)"/>
      <w:numFmt w:val="upperLetter"/>
      <w:start w:val="1"/>
    </w:lvl>
  </w:abstractNum>
  <w:abstractNum w:abstractNumId="30">
    <w:nsid w:val="19E21BB2"/>
    <w:multiLevelType w:val="hybridMultilevel"/>
    <w:lvl w:ilvl="0">
      <w:lvlJc w:val="left"/>
      <w:lvlText w:val="(%1)"/>
      <w:numFmt w:val="upperLetter"/>
      <w:start w:val="2"/>
    </w:lvl>
  </w:abstractNum>
  <w:abstractNum w:abstractNumId="31">
    <w:nsid w:val="75E0858A"/>
    <w:multiLevelType w:val="hybridMultilevel"/>
    <w:lvl w:ilvl="0">
      <w:lvlJc w:val="left"/>
      <w:lvlText w:val="(%1)"/>
      <w:numFmt w:val="lowerLetter"/>
      <w:start w:val="1"/>
    </w:lvl>
  </w:abstractNum>
  <w:abstractNum w:abstractNumId="32">
    <w:nsid w:val="57A61A29"/>
    <w:multiLevelType w:val="hybridMultilevel"/>
    <w:lvl w:ilvl="0">
      <w:lvlJc w:val="left"/>
      <w:lvlText w:val="(%1)"/>
      <w:numFmt w:val="lowerLetter"/>
      <w:start w:val="1"/>
    </w:lvl>
  </w:abstractNum>
  <w:abstractNum w:abstractNumId="33">
    <w:nsid w:val="5399C654"/>
    <w:multiLevelType w:val="hybridMultilevel"/>
    <w:lvl w:ilvl="0">
      <w:lvlJc w:val="left"/>
      <w:lvlText w:val="(%1)"/>
      <w:numFmt w:val="lowerRoman"/>
      <w:start w:val="2"/>
    </w:lvl>
  </w:abstractNum>
  <w:abstractNum w:abstractNumId="34">
    <w:nsid w:val="20EE1348"/>
    <w:multiLevelType w:val="hybridMultilevel"/>
    <w:lvl w:ilvl="0">
      <w:lvlJc w:val="left"/>
      <w:lvlText w:val="(%1)"/>
      <w:numFmt w:val="lowerLetter"/>
      <w:start w:val="1"/>
    </w:lvl>
  </w:abstractNum>
  <w:abstractNum w:abstractNumId="35">
    <w:nsid w:val="4427069A"/>
    <w:multiLevelType w:val="hybridMultilevel"/>
    <w:lvl w:ilvl="0">
      <w:lvlJc w:val="left"/>
      <w:lvlText w:val="(%1)"/>
      <w:numFmt w:val="lowerLetter"/>
      <w:start w:val="4"/>
    </w:lvl>
  </w:abstractNum>
  <w:abstractNum w:abstractNumId="36">
    <w:nsid w:val="B37E80A"/>
    <w:multiLevelType w:val="hybridMultilevel"/>
    <w:lvl w:ilvl="0">
      <w:lvlJc w:val="left"/>
      <w:lvlText w:val="(%1)"/>
      <w:numFmt w:val="lowerLetter"/>
      <w:start w:val="1"/>
    </w:lvl>
    <w:lvl w:ilvl="1">
      <w:lvlJc w:val="left"/>
      <w:lvlText w:val="(%2)"/>
      <w:numFmt w:val="lowerRoman"/>
      <w:start w:val="1"/>
    </w:lvl>
  </w:abstractNum>
  <w:abstractNum w:abstractNumId="37">
    <w:nsid w:val="2157F6BC"/>
    <w:multiLevelType w:val="hybridMultilevel"/>
    <w:lvl w:ilvl="0">
      <w:lvlJc w:val="left"/>
      <w:lvlText w:val="(%1)"/>
      <w:numFmt w:val="lowerRoman"/>
      <w:start w:val="3"/>
    </w:lvl>
  </w:abstractNum>
  <w:abstractNum w:abstractNumId="38">
    <w:nsid w:val="704E1DD5"/>
    <w:multiLevelType w:val="hybridMultilevel"/>
    <w:lvl w:ilvl="0">
      <w:lvlJc w:val="left"/>
      <w:lvlText w:val="(%1)"/>
      <w:numFmt w:val="lowerLetter"/>
      <w:start w:val="2"/>
    </w:lvl>
  </w:abstractNum>
  <w:abstractNum w:abstractNumId="39">
    <w:nsid w:val="57D2F10E"/>
    <w:multiLevelType w:val="hybridMultilevel"/>
    <w:lvl w:ilvl="0">
      <w:lvlJc w:val="left"/>
      <w:lvlText w:val="(%1)"/>
      <w:numFmt w:val="lowerRoman"/>
      <w:start w:val="1"/>
    </w:lvl>
  </w:abstractNum>
  <w:abstractNum w:abstractNumId="40">
    <w:nsid w:val="BFFAE18"/>
    <w:multiLevelType w:val="hybridMultilevel"/>
    <w:lvl w:ilvl="0">
      <w:lvlJc w:val="left"/>
      <w:lvlText w:val="(%1)"/>
      <w:numFmt w:val="lowerRoman"/>
      <w:start w:val="7"/>
    </w:lvl>
  </w:abstractNum>
  <w:abstractNum w:abstractNumId="41">
    <w:nsid w:val="E3E47A8"/>
    <w:multiLevelType w:val="hybridMultilevel"/>
    <w:lvl w:ilvl="0">
      <w:lvlJc w:val="left"/>
      <w:lvlText w:val="(%1)"/>
      <w:numFmt w:val="upperLetter"/>
      <w:start w:val="9"/>
    </w:lvl>
  </w:abstractNum>
  <w:abstractNum w:abstractNumId="42">
    <w:nsid w:val="2E48F044"/>
    <w:multiLevelType w:val="hybridMultilevel"/>
    <w:lvl w:ilvl="0">
      <w:lvlJc w:val="left"/>
      <w:lvlText w:val="(%1)"/>
      <w:numFmt w:val="upperLetter"/>
      <w:start w:val="35"/>
    </w:lvl>
  </w:abstractNum>
  <w:abstractNum w:abstractNumId="43">
    <w:nsid w:val="49D0FEAC"/>
    <w:multiLevelType w:val="hybridMultilevel"/>
    <w:lvl w:ilvl="0">
      <w:lvlJc w:val="left"/>
      <w:lvlText w:val="(%1)"/>
      <w:numFmt w:val="upperLetter"/>
      <w:start w:val="61"/>
    </w:lvl>
  </w:abstractNum>
  <w:abstractNum w:abstractNumId="44">
    <w:nsid w:val="4BEE5A5B"/>
    <w:multiLevelType w:val="hybridMultilevel"/>
    <w:lvl w:ilvl="0">
      <w:lvlJc w:val="left"/>
      <w:lvlText w:val="(%1)"/>
      <w:numFmt w:val="lowerLetter"/>
      <w:start w:val="9"/>
    </w:lvl>
  </w:abstractNum>
  <w:abstractNum w:abstractNumId="45">
    <w:nsid w:val="5551B9F3"/>
    <w:multiLevelType w:val="hybridMultilevel"/>
    <w:lvl w:ilvl="0">
      <w:lvlJc w:val="left"/>
      <w:lvlText w:val="(%1)"/>
      <w:numFmt w:val="lowerLetter"/>
      <w:start w:val="1"/>
    </w:lvl>
  </w:abstractNum>
  <w:abstractNum w:abstractNumId="46">
    <w:nsid w:val="24F6AB8E"/>
    <w:multiLevelType w:val="hybridMultilevel"/>
    <w:lvl w:ilvl="0">
      <w:lvlJc w:val="left"/>
      <w:lvlText w:val="(%1)"/>
      <w:numFmt w:val="lowerLetter"/>
      <w:start w:val="1"/>
    </w:lvl>
  </w:abstractNum>
  <w:abstractNum w:abstractNumId="47">
    <w:nsid w:val="634C574C"/>
    <w:multiLevelType w:val="hybridMultilevel"/>
    <w:lvl w:ilvl="0">
      <w:lvlJc w:val="left"/>
      <w:lvlText w:val="(%1)"/>
      <w:numFmt w:val="lowerLetter"/>
      <w:start w:val="1"/>
    </w:lvl>
    <w:lvl w:ilvl="1">
      <w:lvlJc w:val="left"/>
      <w:lvlText w:val="(%2)"/>
      <w:numFmt w:val="lowerRoman"/>
      <w:start w:val="1"/>
    </w:lvl>
  </w:abstractNum>
  <w:abstractNum w:abstractNumId="48">
    <w:nsid w:val="24E99DD7"/>
    <w:multiLevelType w:val="hybridMultilevel"/>
    <w:lvl w:ilvl="0">
      <w:lvlJc w:val="left"/>
      <w:lvlText w:val="(%1)"/>
      <w:numFmt w:val="lowerLetter"/>
      <w:start w:val="2"/>
    </w:lvl>
    <w:lvl w:ilvl="1">
      <w:lvlJc w:val="left"/>
      <w:lvlText w:val="(%2)"/>
      <w:numFmt w:val="lowerRoman"/>
      <w:start w:val="1"/>
    </w:lvl>
  </w:abstractNum>
  <w:abstractNum w:abstractNumId="49">
    <w:nsid w:val="2A31B62D"/>
    <w:multiLevelType w:val="hybridMultilevel"/>
    <w:lvl w:ilvl="0">
      <w:lvlJc w:val="left"/>
      <w:lvlText w:val="(%1)"/>
      <w:numFmt w:val="lowerRoman"/>
      <w:start w:val="3"/>
    </w:lvl>
  </w:abstractNum>
  <w:abstractNum w:abstractNumId="50">
    <w:nsid w:val="1849C29B"/>
    <w:multiLevelType w:val="hybridMultilevel"/>
    <w:lvl w:ilvl="0">
      <w:lvlJc w:val="left"/>
      <w:lvlText w:val="(%1)"/>
      <w:numFmt w:val="upperLetter"/>
      <w:start w:val="2"/>
    </w:lvl>
  </w:abstractNum>
  <w:abstractNum w:abstractNumId="51">
    <w:nsid w:val="7DFF9D09"/>
    <w:multiLevelType w:val="hybridMultilevel"/>
    <w:lvl w:ilvl="0">
      <w:lvlJc w:val="left"/>
      <w:lvlText w:val="(%1)"/>
      <w:numFmt w:val="lowerLetter"/>
      <w:start w:val="26"/>
    </w:lvl>
  </w:abstractNum>
  <w:abstractNum w:abstractNumId="52">
    <w:nsid w:val="754342"/>
    <w:multiLevelType w:val="hybridMultilevel"/>
    <w:lvl w:ilvl="0">
      <w:lvlJc w:val="left"/>
      <w:lvlText w:val="(%1)"/>
      <w:numFmt w:val="lowerLetter"/>
      <w:start w:val="1"/>
    </w:lvl>
  </w:abstractNum>
  <w:abstractNum w:abstractNumId="53">
    <w:nsid w:val="69E7F3E5"/>
    <w:multiLevelType w:val="hybridMultilevel"/>
    <w:lvl w:ilvl="0">
      <w:lvlJc w:val="left"/>
      <w:lvlText w:val="(%1)"/>
      <w:numFmt w:val="lowerLetter"/>
      <w:start w:val="1"/>
    </w:lvl>
  </w:abstractNum>
  <w:abstractNum w:abstractNumId="54">
    <w:nsid w:val="2A6DE806"/>
    <w:multiLevelType w:val="hybridMultilevel"/>
    <w:lvl w:ilvl="0">
      <w:lvlJc w:val="left"/>
      <w:lvlText w:val="(%1)"/>
      <w:numFmt w:val="lowerLetter"/>
      <w:start w:val="1"/>
    </w:lvl>
  </w:abstractNum>
  <w:abstractNum w:abstractNumId="55">
    <w:nsid w:val="1816F8C4"/>
    <w:multiLevelType w:val="hybridMultilevel"/>
    <w:lvl w:ilvl="0">
      <w:lvlJc w:val="left"/>
      <w:lvlText w:val="(%1)"/>
      <w:numFmt w:val="lowerLetter"/>
      <w:start w:val="1"/>
    </w:lvl>
  </w:abstractNum>
  <w:abstractNum w:abstractNumId="56">
    <w:nsid w:val="37DF2233"/>
    <w:multiLevelType w:val="hybridMultilevel"/>
    <w:lvl w:ilvl="0">
      <w:lvlJc w:val="left"/>
      <w:lvlText w:val="(%1)"/>
      <w:numFmt w:val="lowerLetter"/>
      <w:start w:val="2"/>
    </w:lvl>
  </w:abstractNum>
  <w:abstractNum w:abstractNumId="57">
    <w:nsid w:val="7AB49DAF"/>
    <w:multiLevelType w:val="hybridMultilevel"/>
    <w:lvl w:ilvl="0">
      <w:lvlJc w:val="left"/>
      <w:lvlText w:val="(%1)"/>
      <w:numFmt w:val="lowerLetter"/>
      <w:start w:val="1"/>
    </w:lvl>
  </w:abstractNum>
  <w:abstractNum w:abstractNumId="58">
    <w:nsid w:val="759F82CD"/>
    <w:multiLevelType w:val="hybridMultilevel"/>
    <w:lvl w:ilvl="0">
      <w:lvlJc w:val="left"/>
      <w:lvlText w:val="(%1)"/>
      <w:numFmt w:val="lowerRoman"/>
      <w:start w:val="1"/>
    </w:lvl>
  </w:abstractNum>
  <w:abstractNum w:abstractNumId="59">
    <w:nsid w:val="61E74EA3"/>
    <w:multiLevelType w:val="hybridMultilevel"/>
    <w:lvl w:ilvl="0">
      <w:lvlJc w:val="left"/>
      <w:lvlText w:val="(%1)"/>
      <w:numFmt w:val="lowerLetter"/>
      <w:start w:val="1"/>
    </w:lvl>
  </w:abstractNum>
  <w:abstractNum w:abstractNumId="60">
    <w:nsid w:val="597B4D84"/>
    <w:multiLevelType w:val="hybridMultilevel"/>
    <w:lvl w:ilvl="0">
      <w:lvlJc w:val="left"/>
      <w:lvlText w:val="(%1)"/>
      <w:numFmt w:val="lowerLetter"/>
      <w:start w:val="1"/>
    </w:lvl>
    <w:lvl w:ilvl="1">
      <w:lvlJc w:val="left"/>
      <w:lvlText w:val="(%2)"/>
      <w:numFmt w:val="lowerRoman"/>
      <w:start w:val="1"/>
    </w:lvl>
  </w:abstractNum>
  <w:abstractNum w:abstractNumId="61">
    <w:nsid w:val="F819E7F"/>
    <w:multiLevelType w:val="hybridMultilevel"/>
    <w:lvl w:ilvl="0">
      <w:lvlJc w:val="left"/>
      <w:lvlText w:val="(%1)"/>
      <w:numFmt w:val="lowerLetter"/>
      <w:start w:val="3"/>
    </w:lvl>
  </w:abstractNum>
  <w:abstractNum w:abstractNumId="62">
    <w:nsid w:val="57C7D42D"/>
    <w:multiLevelType w:val="hybridMultilevel"/>
    <w:lvl w:ilvl="0">
      <w:lvlJc w:val="left"/>
      <w:lvlText w:val="(%1)"/>
      <w:numFmt w:val="lowerLetter"/>
      <w:start w:val="1"/>
    </w:lvl>
  </w:abstractNum>
  <w:abstractNum w:abstractNumId="63">
    <w:nsid w:val="312167AD"/>
    <w:multiLevelType w:val="hybridMultilevel"/>
    <w:lvl w:ilvl="0">
      <w:lvlJc w:val="left"/>
      <w:lvlText w:val="(%1)"/>
      <w:numFmt w:val="lowerLetter"/>
      <w:start w:val="1"/>
    </w:lvl>
  </w:abstractNum>
  <w:abstractNum w:abstractNumId="64">
    <w:nsid w:val="631B64D4"/>
    <w:multiLevelType w:val="hybridMultilevel"/>
    <w:lvl w:ilvl="0">
      <w:lvlJc w:val="left"/>
      <w:lvlText w:val="(%1)"/>
      <w:numFmt w:val="lowerLetter"/>
      <w:start w:val="1"/>
    </w:lvl>
  </w:abstractNum>
  <w:abstractNum w:abstractNumId="65">
    <w:nsid w:val="78B5E776"/>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66">
    <w:nsid w:val="75486E47"/>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abstractNum>
  <w:abstractNum w:abstractNumId="67">
    <w:nsid w:val="6E534CDE"/>
    <w:multiLevelType w:val="hybridMultilevel"/>
    <w:lvl w:ilvl="0">
      <w:lvlJc w:val="left"/>
      <w:lvlText w:val="(%1)"/>
      <w:numFmt w:val="upperLetter"/>
      <w:start w:val="35"/>
    </w:lvl>
    <w:lvl w:ilvl="1">
      <w:lvlJc w:val="left"/>
      <w:lvlText w:val="(%2)"/>
      <w:numFmt w:val="upperLetter"/>
      <w:start w:val="3"/>
    </w:lvl>
    <w:lvl w:ilvl="2">
      <w:lvlJc w:val="left"/>
      <w:lvlText w:val="(%3)"/>
      <w:numFmt w:val="decimal"/>
      <w:start w:val="1"/>
    </w:lvl>
  </w:abstractNum>
  <w:abstractNum w:abstractNumId="68">
    <w:nsid w:val="1A0DDE3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abstractNum>
  <w:abstractNum w:abstractNumId="69">
    <w:nsid w:val="65968C1C"/>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70">
    <w:nsid w:val="46263DEC"/>
    <w:multiLevelType w:val="hybridMultilevel"/>
    <w:lvl w:ilvl="0">
      <w:lvlJc w:val="left"/>
      <w:lvlText w:val="(%1)"/>
      <w:numFmt w:val="upperLetter"/>
      <w:start w:val="61"/>
    </w:lvl>
    <w:lvl w:ilvl="1">
      <w:lvlJc w:val="left"/>
      <w:lvlText w:val="(%2)"/>
      <w:numFmt w:val="upperLetter"/>
      <w:start w:val="4"/>
    </w:lvl>
    <w:lvl w:ilvl="2">
      <w:lvlJc w:val="left"/>
      <w:lvlText w:val="(%3)"/>
      <w:numFmt w:val="decimal"/>
      <w:start w:val="1"/>
    </w:lvl>
  </w:abstractNum>
  <w:abstractNum w:abstractNumId="71">
    <w:nsid w:val="260D8C4A"/>
    <w:multiLevelType w:val="hybridMultilevel"/>
    <w:lvl w:ilvl="0">
      <w:lvlJc w:val="left"/>
      <w:lvlText w:val="(%1)"/>
      <w:numFmt w:val="upperLetter"/>
      <w:start w:val="61"/>
    </w:lvl>
    <w:lvl w:ilvl="1">
      <w:lvlJc w:val="left"/>
      <w:lvlText w:val="(%2)"/>
      <w:numFmt w:val="upperLetter"/>
      <w:start w:val="5"/>
    </w:lvl>
  </w:abstractNum>
  <w:abstractNum w:abstractNumId="72">
    <w:nsid w:val="73D4D3C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0"/>
    </w:lvl>
  </w:abstractNum>
  <w:abstractNum w:abstractNumId="73">
    <w:nsid w:val="746F2E30"/>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74">
    <w:nsid w:val="6FDE8AF6"/>
    <w:multiLevelType w:val="hybridMultilevel"/>
    <w:lvl w:ilvl="0">
      <w:lvlJc w:val="left"/>
      <w:lvlText w:val="(%1)"/>
      <w:numFmt w:val="lowerLetter"/>
      <w:start w:val="25"/>
    </w:lvl>
    <w:lvl w:ilvl="1">
      <w:lvlJc w:val="left"/>
      <w:lvlText w:val="%2"/>
      <w:numFmt w:val="lowerLetter"/>
      <w:start w:val="1"/>
    </w:lvl>
    <w:lvl w:ilvl="2">
      <w:lvlJc w:val="left"/>
      <w:lvlText w:val="%3"/>
      <w:numFmt w:val="upperLetter"/>
      <w:start w:val="1"/>
    </w:lvl>
  </w:abstractNum>
  <w:abstractNum w:abstractNumId="75">
    <w:nsid w:val="3FC32E20"/>
    <w:multiLevelType w:val="hybridMultilevel"/>
    <w:lvl w:ilvl="0">
      <w:lvlJc w:val="left"/>
      <w:lvlText w:val="(%1)"/>
      <w:numFmt w:val="lowerLetter"/>
      <w:start w:val="9"/>
    </w:lvl>
    <w:lvl w:ilvl="1">
      <w:lvlJc w:val="left"/>
      <w:lvlText w:val="(%2)"/>
      <w:numFmt w:val="lowerLetter"/>
      <w:start w:val="4"/>
    </w:lvl>
    <w:lvl w:ilvl="2">
      <w:lvlJc w:val="left"/>
      <w:lvlText w:val="%3"/>
      <w:numFmt w:val="upperLetter"/>
      <w:start w:val="1"/>
    </w:lvl>
  </w:abstractNum>
  <w:abstractNum w:abstractNumId="76">
    <w:nsid w:val="49C0E823"/>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77">
    <w:nsid w:val="14D53685"/>
    <w:multiLevelType w:val="hybridMultilevel"/>
    <w:lvl w:ilvl="0">
      <w:lvlJc w:val="left"/>
      <w:lvlText w:val="%1"/>
      <w:numFmt w:val="upperLetter"/>
      <w:start w:val="1"/>
    </w:lvl>
    <w:lvl w:ilvl="1">
      <w:lvlJc w:val="left"/>
      <w:lvlText w:val="(%2)"/>
      <w:numFmt w:val="lowerLetter"/>
      <w:start w:val="6"/>
    </w:lvl>
  </w:abstractNum>
  <w:abstractNum w:abstractNumId="78">
    <w:nsid w:val="230F856C"/>
    <w:multiLevelType w:val="hybridMultilevel"/>
    <w:lvl w:ilvl="0">
      <w:lvlJc w:val="left"/>
      <w:lvlText w:val="(%1)"/>
      <w:numFmt w:val="upperLetter"/>
      <w:start w:val="2"/>
    </w:lvl>
    <w:lvl w:ilvl="1">
      <w:lvlJc w:val="left"/>
      <w:lvlText w:val="(%2)"/>
      <w:numFmt w:val="lowerLetter"/>
      <w:start w:val="7"/>
    </w:lvl>
  </w:abstractNum>
  <w:abstractNum w:abstractNumId="79">
    <w:nsid w:val="6EAA85FB"/>
    <w:multiLevelType w:val="hybridMultilevel"/>
    <w:lvl w:ilvl="0">
      <w:lvlJc w:val="left"/>
      <w:lvlText w:val="(%1)"/>
      <w:numFmt w:val="lowerLetter"/>
      <w:start w:val="1"/>
    </w:lvl>
  </w:abstractNum>
  <w:abstractNum w:abstractNumId="80">
    <w:nsid w:val="3F06ECB2"/>
    <w:multiLevelType w:val="hybridMultilevel"/>
    <w:lvl w:ilvl="0">
      <w:lvlJc w:val="left"/>
      <w:lvlText w:val="(%1)"/>
      <w:numFmt w:val="lowerLetter"/>
      <w:start w:val="4"/>
    </w:lvl>
  </w:abstractNum>
  <w:abstractNum w:abstractNumId="81">
    <w:nsid w:val="3B594807"/>
    <w:multiLevelType w:val="hybridMultilevel"/>
    <w:lvl w:ilvl="0">
      <w:lvlJc w:val="left"/>
      <w:lvlText w:val="(%1)"/>
      <w:numFmt w:val="lowerLetter"/>
      <w:start w:val="1"/>
    </w:lvl>
  </w:abstractNum>
  <w:abstractNum w:abstractNumId="82">
    <w:nsid w:val="6CAA2304"/>
    <w:multiLevelType w:val="hybridMultilevel"/>
    <w:lvl w:ilvl="0">
      <w:lvlJc w:val="left"/>
      <w:lvlText w:val="(%1)"/>
      <w:numFmt w:val="lowerRoman"/>
      <w:start w:val="1"/>
    </w:lvl>
  </w:abstractNum>
  <w:abstractNum w:abstractNumId="83">
    <w:nsid w:val="3F7C2FF4"/>
    <w:multiLevelType w:val="hybridMultilevel"/>
    <w:lvl w:ilvl="0">
      <w:lvlJc w:val="left"/>
      <w:lvlText w:val="%1"/>
      <w:numFmt w:val="lowerLetter"/>
      <w:start w:val="1"/>
    </w:lvl>
    <w:lvl w:ilvl="1">
      <w:lvlJc w:val="left"/>
      <w:lvlText w:val="(%2)"/>
      <w:numFmt w:val="lowerLetter"/>
      <w:start w:val="2"/>
    </w:lvl>
  </w:abstractNum>
  <w:abstractNum w:abstractNumId="84">
    <w:nsid w:val="25413BEC"/>
    <w:multiLevelType w:val="hybridMultilevel"/>
    <w:lvl w:ilvl="0">
      <w:lvlJc w:val="left"/>
      <w:lvlText w:val="(%1)"/>
      <w:numFmt w:val="lowerLetter"/>
      <w:start w:val="9"/>
    </w:lvl>
    <w:lvl w:ilvl="1">
      <w:lvlJc w:val="left"/>
      <w:lvlText w:val="%2"/>
      <w:numFmt w:val="lowerLetter"/>
      <w:start w:val="1"/>
    </w:lvl>
  </w:abstractNum>
  <w:abstractNum w:abstractNumId="85">
    <w:nsid w:val="17180B0B"/>
    <w:multiLevelType w:val="hybridMultilevel"/>
    <w:lvl w:ilvl="0">
      <w:lvlJc w:val="left"/>
      <w:lvlText w:val="(%1)"/>
      <w:numFmt w:val="lowerRoman"/>
      <w:start w:val="1"/>
    </w:lvl>
  </w:abstractNum>
  <w:abstractNum w:abstractNumId="86">
    <w:nsid w:val="579328B9"/>
    <w:multiLevelType w:val="hybridMultilevel"/>
    <w:lvl w:ilvl="0">
      <w:lvlJc w:val="left"/>
      <w:lvlText w:val="(%1)"/>
      <w:numFmt w:val="lowerLetter"/>
      <w:start w:val="2"/>
    </w:lvl>
  </w:abstractNum>
  <w:abstractNum w:abstractNumId="87">
    <w:nsid w:val="5D205E20"/>
    <w:multiLevelType w:val="hybridMultilevel"/>
    <w:lvl w:ilvl="0">
      <w:lvlJc w:val="left"/>
      <w:lvlText w:val="(%1)"/>
      <w:numFmt w:val="lowerRoman"/>
      <w:start w:val="1"/>
    </w:lvl>
  </w:abstractNum>
  <w:abstractNum w:abstractNumId="88">
    <w:nsid w:val="11CCA8BA"/>
    <w:multiLevelType w:val="hybridMultilevel"/>
    <w:lvl w:ilvl="0">
      <w:lvlJc w:val="left"/>
      <w:lvlText w:val="(%1)"/>
      <w:numFmt w:val="lowerLetter"/>
      <w:start w:val="61"/>
    </w:lvl>
    <w:lvl w:ilvl="1">
      <w:lvlJc w:val="left"/>
      <w:lvlText w:val="(%2)"/>
      <w:numFmt w:val="lowerLetter"/>
      <w:start w:val="1"/>
    </w:lvl>
  </w:abstractNum>
  <w:abstractNum w:abstractNumId="89">
    <w:nsid w:val="4D32AB86"/>
    <w:multiLevelType w:val="hybridMultilevel"/>
    <w:lvl w:ilvl="0">
      <w:lvlJc w:val="left"/>
      <w:lvlText w:val="(%1)"/>
      <w:numFmt w:val="lowerRoman"/>
      <w:start w:val="1"/>
    </w:lvl>
    <w:lvl w:ilvl="1">
      <w:lvlJc w:val="left"/>
      <w:lvlText w:val="(%2)"/>
      <w:numFmt w:val="upperLetter"/>
      <w:start w:val="1"/>
    </w:lvl>
  </w:abstractNum>
  <w:abstractNum w:abstractNumId="90">
    <w:nsid w:val="3F07ACC3"/>
    <w:multiLevelType w:val="hybridMultilevel"/>
    <w:lvl w:ilvl="0">
      <w:lvlJc w:val="left"/>
      <w:lvlText w:val="(%1)"/>
      <w:numFmt w:val="upperLetter"/>
      <w:start w:val="4"/>
    </w:lvl>
  </w:abstractNum>
  <w:abstractNum w:abstractNumId="91">
    <w:nsid w:val="6B47F63E"/>
    <w:multiLevelType w:val="hybridMultilevel"/>
    <w:lvl w:ilvl="0">
      <w:lvlJc w:val="left"/>
      <w:lvlText w:val="(%1)"/>
      <w:numFmt w:val="lowerLetter"/>
      <w:start w:val="5"/>
    </w:lvl>
  </w:abstractNum>
  <w:abstractNum w:abstractNumId="92">
    <w:nsid w:val="5CB44A05"/>
    <w:multiLevelType w:val="hybridMultilevel"/>
    <w:lvl w:ilvl="0">
      <w:lvlJc w:val="left"/>
      <w:lvlText w:val="(%1)"/>
      <w:numFmt w:val="lowerLetter"/>
      <w:start w:val="1"/>
    </w:lvl>
  </w:abstractNum>
  <w:abstractNum w:abstractNumId="93">
    <w:nsid w:val="16CF80F1"/>
    <w:multiLevelType w:val="hybridMultilevel"/>
    <w:lvl w:ilvl="0">
      <w:lvlJc w:val="left"/>
      <w:lvlText w:val="(%1)"/>
      <w:numFmt w:val="lowerLetter"/>
      <w:start w:val="1"/>
    </w:lvl>
  </w:abstractNum>
  <w:abstractNum w:abstractNumId="94">
    <w:nsid w:val="1C695DEC"/>
    <w:multiLevelType w:val="hybridMultilevel"/>
    <w:lvl w:ilvl="0">
      <w:lvlJc w:val="left"/>
      <w:lvlText w:val="(%1)"/>
      <w:numFmt w:val="lowerRoman"/>
      <w:start w:val="1"/>
    </w:lvl>
  </w:abstractNum>
  <w:abstractNum w:abstractNumId="95">
    <w:nsid w:val="3FCFAED9"/>
    <w:multiLevelType w:val="hybridMultilevel"/>
    <w:lvl w:ilvl="0">
      <w:lvlJc w:val="left"/>
      <w:lvlText w:val="%1"/>
      <w:numFmt w:val="lowerLetter"/>
      <w:start w:val="1"/>
    </w:lvl>
    <w:lvl w:ilvl="1">
      <w:lvlJc w:val="left"/>
      <w:lvlText w:val="(%2)"/>
      <w:numFmt w:val="lowerLetter"/>
      <w:start w:val="35"/>
    </w:lvl>
  </w:abstractNum>
  <w:abstractNum w:abstractNumId="96">
    <w:nsid w:val="F856867"/>
    <w:multiLevelType w:val="hybridMultilevel"/>
    <w:lvl w:ilvl="0">
      <w:lvlJc w:val="left"/>
      <w:lvlText w:val="(%1)"/>
      <w:numFmt w:val="lowerLetter"/>
      <w:start w:val="2"/>
    </w:lvl>
    <w:lvl w:ilvl="1">
      <w:lvlJc w:val="left"/>
      <w:lvlText w:val="(%2)"/>
      <w:numFmt w:val="lowerLetter"/>
      <w:start w:val="9"/>
    </w:lvl>
  </w:abstractNum>
  <w:abstractNum w:abstractNumId="97">
    <w:nsid w:val="11B1CC33"/>
    <w:multiLevelType w:val="hybridMultilevel"/>
    <w:lvl w:ilvl="0">
      <w:lvlJc w:val="left"/>
      <w:lvlText w:val="(%1)"/>
      <w:numFmt w:val="lowerRoman"/>
      <w:start w:val="2"/>
    </w:lvl>
  </w:abstractNum>
  <w:abstractNum w:abstractNumId="98">
    <w:nsid w:val="2E22FBB7"/>
    <w:multiLevelType w:val="hybridMultilevel"/>
    <w:lvl w:ilvl="0">
      <w:lvlJc w:val="left"/>
      <w:lvlText w:val="(%1)"/>
      <w:numFmt w:val="lowerLetter"/>
      <w:start w:val="3"/>
    </w:lvl>
  </w:abstractNum>
  <w:abstractNum w:abstractNumId="99">
    <w:nsid w:val="29934699"/>
    <w:multiLevelType w:val="hybridMultilevel"/>
    <w:lvl w:ilvl="0">
      <w:lvlJc w:val="left"/>
      <w:lvlText w:val="(%1)"/>
      <w:numFmt w:val="lowerLetter"/>
      <w:start w:val="1"/>
    </w:lvl>
  </w:abstractNum>
  <w:abstractNum w:abstractNumId="100">
    <w:nsid w:val="77485850"/>
    <w:multiLevelType w:val="hybridMultilevel"/>
    <w:lvl w:ilvl="0">
      <w:lvlJc w:val="left"/>
      <w:lvlText w:val="(%1)"/>
      <w:numFmt w:val="lowerLetter"/>
      <w:start w:val="1"/>
    </w:lvl>
  </w:abstractNum>
  <w:abstractNum w:abstractNumId="101">
    <w:nsid w:val="744939A3"/>
    <w:multiLevelType w:val="hybridMultilevel"/>
    <w:lvl w:ilvl="0">
      <w:lvlJc w:val="left"/>
      <w:lvlText w:val="%1"/>
      <w:numFmt w:val="lowerLetter"/>
      <w:start w:val="1"/>
    </w:lvl>
    <w:lvl w:ilvl="1">
      <w:lvlJc w:val="left"/>
      <w:lvlText w:val="(%2)"/>
      <w:numFmt w:val="lowerRoman"/>
      <w:start w:val="1"/>
    </w:lvl>
  </w:abstractNum>
  <w:abstractNum w:abstractNumId="102">
    <w:nsid w:val="4FA0D2E3"/>
    <w:multiLevelType w:val="hybridMultilevel"/>
    <w:lvl w:ilvl="0">
      <w:lvlJc w:val="left"/>
      <w:lvlText w:val="(%1)"/>
      <w:numFmt w:val="lowerLetter"/>
      <w:start w:val="5"/>
    </w:lvl>
    <w:lvl w:ilvl="1">
      <w:lvlJc w:val="left"/>
      <w:lvlText w:val="%2"/>
      <w:numFmt w:val="lowerRoman"/>
      <w:start w:val="1"/>
    </w:lvl>
  </w:abstractNum>
  <w:abstractNum w:abstractNumId="103">
    <w:nsid w:val="6B1D2C14"/>
    <w:multiLevelType w:val="hybridMultilevel"/>
    <w:lvl w:ilvl="0">
      <w:lvlJc w:val="left"/>
      <w:lvlText w:val="(%1)"/>
      <w:numFmt w:val="lowerLetter"/>
      <w:start w:val="1"/>
    </w:lvl>
    <w:lvl w:ilvl="1">
      <w:lvlJc w:val="left"/>
      <w:lvlText w:val="(%2)"/>
      <w:numFmt w:val="lowerRoman"/>
      <w:start w:val="1"/>
    </w:lvl>
  </w:abstractNum>
  <w:abstractNum w:abstractNumId="104">
    <w:nsid w:val="68B867D3"/>
    <w:multiLevelType w:val="hybridMultilevel"/>
    <w:lvl w:ilvl="0">
      <w:lvlJc w:val="left"/>
      <w:lvlText w:val="%1"/>
      <w:numFmt w:val="lowerLetter"/>
      <w:start w:val="1"/>
    </w:lvl>
    <w:lvl w:ilvl="1">
      <w:lvlJc w:val="left"/>
      <w:lvlText w:val="(%2)"/>
      <w:numFmt w:val="lowerLetter"/>
      <w:start w:val="61"/>
    </w:lvl>
  </w:abstractNum>
  <w:abstractNum w:abstractNumId="105">
    <w:nsid w:val="3F7F5DD9"/>
    <w:multiLevelType w:val="hybridMultilevel"/>
    <w:lvl w:ilvl="0">
      <w:lvlJc w:val="left"/>
      <w:lvlText w:val="(%1)"/>
      <w:numFmt w:val="lowerLetter"/>
      <w:start w:val="2"/>
    </w:lvl>
    <w:lvl w:ilvl="1">
      <w:lvlJc w:val="left"/>
      <w:lvlText w:val="(%2)"/>
      <w:numFmt w:val="lowerLetter"/>
      <w:start w:val="9"/>
    </w:lvl>
  </w:abstractNum>
  <w:abstractNum w:abstractNumId="106">
    <w:nsid w:val="2AE05A34"/>
    <w:multiLevelType w:val="hybridMultilevel"/>
    <w:lvl w:ilvl="0">
      <w:lvlJc w:val="left"/>
      <w:lvlText w:val="%1"/>
      <w:numFmt w:val="lowerLetter"/>
      <w:start w:val="1"/>
    </w:lvl>
    <w:lvl w:ilvl="1">
      <w:lvlJc w:val="left"/>
      <w:lvlText w:val="(%2)"/>
      <w:numFmt w:val="lowerLetter"/>
      <w:start w:val="35"/>
    </w:lvl>
  </w:abstractNum>
  <w:abstractNum w:abstractNumId="107">
    <w:nsid w:val="32794FF7"/>
    <w:multiLevelType w:val="hybridMultilevel"/>
    <w:lvl w:ilvl="0">
      <w:lvlJc w:val="left"/>
      <w:lvlText w:val="(%1)"/>
      <w:numFmt w:val="lowerLetter"/>
      <w:start w:val="4"/>
    </w:lvl>
    <w:lvl w:ilvl="1">
      <w:lvlJc w:val="left"/>
      <w:lvlText w:val="%2"/>
      <w:numFmt w:val="lowerLetter"/>
      <w:start w:val="1"/>
    </w:lvl>
  </w:abstractNum>
  <w:abstractNum w:abstractNumId="108">
    <w:nsid w:val="5454945E"/>
    <w:multiLevelType w:val="hybridMultilevel"/>
    <w:lvl w:ilvl="0">
      <w:lvlJc w:val="left"/>
      <w:lvlText w:val="(%1)"/>
      <w:numFmt w:val="lowerLetter"/>
      <w:start w:val="6"/>
    </w:lvl>
    <w:lvl w:ilvl="1">
      <w:lvlJc w:val="left"/>
      <w:lvlText w:val="(%2)"/>
      <w:numFmt w:val="lowerLetter"/>
      <w:start w:val="9"/>
    </w:lvl>
  </w:abstractNum>
  <w:abstractNum w:abstractNumId="109">
    <w:nsid w:val="4DEFDFA0"/>
    <w:multiLevelType w:val="hybridMultilevel"/>
    <w:lvl w:ilvl="0">
      <w:lvlJc w:val="left"/>
      <w:lvlText w:val="(%1)"/>
      <w:numFmt w:val="lowerLetter"/>
      <w:start w:val="1"/>
    </w:lvl>
  </w:abstractNum>
  <w:abstractNum w:abstractNumId="110">
    <w:nsid w:val="2123D5F2"/>
    <w:multiLevelType w:val="hybridMultilevel"/>
    <w:lvl w:ilvl="0">
      <w:lvlJc w:val="left"/>
      <w:lvlText w:val="(%1)"/>
      <w:numFmt w:val="lowerLetter"/>
      <w:start w:val="1"/>
    </w:lvl>
  </w:abstractNum>
  <w:abstractNum w:abstractNumId="111">
    <w:nsid w:val="135B8110"/>
    <w:multiLevelType w:val="hybridMultilevel"/>
    <w:lvl w:ilvl="0">
      <w:lvlJc w:val="left"/>
      <w:lvlText w:val="(%1)"/>
      <w:numFmt w:val="lowerLetter"/>
      <w:start w:val="1"/>
    </w:lvl>
  </w:abstractNum>
  <w:abstractNum w:abstractNumId="112">
    <w:nsid w:val="94927A8"/>
    <w:multiLevelType w:val="hybridMultilevel"/>
    <w:lvl w:ilvl="0">
      <w:lvlJc w:val="left"/>
      <w:lvlText w:val="(%1)"/>
      <w:numFmt w:val="lowerLetter"/>
      <w:start w:val="1"/>
    </w:lvl>
  </w:abstractNum>
  <w:abstractNum w:abstractNumId="113">
    <w:nsid w:val="DCDF8F6"/>
    <w:multiLevelType w:val="hybridMultilevel"/>
    <w:lvl w:ilvl="0">
      <w:lvlJc w:val="left"/>
      <w:lvlText w:val="(%1)"/>
      <w:numFmt w:val="lowerLetter"/>
      <w:start w:val="1"/>
    </w:lvl>
  </w:abstractNum>
  <w:abstractNum w:abstractNumId="114">
    <w:nsid w:val="52D7B105"/>
    <w:multiLevelType w:val="hybridMultilevel"/>
    <w:lvl w:ilvl="0">
      <w:lvlJc w:val="left"/>
      <w:lvlText w:val="(%1)"/>
      <w:numFmt w:val="lowerLetter"/>
      <w:start w:val="1"/>
    </w:lvl>
  </w:abstractNum>
  <w:abstractNum w:abstractNumId="115">
    <w:nsid w:val="2E8A6394"/>
    <w:multiLevelType w:val="hybridMultilevel"/>
    <w:lvl w:ilvl="0">
      <w:lvlJc w:val="left"/>
      <w:lvlText w:val="(%1)"/>
      <w:numFmt w:val="lowerLetter"/>
      <w:start w:val="1"/>
    </w:lvl>
  </w:abstractNum>
  <w:abstractNum w:abstractNumId="116">
    <w:nsid w:val="24E60401"/>
    <w:multiLevelType w:val="hybridMultilevel"/>
    <w:lvl w:ilvl="0">
      <w:lvlJc w:val="left"/>
      <w:lvlText w:val="(%1)"/>
      <w:numFmt w:val="lowerLetter"/>
      <w:start w:val="1"/>
    </w:lvl>
  </w:abstractNum>
  <w:abstractNum w:abstractNumId="117">
    <w:nsid w:val="2A6AD9BE"/>
    <w:multiLevelType w:val="hybridMultilevel"/>
    <w:lvl w:ilvl="0">
      <w:lvlJc w:val="left"/>
      <w:lvlText w:val="%1"/>
      <w:numFmt w:val="lowerLetter"/>
      <w:start w:val="1"/>
    </w:lvl>
    <w:lvl w:ilvl="1">
      <w:lvlJc w:val="left"/>
      <w:lvlText w:val="(%2)"/>
      <w:numFmt w:val="lowerLetter"/>
      <w:start w:val="1"/>
    </w:lvl>
  </w:abstractNum>
  <w:abstractNum w:abstractNumId="118">
    <w:nsid w:val="BAAC1B4"/>
    <w:multiLevelType w:val="hybridMultilevel"/>
    <w:lvl w:ilvl="0">
      <w:lvlJc w:val="left"/>
      <w:lvlText w:val="(%1)"/>
      <w:numFmt w:val="lowerLetter"/>
      <w:start w:val="35"/>
    </w:lvl>
    <w:lvl w:ilvl="1">
      <w:lvlJc w:val="left"/>
      <w:lvlText w:val="%2"/>
      <w:numFmt w:val="lowerLetter"/>
      <w:start w:val="1"/>
    </w:lvl>
  </w:abstractNum>
  <w:abstractNum w:abstractNumId="119">
    <w:nsid w:val="36B2ACBC"/>
    <w:multiLevelType w:val="hybridMultilevel"/>
    <w:lvl w:ilvl="0">
      <w:lvlJc w:val="left"/>
      <w:lvlText w:val="(%1)"/>
      <w:numFmt w:val="lowerLetter"/>
      <w:start w:val="1"/>
    </w:lvl>
  </w:abstractNum>
  <w:abstractNum w:abstractNumId="120">
    <w:nsid w:val="779D8544"/>
    <w:multiLevelType w:val="hybridMultilevel"/>
    <w:lvl w:ilvl="0">
      <w:lvlJc w:val="left"/>
      <w:lvlText w:val="(%1)"/>
      <w:numFmt w:val="lowerLetter"/>
      <w:start w:val="1"/>
    </w:lvl>
  </w:abstractNum>
  <w:abstractNum w:abstractNumId="121">
    <w:nsid w:val="4AB26E78"/>
    <w:multiLevelType w:val="hybridMultilevel"/>
    <w:lvl w:ilvl="0">
      <w:lvlJc w:val="left"/>
      <w:lvlText w:val="(%1)"/>
      <w:numFmt w:val="lowerLetter"/>
      <w:start w:val="1"/>
    </w:lvl>
  </w:abstractNum>
  <w:abstractNum w:abstractNumId="122">
    <w:nsid w:val="21FAA2FA"/>
    <w:multiLevelType w:val="hybridMultilevel"/>
    <w:lvl w:ilvl="0">
      <w:lvlJc w:val="left"/>
      <w:lvlText w:val="(%1)"/>
      <w:numFmt w:val="lowerLetter"/>
      <w:start w:val="11"/>
    </w:lvl>
  </w:abstractNum>
  <w:abstractNum w:abstractNumId="123">
    <w:nsid w:val="5451CF49"/>
    <w:multiLevelType w:val="hybridMultilevel"/>
    <w:lvl w:ilvl="0">
      <w:lvlJc w:val="left"/>
      <w:lvlText w:val="(%1)"/>
      <w:numFmt w:val="lowerLetter"/>
      <w:start w:val="1"/>
    </w:lvl>
  </w:abstractNum>
  <w:abstractNum w:abstractNumId="124">
    <w:nsid w:val="6181EF69"/>
    <w:multiLevelType w:val="hybridMultilevel"/>
    <w:lvl w:ilvl="0">
      <w:lvlJc w:val="left"/>
      <w:lvlText w:val="%1"/>
      <w:numFmt w:val="lowerLetter"/>
      <w:start w:val="1"/>
    </w:lvl>
    <w:lvl w:ilvl="1">
      <w:lvlJc w:val="left"/>
      <w:lvlText w:val="(%2)"/>
      <w:numFmt w:val="lowerLetter"/>
      <w:start w:val="3"/>
    </w:lvl>
  </w:abstractNum>
  <w:abstractNum w:abstractNumId="125">
    <w:nsid w:val="3E6400E6"/>
    <w:multiLevelType w:val="hybridMultilevel"/>
    <w:lvl w:ilvl="0">
      <w:lvlJc w:val="left"/>
      <w:lvlText w:val="(%1)"/>
      <w:numFmt w:val="lowerLetter"/>
      <w:start w:val="1"/>
    </w:lvl>
    <w:lvl w:ilvl="1">
      <w:lvlJc w:val="left"/>
      <w:lvlText w:val="(%2)"/>
      <w:numFmt w:val="lowerLetter"/>
      <w:start w:val="5"/>
    </w:lvl>
  </w:abstractNum>
  <w:abstractNum w:abstractNumId="126">
    <w:nsid w:val="14217E23"/>
    <w:multiLevelType w:val="hybridMultilevel"/>
    <w:lvl w:ilvl="0">
      <w:lvlJc w:val="left"/>
      <w:lvlText w:val="(%1)"/>
      <w:numFmt w:val="lowerLetter"/>
      <w:start w:val="1"/>
    </w:lvl>
  </w:abstractNum>
  <w:abstractNum w:abstractNumId="127">
    <w:nsid w:val="710757D0"/>
    <w:multiLevelType w:val="hybridMultilevel"/>
    <w:lvl w:ilvl="0">
      <w:lvlJc w:val="left"/>
      <w:lvlText w:val="(%1)"/>
      <w:numFmt w:val="lowerLetter"/>
      <w:start w:val="1"/>
    </w:lvl>
  </w:abstractNum>
  <w:abstractNum w:abstractNumId="128">
    <w:nsid w:val="5015CD1A"/>
    <w:multiLevelType w:val="hybridMultilevel"/>
    <w:lvl w:ilvl="0">
      <w:lvlJc w:val="left"/>
      <w:lvlText w:val="(%1)"/>
      <w:numFmt w:val="lowerLetter"/>
      <w:start w:val="1"/>
    </w:lvl>
  </w:abstractNum>
  <w:abstractNum w:abstractNumId="129">
    <w:nsid w:val="424479DA"/>
    <w:multiLevelType w:val="hybridMultilevel"/>
    <w:lvl w:ilvl="0">
      <w:lvlJc w:val="left"/>
      <w:lvlText w:val="(%1)"/>
      <w:numFmt w:val="lowerLetter"/>
      <w:start w:val="1"/>
    </w:lvl>
  </w:abstractNum>
  <w:abstractNum w:abstractNumId="130">
    <w:nsid w:val="1A9A9E69"/>
    <w:multiLevelType w:val="hybridMultilevel"/>
    <w:lvl w:ilvl="0">
      <w:lvlJc w:val="left"/>
      <w:lvlText w:val="(%1)"/>
      <w:numFmt w:val="lowerLetter"/>
      <w:start w:val="1"/>
    </w:lvl>
  </w:abstractNum>
  <w:abstractNum w:abstractNumId="131">
    <w:nsid w:val="475E256A"/>
    <w:multiLevelType w:val="hybridMultilevel"/>
    <w:lvl w:ilvl="0">
      <w:lvlJc w:val="left"/>
      <w:lvlText w:val="(%1)"/>
      <w:numFmt w:val="lowerLetter"/>
      <w:start w:val="1"/>
    </w:lvl>
  </w:abstractNum>
  <w:abstractNum w:abstractNumId="132">
    <w:nsid w:val="368DB37E"/>
    <w:multiLevelType w:val="hybridMultilevel"/>
    <w:lvl w:ilvl="0">
      <w:lvlJc w:val="left"/>
      <w:lvlText w:val="(%1)"/>
      <w:numFmt w:val="lowerLetter"/>
      <w:start w:val="3"/>
    </w:lvl>
  </w:abstractNum>
  <w:abstractNum w:abstractNumId="133">
    <w:nsid w:val="6A3B714C"/>
    <w:multiLevelType w:val="hybridMultilevel"/>
    <w:lvl w:ilvl="0">
      <w:lvlJc w:val="left"/>
      <w:lvlText w:val="(%1)"/>
      <w:numFmt w:val="lowerRoman"/>
      <w:start w:val="1"/>
    </w:lvl>
  </w:abstractNum>
  <w:abstractNum w:abstractNumId="134">
    <w:nsid w:val="327B517E"/>
    <w:multiLevelType w:val="hybridMultilevel"/>
    <w:lvl w:ilvl="0">
      <w:lvlJc w:val="left"/>
      <w:lvlText w:val="%1"/>
      <w:numFmt w:val="lowerRoman"/>
      <w:start w:val="1"/>
    </w:lvl>
    <w:lvl w:ilvl="1">
      <w:lvlJc w:val="left"/>
      <w:lvlText w:val="(%2)"/>
      <w:numFmt w:val="lowerRoman"/>
      <w:start w:val="8"/>
    </w:lvl>
  </w:abstractNum>
  <w:abstractNum w:abstractNumId="135">
    <w:nsid w:val="1F461B51"/>
    <w:multiLevelType w:val="hybridMultilevel"/>
    <w:lvl w:ilvl="0">
      <w:lvlJc w:val="left"/>
      <w:lvlText w:val="(%1)"/>
      <w:numFmt w:val="lowerRoman"/>
      <w:start w:val="9"/>
    </w:lvl>
    <w:lvl w:ilvl="1">
      <w:lvlJc w:val="left"/>
      <w:lvlText w:val="(%2)"/>
      <w:numFmt w:val="lowerRoman"/>
      <w:start w:val="10"/>
    </w:lvl>
  </w:abstractNum>
  <w:abstractNum w:abstractNumId="136">
    <w:nsid w:val="29BACF25"/>
    <w:multiLevelType w:val="hybridMultilevel"/>
    <w:lvl w:ilvl="0">
      <w:lvlJc w:val="left"/>
      <w:lvlText w:val="%1"/>
      <w:numFmt w:val="lowerLetter"/>
      <w:start w:val="1"/>
    </w:lvl>
    <w:lvl w:ilvl="1">
      <w:lvlJc w:val="left"/>
      <w:lvlText w:val="(%2)"/>
      <w:numFmt w:val="lowerRoman"/>
      <w:start w:val="17"/>
    </w:lvl>
  </w:abstractNum>
  <w:abstractNum w:abstractNumId="137">
    <w:nsid w:val="5D5BABB3"/>
    <w:multiLevelType w:val="hybridMultilevel"/>
    <w:lvl w:ilvl="0">
      <w:lvlJc w:val="left"/>
      <w:lvlText w:val="(%1)"/>
      <w:numFmt w:val="lowerLetter"/>
      <w:start w:val="2"/>
    </w:lvl>
    <w:lvl w:ilvl="1">
      <w:lvlJc w:val="left"/>
      <w:lvlText w:val="%2"/>
      <w:numFmt w:val="lowerRoman"/>
      <w:start w:val="1"/>
    </w:lvl>
  </w:abstractNum>
  <w:abstractNum w:abstractNumId="138">
    <w:nsid w:val="51BF6B48"/>
    <w:multiLevelType w:val="hybridMultilevel"/>
    <w:lvl w:ilvl="0">
      <w:lvlJc w:val="left"/>
      <w:lvlText w:val="(%1)"/>
      <w:numFmt w:val="lowerRoman"/>
      <w:start w:val="2"/>
    </w:lvl>
  </w:abstractNum>
  <w:abstractNum w:abstractNumId="139">
    <w:nsid w:val="7E0F6384"/>
    <w:multiLevelType w:val="hybridMultilevel"/>
    <w:lvl w:ilvl="0">
      <w:lvlJc w:val="left"/>
      <w:lvlText w:val="(%1)"/>
      <w:numFmt w:val="lowerRoman"/>
      <w:start w:val="16"/>
    </w:lvl>
  </w:abstractNum>
  <w:abstractNum w:abstractNumId="140">
    <w:nsid w:val="2B4B8B53"/>
    <w:multiLevelType w:val="hybridMultilevel"/>
    <w:lvl w:ilvl="0">
      <w:lvlJc w:val="left"/>
      <w:lvlText w:val="%1"/>
      <w:numFmt w:val="lowerRoman"/>
      <w:start w:val="1"/>
    </w:lvl>
    <w:lvl w:ilvl="1">
      <w:lvlJc w:val="left"/>
      <w:lvlText w:val="(%2)"/>
      <w:numFmt w:val="lowerRoman"/>
      <w:start w:val="1"/>
    </w:lvl>
  </w:abstractNum>
  <w:abstractNum w:abstractNumId="141">
    <w:nsid w:val="72E3413A"/>
    <w:multiLevelType w:val="hybridMultilevel"/>
    <w:lvl w:ilvl="0">
      <w:lvlJc w:val="left"/>
      <w:lvlText w:val="(%1)"/>
      <w:numFmt w:val="lowerRoman"/>
      <w:start w:val="10"/>
    </w:lvl>
    <w:lvl w:ilvl="1">
      <w:lvlJc w:val="left"/>
      <w:lvlText w:val="(%2)"/>
      <w:numFmt w:val="lowerRoman"/>
      <w:start w:val="2"/>
    </w:lvl>
  </w:abstractNum>
  <w:abstractNum w:abstractNumId="142">
    <w:nsid w:val="116AE494"/>
    <w:multiLevelType w:val="hybridMultilevel"/>
    <w:lvl w:ilvl="0">
      <w:lvlJc w:val="left"/>
      <w:lvlText w:val="%1"/>
      <w:numFmt w:val="lowerLetter"/>
      <w:start w:val="1"/>
    </w:lvl>
    <w:lvl w:ilvl="1">
      <w:lvlJc w:val="left"/>
      <w:lvlText w:val="(%2)"/>
      <w:numFmt w:val="lowerRoman"/>
      <w:start w:val="5"/>
    </w:lvl>
  </w:abstractNum>
  <w:abstractNum w:abstractNumId="143">
    <w:nsid w:val="3494B2FB"/>
    <w:multiLevelType w:val="hybridMultilevel"/>
    <w:lvl w:ilvl="0">
      <w:lvlJc w:val="left"/>
      <w:lvlText w:val="(%1)"/>
      <w:numFmt w:val="lowerLetter"/>
      <w:start w:val="2"/>
    </w:lvl>
    <w:lvl w:ilvl="1">
      <w:lvlJc w:val="left"/>
      <w:lvlText w:val="%2"/>
      <w:numFmt w:val="lowerRoman"/>
      <w:start w:val="1"/>
    </w:lvl>
  </w:abstractNum>
  <w:abstractNum w:abstractNumId="144">
    <w:nsid w:val="B13A31"/>
    <w:multiLevelType w:val="hybridMultilevel"/>
    <w:lvl w:ilvl="0">
      <w:lvlJc w:val="left"/>
      <w:lvlText w:val="(%1)"/>
      <w:numFmt w:val="lowerLetter"/>
      <w:start w:val="5"/>
    </w:lvl>
  </w:abstractNum>
  <w:abstractNum w:abstractNumId="145">
    <w:nsid w:val="64429599"/>
    <w:multiLevelType w:val="hybridMultilevel"/>
    <w:lvl w:ilvl="0">
      <w:lvlJc w:val="left"/>
      <w:lvlText w:val="(%1)"/>
      <w:numFmt w:val="lowerLetter"/>
      <w:start w:val="1"/>
    </w:lvl>
  </w:abstractNum>
  <w:abstractNum w:abstractNumId="146">
    <w:nsid w:val="631F1690"/>
    <w:multiLevelType w:val="hybridMultilevel"/>
    <w:lvl w:ilvl="0">
      <w:lvlJc w:val="left"/>
      <w:lvlText w:val="(%1)"/>
      <w:numFmt w:val="lowerLetter"/>
      <w:start w:val="11"/>
    </w:lvl>
  </w:abstractNum>
  <w:abstractNum w:abstractNumId="147">
    <w:nsid w:val="25973E32"/>
    <w:multiLevelType w:val="hybridMultilevel"/>
    <w:lvl w:ilvl="0">
      <w:lvlJc w:val="left"/>
      <w:lvlText w:val="(%1)"/>
      <w:numFmt w:val="lowerLetter"/>
      <w:start w:val="1"/>
    </w:lvl>
  </w:abstractNum>
  <w:abstractNum w:abstractNumId="148">
    <w:nsid w:val="EAD6F57"/>
    <w:multiLevelType w:val="hybridMultilevel"/>
    <w:lvl w:ilvl="0">
      <w:lvlJc w:val="left"/>
      <w:lvlText w:val="(%1)"/>
      <w:numFmt w:val="lowerLetter"/>
      <w:start w:val="5"/>
    </w:lvl>
  </w:abstractNum>
  <w:abstractNum w:abstractNumId="149">
    <w:nsid w:val="6EC9D844"/>
    <w:multiLevelType w:val="hybridMultilevel"/>
    <w:lvl w:ilvl="0">
      <w:lvlJc w:val="left"/>
      <w:lvlText w:val="(%1)"/>
      <w:numFmt w:val="lowerRoman"/>
      <w:start w:val="1"/>
    </w:lvl>
    <w:lvl w:ilvl="1">
      <w:lvlJc w:val="left"/>
      <w:lvlText w:val="(%2)"/>
      <w:numFmt w:val="upperLetter"/>
      <w:start w:val="1"/>
    </w:lvl>
  </w:abstractNum>
  <w:abstractNum w:abstractNumId="150">
    <w:nsid w:val="5C49EAE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51">
    <w:nsid w:val="64AF49B"/>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52">
    <w:nsid w:val="397C46B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3">
    <w:nsid w:val="7E448DE9"/>
    <w:multiLevelType w:val="hybridMultilevel"/>
    <w:lvl w:ilvl="0">
      <w:lvlJc w:val="left"/>
      <w:lvlText w:val="(%1)"/>
      <w:numFmt w:val="lowerRoman"/>
      <w:start w:val="1"/>
    </w:lvl>
  </w:abstractNum>
  <w:abstractNum w:abstractNumId="154">
    <w:nsid w:val="5A9CC3E5"/>
    <w:multiLevelType w:val="hybridMultilevel"/>
    <w:lvl w:ilvl="0">
      <w:lvlJc w:val="left"/>
      <w:lvlText w:val="(%1)"/>
      <w:numFmt w:val="lowerLetter"/>
      <w:start w:val="1"/>
    </w:lvl>
  </w:abstractNum>
  <w:abstractNum w:abstractNumId="155">
    <w:nsid w:val="1AFE3625"/>
    <w:multiLevelType w:val="hybridMultilevel"/>
    <w:lvl w:ilvl="0">
      <w:lvlJc w:val="left"/>
      <w:lvlText w:val="(%1)"/>
      <w:numFmt w:val="lowerLetter"/>
      <w:start w:val="1"/>
    </w:lvl>
  </w:abstractNum>
  <w:abstractNum w:abstractNumId="156">
    <w:nsid w:val="3CA88ECF"/>
    <w:multiLevelType w:val="hybridMultilevel"/>
    <w:lvl w:ilvl="0">
      <w:lvlJc w:val="left"/>
      <w:lvlText w:val="%1"/>
      <w:numFmt w:val="lowerLetter"/>
      <w:start w:val="1"/>
    </w:lvl>
    <w:lvl w:ilvl="1">
      <w:lvlJc w:val="left"/>
      <w:lvlText w:val="(%2)"/>
      <w:numFmt w:val="lowerLetter"/>
      <w:start w:val="1"/>
    </w:lvl>
  </w:abstractNum>
  <w:abstractNum w:abstractNumId="157">
    <w:nsid w:val="6EBE4208"/>
    <w:multiLevelType w:val="hybridMultilevel"/>
    <w:lvl w:ilvl="0">
      <w:lvlJc w:val="left"/>
      <w:lvlText w:val="(%1)"/>
      <w:numFmt w:val="lowerLetter"/>
      <w:start w:val="22"/>
    </w:lvl>
    <w:lvl w:ilvl="1">
      <w:lvlJc w:val="left"/>
      <w:lvlText w:val="(%2)"/>
      <w:numFmt w:val="lowerLetter"/>
      <w:start w:val="10"/>
    </w:lvl>
  </w:abstractNum>
  <w:abstractNum w:abstractNumId="158">
    <w:nsid w:val="C058DF5"/>
    <w:multiLevelType w:val="hybridMultilevel"/>
    <w:lvl w:ilvl="0">
      <w:lvlJc w:val="left"/>
      <w:lvlText w:val="(%1)"/>
      <w:numFmt w:val="lowerLetter"/>
      <w:start w:val="12"/>
    </w:lvl>
  </w:abstractNum>
  <w:abstractNum w:abstractNumId="159">
    <w:nsid w:val="CBE5BE9"/>
    <w:multiLevelType w:val="hybridMultilevel"/>
    <w:lvl w:ilvl="0">
      <w:lvlJc w:val="left"/>
      <w:lvlText w:val="(%1)"/>
      <w:numFmt w:val="lowerRoman"/>
      <w:start w:val="1"/>
    </w:lvl>
  </w:abstractNum>
  <w:abstractNum w:abstractNumId="160">
    <w:nsid w:val="3102BBE2"/>
    <w:multiLevelType w:val="hybridMultilevel"/>
    <w:lvl w:ilvl="0">
      <w:lvlJc w:val="left"/>
      <w:lvlText w:val="(%1)"/>
      <w:numFmt w:val="lowerLetter"/>
      <w:start w:val="2"/>
    </w:lvl>
  </w:abstractNum>
  <w:abstractNum w:abstractNumId="161">
    <w:nsid w:val="26A02C5E"/>
    <w:multiLevelType w:val="hybridMultilevel"/>
    <w:lvl w:ilvl="0">
      <w:lvlJc w:val="left"/>
      <w:lvlText w:val="(%1)"/>
      <w:numFmt w:val="lowerLetter"/>
      <w:start w:val="1"/>
    </w:lvl>
  </w:abstractNum>
  <w:abstractNum w:abstractNumId="162">
    <w:nsid w:val="541C8153"/>
    <w:multiLevelType w:val="hybridMultilevel"/>
    <w:lvl w:ilvl="0">
      <w:lvlJc w:val="left"/>
      <w:lvlText w:val="(%1)"/>
      <w:numFmt w:val="lowerRoman"/>
      <w:start w:val="1"/>
    </w:lvl>
  </w:abstractNum>
  <w:abstractNum w:abstractNumId="163">
    <w:nsid w:val="67906F60"/>
    <w:multiLevelType w:val="hybridMultilevel"/>
    <w:lvl w:ilvl="0">
      <w:lvlJc w:val="left"/>
      <w:lvlText w:val="(%1)"/>
      <w:numFmt w:val="lowerLetter"/>
      <w:start w:val="2"/>
    </w:lvl>
  </w:abstractNum>
  <w:abstractNum w:abstractNumId="164">
    <w:nsid w:val="10DB9DAA"/>
    <w:multiLevelType w:val="hybridMultilevel"/>
    <w:lvl w:ilvl="0">
      <w:lvlJc w:val="left"/>
      <w:lvlText w:val="(%1)"/>
      <w:numFmt w:val="lowerLetter"/>
      <w:start w:val="3"/>
    </w:lvl>
  </w:abstractNum>
  <w:abstractNum w:abstractNumId="165">
    <w:nsid w:val="697D2D2"/>
    <w:multiLevelType w:val="hybridMultilevel"/>
    <w:lvl w:ilvl="0">
      <w:lvlJc w:val="left"/>
      <w:lvlText w:val="(%1)"/>
      <w:numFmt w:val="lowerLetter"/>
      <w:start w:val="5"/>
    </w:lvl>
  </w:abstractNum>
  <w:abstractNum w:abstractNumId="166">
    <w:nsid w:val="6D68AB2"/>
    <w:multiLevelType w:val="hybridMultilevel"/>
    <w:lvl w:ilvl="0">
      <w:lvlJc w:val="left"/>
      <w:lvlText w:val="(%1)"/>
      <w:numFmt w:val="lowerLetter"/>
      <w:start w:val="1"/>
    </w:lvl>
  </w:abstractNum>
  <w:abstractNum w:abstractNumId="167">
    <w:nsid w:val="3A966CD0"/>
    <w:multiLevelType w:val="hybridMultilevel"/>
    <w:lvl w:ilvl="0">
      <w:lvlJc w:val="left"/>
      <w:lvlText w:val="(%1)"/>
      <w:numFmt w:val="upperLetter"/>
      <w:start w:val="1"/>
    </w:lvl>
    <w:lvl w:ilvl="1">
      <w:lvlJc w:val="left"/>
      <w:lvlText w:val="(%2)"/>
      <w:numFmt w:val="lowerLetter"/>
      <w:start w:val="2"/>
    </w:lvl>
  </w:abstractNum>
  <w:abstractNum w:abstractNumId="168">
    <w:nsid w:val="63F37E85"/>
    <w:multiLevelType w:val="hybridMultilevel"/>
    <w:lvl w:ilvl="0">
      <w:lvlJc w:val="left"/>
      <w:lvlText w:val="(%1)"/>
      <w:numFmt w:val="lowerLetter"/>
      <w:start w:val="1"/>
    </w:lvl>
  </w:abstractNum>
  <w:abstractNum w:abstractNumId="169">
    <w:nsid w:val="5895F5FA"/>
    <w:multiLevelType w:val="hybridMultilevel"/>
    <w:lvl w:ilvl="0">
      <w:lvlJc w:val="left"/>
      <w:lvlText w:val="(%1)"/>
      <w:numFmt w:val="lowerLetter"/>
      <w:start w:val="1"/>
    </w:lvl>
    <w:lvl w:ilvl="1">
      <w:lvlJc w:val="left"/>
      <w:lvlText w:val="(%2)"/>
      <w:numFmt w:val="lowerRoman"/>
      <w:start w:val="1"/>
    </w:lvl>
  </w:abstractNum>
  <w:abstractNum w:abstractNumId="170">
    <w:nsid w:val="38A5D054"/>
    <w:multiLevelType w:val="hybridMultilevel"/>
    <w:lvl w:ilvl="0">
      <w:lvlJc w:val="left"/>
      <w:lvlText w:val="%1"/>
      <w:numFmt w:val="lowerLetter"/>
      <w:start w:val="1"/>
    </w:lvl>
    <w:lvl w:ilvl="1">
      <w:lvlJc w:val="left"/>
      <w:lvlText w:val="(%2)"/>
      <w:numFmt w:val="lowerRoman"/>
      <w:start w:val="4"/>
    </w:lvl>
  </w:abstractNum>
  <w:abstractNum w:abstractNumId="171">
    <w:nsid w:val="F3F09D8"/>
    <w:multiLevelType w:val="hybridMultilevel"/>
    <w:lvl w:ilvl="0">
      <w:lvlJc w:val="left"/>
      <w:lvlText w:val="(%1)"/>
      <w:numFmt w:val="lowerLetter"/>
      <w:start w:val="2"/>
    </w:lvl>
    <w:lvl w:ilvl="1">
      <w:lvlJc w:val="left"/>
      <w:lvlText w:val="(%2)"/>
      <w:numFmt w:val="lowerRoman"/>
      <w:start w:val="1"/>
    </w:lvl>
  </w:abstractNum>
  <w:abstractNum w:abstractNumId="172">
    <w:nsid w:val="4B793735"/>
    <w:multiLevelType w:val="hybridMultilevel"/>
    <w:lvl w:ilvl="0">
      <w:lvlJc w:val="left"/>
      <w:lvlText w:val="(%1)"/>
      <w:numFmt w:val="lowerLetter"/>
      <w:start w:val="5"/>
    </w:lvl>
  </w:abstractNum>
  <w:abstractNum w:abstractNumId="173">
    <w:nsid w:val="4A10B4E8"/>
    <w:multiLevelType w:val="hybridMultilevel"/>
    <w:lvl w:ilvl="0">
      <w:lvlJc w:val="left"/>
      <w:lvlText w:val="(%1)"/>
      <w:numFmt w:val="lowerLetter"/>
      <w:start w:val="1"/>
    </w:lvl>
  </w:abstractNum>
  <w:abstractNum w:abstractNumId="174">
    <w:nsid w:val="43D3BCD4"/>
    <w:multiLevelType w:val="hybridMultilevel"/>
    <w:lvl w:ilvl="0">
      <w:lvlJc w:val="left"/>
      <w:lvlText w:val="(%1)"/>
      <w:numFmt w:val="lowerLetter"/>
      <w:start w:val="1"/>
    </w:lvl>
  </w:abstractNum>
  <w:abstractNum w:abstractNumId="175">
    <w:nsid w:val="4C2A7166"/>
    <w:multiLevelType w:val="hybridMultilevel"/>
    <w:lvl w:ilvl="0">
      <w:lvlJc w:val="left"/>
      <w:lvlText w:val="(%1)"/>
      <w:numFmt w:val="decimal"/>
      <w:start w:val="4"/>
    </w:lvl>
    <w:lvl w:ilvl="1">
      <w:lvlJc w:val="left"/>
      <w:lvlText w:val="(%2)"/>
      <w:numFmt w:val="lowerLetter"/>
      <w:start w:val="1"/>
    </w:lvl>
  </w:abstractNum>
  <w:abstractNum w:abstractNumId="176">
    <w:nsid w:val="2E534A82"/>
    <w:multiLevelType w:val="hybridMultilevel"/>
    <w:lvl w:ilvl="0">
      <w:lvlJc w:val="left"/>
      <w:lvlText w:val="(%1)"/>
      <w:numFmt w:val="lowerRoman"/>
      <w:start w:val="2"/>
    </w:lvl>
  </w:abstractNum>
  <w:abstractNum w:abstractNumId="177">
    <w:nsid w:val="26F2D364"/>
    <w:multiLevelType w:val="hybridMultilevel"/>
    <w:lvl w:ilvl="0">
      <w:lvlJc w:val="left"/>
      <w:lvlText w:val="(%1)"/>
      <w:numFmt w:val="lowerLetter"/>
      <w:start w:val="1"/>
    </w:lvl>
    <w:lvl w:ilvl="1">
      <w:lvlJc w:val="left"/>
      <w:lvlText w:val="(%2)"/>
      <w:numFmt w:val="lowerRoman"/>
      <w:start w:val="1"/>
    </w:lvl>
  </w:abstractNum>
  <w:abstractNum w:abstractNumId="178">
    <w:nsid w:val="71C1AF98"/>
    <w:multiLevelType w:val="hybridMultilevel"/>
    <w:lvl w:ilvl="0">
      <w:lvlJc w:val="left"/>
      <w:lvlText w:val="(%1)"/>
      <w:numFmt w:val="lowerLetter"/>
      <w:start w:val="1"/>
    </w:lvl>
    <w:lvl w:ilvl="1">
      <w:lvlJc w:val="left"/>
      <w:lvlText w:val="(%2)"/>
      <w:numFmt w:val="lowerRoman"/>
      <w:start w:val="1"/>
    </w:lvl>
  </w:abstractNum>
  <w:abstractNum w:abstractNumId="179">
    <w:nsid w:val="3D00B9D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80">
    <w:nsid w:val="15BCABA8"/>
    <w:multiLevelType w:val="hybridMultilevel"/>
    <w:lvl w:ilvl="0">
      <w:lvlJc w:val="left"/>
      <w:lvlText w:val="%1."/>
      <w:numFmt w:val="decimal"/>
      <w:start w:val="3"/>
    </w:lvl>
  </w:abstractNum>
  <w:abstractNum w:abstractNumId="181">
    <w:nsid w:val="4E0B9A87"/>
    <w:multiLevelType w:val="hybridMultilevel"/>
    <w:lvl w:ilvl="0">
      <w:lvlJc w:val="left"/>
      <w:lvlText w:val="(%1)"/>
      <w:numFmt w:val="lowerLetter"/>
      <w:start w:val="2"/>
    </w:lvl>
  </w:abstractNum>
  <w:abstractNum w:abstractNumId="182">
    <w:nsid w:val="434BAE75"/>
    <w:multiLevelType w:val="hybridMultilevel"/>
    <w:lvl w:ilvl="0">
      <w:lvlJc w:val="left"/>
      <w:lvlText w:val="%1."/>
      <w:numFmt w:val="decimal"/>
      <w:start w:val="4"/>
    </w:lvl>
  </w:abstractNum>
  <w:abstractNum w:abstractNumId="183">
    <w:nsid w:val="4F38F265"/>
    <w:multiLevelType w:val="hybridMultilevel"/>
    <w:lvl w:ilvl="0">
      <w:lvlJc w:val="left"/>
      <w:lvlText w:val="%1."/>
      <w:numFmt w:val="decimal"/>
      <w:start w:val="5"/>
    </w:lvl>
    <w:lvl w:ilvl="1">
      <w:lvlJc w:val="left"/>
      <w:lvlText w:val="(%2)"/>
      <w:numFmt w:val="lowerLetter"/>
      <w:start w:val="1"/>
    </w:lvl>
  </w:abstractNum>
  <w:abstractNum w:abstractNumId="184">
    <w:nsid w:val="4C50287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abstractNum>
  <w:abstractNum w:abstractNumId="185">
    <w:nsid w:val="1DE8725A"/>
    <w:multiLevelType w:val="hybridMultilevel"/>
    <w:lvl w:ilvl="0">
      <w:lvlJc w:val="left"/>
      <w:lvlText w:val="(%1)"/>
      <w:numFmt w:val="lowerLetter"/>
      <w:start w:val="3"/>
    </w:lvl>
  </w:abstractNum>
  <w:abstractNum w:abstractNumId="186">
    <w:nsid w:val="6A37288A"/>
    <w:multiLevelType w:val="hybridMultilevel"/>
    <w:lvl w:ilvl="0">
      <w:lvlJc w:val="left"/>
      <w:lvlText w:val="%1"/>
      <w:numFmt w:val="lowerLetter"/>
      <w:start w:val="1"/>
    </w:lvl>
    <w:lvl w:ilvl="1">
      <w:lvlJc w:val="left"/>
      <w:lvlText w:val="(%2)"/>
      <w:numFmt w:val="lowerLetter"/>
      <w:start w:val="4"/>
    </w:lvl>
  </w:abstractNum>
  <w:abstractNum w:abstractNumId="187">
    <w:nsid w:val="8F8B73F"/>
    <w:multiLevelType w:val="hybridMultilevel"/>
    <w:lvl w:ilvl="0">
      <w:lvlJc w:val="left"/>
      <w:lvlText w:val="(%1)"/>
      <w:numFmt w:val="lowerLetter"/>
      <w:start w:val="6"/>
    </w:lvl>
    <w:lvl w:ilvl="1">
      <w:lvlJc w:val="left"/>
      <w:lvlText w:val="%2"/>
      <w:numFmt w:val="lowerLetter"/>
      <w:start w:val="1"/>
    </w:lvl>
  </w:abstractNum>
  <w:abstractNum w:abstractNumId="188">
    <w:nsid w:val="CA6B462"/>
    <w:multiLevelType w:val="hybridMultilevel"/>
    <w:lvl w:ilvl="0">
      <w:lvlJc w:val="left"/>
      <w:lvlText w:val="(%1)"/>
      <w:numFmt w:val="lowerRoman"/>
      <w:start w:val="1"/>
    </w:lvl>
  </w:abstractNum>
  <w:abstractNum w:abstractNumId="189">
    <w:nsid w:val="763CB680"/>
    <w:multiLevelType w:val="hybridMultilevel"/>
    <w:lvl w:ilvl="0">
      <w:lvlJc w:val="left"/>
      <w:lvlText w:val="(%1)"/>
      <w:numFmt w:val="lowerLetter"/>
      <w:start w:val="11"/>
    </w:lvl>
  </w:abstractNum>
  <w:abstractNum w:abstractNumId="190">
    <w:nsid w:val="15B71329"/>
    <w:multiLevelType w:val="hybridMultilevel"/>
    <w:lvl w:ilvl="0">
      <w:lvlJc w:val="left"/>
      <w:lvlText w:val="(%1)"/>
      <w:numFmt w:val="upperLetter"/>
      <w:start w:val="9"/>
    </w:lvl>
    <w:lvl w:ilvl="1">
      <w:lvlJc w:val="left"/>
      <w:lvlText w:val="(%2)"/>
      <w:numFmt w:val="lowerRoman"/>
      <w:start w:val="1"/>
    </w:lvl>
  </w:abstractNum>
  <w:abstractNum w:abstractNumId="191">
    <w:nsid w:val="3DA9704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92">
    <w:nsid w:val="1CDCE2DE"/>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193">
    <w:nsid w:val="69D3947C"/>
    <w:multiLevelType w:val="hybridMultilevel"/>
    <w:lvl w:ilvl="0">
      <w:lvlJc w:val="left"/>
      <w:lvlText w:val="(%1)"/>
      <w:numFmt w:val="lowerLetter"/>
      <w:start w:val="13"/>
    </w:lvl>
    <w:lvl w:ilvl="1">
      <w:lvlJc w:val="left"/>
      <w:lvlText w:val="%2"/>
      <w:numFmt w:val="upperLetter"/>
      <w:start w:val="1"/>
    </w:lvl>
    <w:lvl w:ilvl="2">
      <w:lvlJc w:val="left"/>
      <w:lvlText w:val="%3"/>
      <w:numFmt w:val="lowerLetter"/>
      <w:start w:val="1"/>
    </w:lvl>
  </w:abstractNum>
  <w:abstractNum w:abstractNumId="194">
    <w:nsid w:val="2539DFA5"/>
    <w:multiLevelType w:val="hybridMultilevel"/>
    <w:lvl w:ilvl="0">
      <w:lvlJc w:val="left"/>
      <w:lvlText w:val="(%1)"/>
      <w:numFmt w:val="lowerLetter"/>
      <w:start w:val="14"/>
    </w:lvl>
  </w:abstractNum>
  <w:abstractNum w:abstractNumId="195">
    <w:nsid w:val="2DB88089"/>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96">
    <w:nsid w:val="706B674E"/>
    <w:multiLevelType w:val="hybridMultilevel"/>
    <w:lvl w:ilvl="0">
      <w:lvlJc w:val="left"/>
      <w:lvlText w:val="%1."/>
      <w:numFmt w:val="decimal"/>
      <w:start w:val="2"/>
    </w:lvl>
  </w:abstractNum>
  <w:abstractNum w:abstractNumId="197">
    <w:nsid w:val="2C106A57"/>
    <w:multiLevelType w:val="hybridMultilevel"/>
    <w:lvl w:ilvl="0">
      <w:lvlJc w:val="left"/>
      <w:lvlText w:val="%1"/>
      <w:numFmt w:val="decimal"/>
      <w:start w:val="1"/>
    </w:lvl>
    <w:lvl w:ilvl="1">
      <w:lvlJc w:val="left"/>
      <w:lvlText w:val="%2."/>
      <w:numFmt w:val="lowerLetter"/>
      <w:start w:val="2"/>
    </w:lvl>
  </w:abstractNum>
  <w:abstractNum w:abstractNumId="198">
    <w:nsid w:val="684EED59"/>
    <w:multiLevelType w:val="hybridMultilevel"/>
    <w:lvl w:ilvl="0">
      <w:lvlJc w:val="left"/>
      <w:lvlText w:val="%1."/>
      <w:numFmt w:val="decimal"/>
      <w:start w:val="3"/>
    </w:lvl>
    <w:lvl w:ilvl="1">
      <w:lvlJc w:val="left"/>
      <w:lvlText w:val="%2"/>
      <w:numFmt w:val="lowerLetter"/>
      <w:start w:val="1"/>
    </w:lvl>
  </w:abstractNum>
  <w:abstractNum w:abstractNumId="199">
    <w:nsid w:val="545EE5D3"/>
    <w:multiLevelType w:val="hybridMultilevel"/>
    <w:lvl w:ilvl="0">
      <w:lvlJc w:val="left"/>
      <w:lvlText w:val="%1."/>
      <w:numFmt w:val="lowerLetter"/>
      <w:start w:val="1"/>
    </w:lvl>
  </w:abstractNum>
  <w:abstractNum w:abstractNumId="200">
    <w:nsid w:val="4A66051"/>
    <w:multiLevelType w:val="hybridMultilevel"/>
    <w:lvl w:ilvl="0">
      <w:lvlJc w:val="left"/>
      <w:lvlText w:val="%1"/>
      <w:numFmt w:val="lowerLetter"/>
      <w:start w:val="1"/>
    </w:lvl>
    <w:lvl w:ilvl="1">
      <w:lvlJc w:val="left"/>
      <w:lvlText w:val="%2."/>
      <w:numFmt w:val="lowerLetter"/>
      <w:start w:val="2"/>
    </w:lvl>
  </w:abstractNum>
  <w:abstractNum w:abstractNumId="201">
    <w:nsid w:val="20F4BDAD"/>
    <w:multiLevelType w:val="hybridMultilevel"/>
    <w:lvl w:ilvl="0">
      <w:lvlJc w:val="left"/>
      <w:lvlText w:val="%1."/>
      <w:numFmt w:val="lowerLetter"/>
      <w:start w:val="4"/>
    </w:lvl>
    <w:lvl w:ilvl="1">
      <w:lvlJc w:val="left"/>
      <w:lvlText w:val="%2"/>
      <w:numFmt w:val="lowerLetter"/>
      <w:start w:val="1"/>
    </w:lvl>
  </w:abstractNum>
  <w:abstractNum w:abstractNumId="202">
    <w:nsid w:val="639DEFA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03">
    <w:nsid w:val="501F9786"/>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204">
    <w:nsid w:val="6B057295"/>
    <w:multiLevelType w:val="hybridMultilevel"/>
    <w:lvl w:ilvl="0">
      <w:lvlJc w:val="left"/>
      <w:lvlText w:val="%1."/>
      <w:numFmt w:val="lowerLetter"/>
      <w:start w:val="6"/>
    </w:lvl>
    <w:lvl w:ilvl="1">
      <w:lvlJc w:val="left"/>
      <w:lvlText w:val="%2"/>
      <w:numFmt w:val="lowerLetter"/>
      <w:start w:val="1"/>
    </w:lvl>
    <w:lvl w:ilvl="2">
      <w:lvlJc w:val="left"/>
      <w:lvlText w:val="%3"/>
      <w:numFmt w:val="decimal"/>
      <w:start w:val="1"/>
    </w:lvl>
  </w:abstractNum>
  <w:abstractNum w:abstractNumId="205">
    <w:nsid w:val="2771AC80"/>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206">
    <w:nsid w:val="1C4A08EC"/>
    <w:multiLevelType w:val="hybridMultilevel"/>
    <w:lvl w:ilvl="0">
      <w:lvlJc w:val="left"/>
      <w:lvlText w:val="%1"/>
      <w:numFmt w:val="upperLetter"/>
      <w:start w:val="1"/>
    </w:lvl>
    <w:lvl w:ilvl="1">
      <w:lvlJc w:val="left"/>
      <w:lvlText w:val="%2."/>
      <w:numFmt w:val="lowerLetter"/>
      <w:start w:val="13"/>
    </w:lvl>
    <w:lvl w:ilvl="2">
      <w:lvlJc w:val="left"/>
      <w:lvlText w:val="(%3)"/>
      <w:numFmt w:val="lowerRoman"/>
      <w:start w:val="2"/>
    </w:lvl>
  </w:abstractNum>
  <w:abstractNum w:abstractNumId="207">
    <w:nsid w:val="1958BD17"/>
    <w:multiLevelType w:val="hybridMultilevel"/>
    <w:lvl w:ilvl="0">
      <w:lvlJc w:val="left"/>
      <w:lvlText w:val="%1."/>
      <w:numFmt w:val="lowerLetter"/>
      <w:start w:val="15"/>
    </w:lvl>
  </w:abstractNum>
  <w:abstractNum w:abstractNumId="208">
    <w:nsid w:val="4E647FE4"/>
    <w:multiLevelType w:val="hybridMultilevel"/>
    <w:lvl w:ilvl="0">
      <w:lvlJc w:val="left"/>
      <w:lvlText w:val="%1."/>
      <w:numFmt w:val="decimal"/>
      <w:start w:val="1"/>
    </w:lvl>
    <w:lvl w:ilvl="1">
      <w:lvlJc w:val="left"/>
      <w:lvlText w:val="(%2)"/>
      <w:numFmt w:val="lowerLetter"/>
      <w:start w:val="1"/>
    </w:lvl>
  </w:abstractNum>
  <w:abstractNum w:abstractNumId="209">
    <w:nsid w:val="E0BB885"/>
    <w:multiLevelType w:val="hybridMultilevel"/>
    <w:lvl w:ilvl="0">
      <w:lvlJc w:val="left"/>
      <w:lvlText w:val="%1"/>
      <w:numFmt w:val="decimal"/>
      <w:start w:val="1"/>
    </w:lvl>
    <w:lvl w:ilvl="1">
      <w:lvlJc w:val="left"/>
      <w:lvlText w:val="(%2)"/>
      <w:numFmt w:val="lowerLetter"/>
      <w:start w:val="3"/>
    </w:lvl>
  </w:abstractNum>
  <w:abstractNum w:abstractNumId="210">
    <w:nsid w:val="565976F1"/>
    <w:multiLevelType w:val="hybridMultilevel"/>
    <w:lvl w:ilvl="0">
      <w:lvlJc w:val="left"/>
      <w:lvlText w:val="%1."/>
      <w:numFmt w:val="decimal"/>
      <w:start w:val="3"/>
    </w:lvl>
    <w:lvl w:ilvl="1">
      <w:lvlJc w:val="left"/>
      <w:lvlText w:val="(%2)"/>
      <w:numFmt w:val="lowerLetter"/>
      <w:start w:val="1"/>
    </w:lvl>
  </w:abstractNum>
  <w:abstractNum w:abstractNumId="211">
    <w:nsid w:val="64212B8C"/>
    <w:multiLevelType w:val="hybridMultilevel"/>
    <w:lvl w:ilvl="0">
      <w:lvlJc w:val="left"/>
      <w:lvlText w:val="%1."/>
      <w:numFmt w:val="decimal"/>
      <w:start w:val="7"/>
    </w:lvl>
    <w:lvl w:ilvl="1">
      <w:lvlJc w:val="left"/>
      <w:lvlText w:val="(%2)"/>
      <w:numFmt w:val="lowerLetter"/>
      <w:start w:val="1"/>
    </w:lvl>
  </w:abstractNum>
  <w:abstractNum w:abstractNumId="212">
    <w:nsid w:val="5C17530C"/>
    <w:multiLevelType w:val="hybridMultilevel"/>
    <w:lvl w:ilvl="0">
      <w:lvlJc w:val="left"/>
      <w:lvlText w:val="(%1)"/>
      <w:numFmt w:val="lowerLetter"/>
      <w:start w:val="2"/>
    </w:lvl>
  </w:abstractNum>
  <w:abstractNum w:abstractNumId="213">
    <w:nsid w:val="19A52566"/>
    <w:multiLevelType w:val="hybridMultilevel"/>
    <w:lvl w:ilvl="0">
      <w:lvlJc w:val="left"/>
      <w:lvlText w:val="(%1)"/>
      <w:numFmt w:val="lowerLetter"/>
      <w:start w:val="4"/>
    </w:lvl>
  </w:abstractNum>
  <w:abstractNum w:abstractNumId="214">
    <w:nsid w:val="335A1DF1"/>
    <w:multiLevelType w:val="hybridMultilevel"/>
    <w:lvl w:ilvl="0">
      <w:lvlJc w:val="left"/>
      <w:lvlText w:val="(%1)"/>
      <w:numFmt w:val="lowerLetter"/>
      <w:start w:val="12"/>
    </w:lvl>
    <w:lvl w:ilvl="1">
      <w:lvlJc w:val="left"/>
      <w:lvlText w:val="(%2)"/>
      <w:numFmt w:val="lowerRoman"/>
      <w:start w:val="1"/>
    </w:lvl>
  </w:abstractNum>
  <w:abstractNum w:abstractNumId="215">
    <w:nsid w:val="28677B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6">
    <w:nsid w:val="378D97C0"/>
    <w:multiLevelType w:val="hybridMultilevel"/>
    <w:lvl w:ilvl="0">
      <w:lvlJc w:val="left"/>
      <w:lvlText w:val="%1"/>
      <w:numFmt w:val="decimal"/>
      <w:start w:val="1"/>
    </w:lvl>
    <w:lvl w:ilvl="1">
      <w:lvlJc w:val="left"/>
      <w:lvlText w:val="%2."/>
      <w:numFmt w:val="lowerLetter"/>
      <w:start w:val="3"/>
    </w:lvl>
  </w:abstractNum>
  <w:abstractNum w:abstractNumId="217">
    <w:nsid w:val="1D91467C"/>
    <w:multiLevelType w:val="hybridMultilevel"/>
    <w:lvl w:ilvl="0">
      <w:lvlJc w:val="left"/>
      <w:lvlText w:val="%1."/>
      <w:numFmt w:val="decimal"/>
      <w:start w:val="3"/>
    </w:lvl>
    <w:lvl w:ilvl="1">
      <w:lvlJc w:val="left"/>
      <w:lvlText w:val="%2"/>
      <w:numFmt w:val="lowerLetter"/>
      <w:start w:val="1"/>
    </w:lvl>
  </w:abstractNum>
  <w:abstractNum w:abstractNumId="218">
    <w:nsid w:val="316032BB"/>
    <w:multiLevelType w:val="hybridMultilevel"/>
    <w:lvl w:ilvl="0">
      <w:lvlJc w:val="left"/>
      <w:lvlText w:val="%1"/>
      <w:numFmt w:val="decimal"/>
      <w:start w:val="1"/>
    </w:lvl>
    <w:lvl w:ilvl="1">
      <w:lvlJc w:val="left"/>
      <w:lvlText w:val="(%2)"/>
      <w:numFmt w:val="lowerRoman"/>
      <w:start w:val="3"/>
    </w:lvl>
  </w:abstractNum>
  <w:abstractNum w:abstractNumId="219">
    <w:nsid w:val="44344C22"/>
    <w:multiLevelType w:val="hybridMultilevel"/>
    <w:lvl w:ilvl="0">
      <w:lvlJc w:val="left"/>
      <w:lvlText w:val="%1."/>
      <w:numFmt w:val="decimal"/>
      <w:start w:val="4"/>
    </w:lvl>
    <w:lvl w:ilvl="1">
      <w:lvlJc w:val="left"/>
      <w:lvlText w:val="%2"/>
      <w:numFmt w:val="lowerRoman"/>
      <w:start w:val="1"/>
    </w:lvl>
  </w:abstractNum>
  <w:abstractNum w:abstractNumId="220">
    <w:nsid w:val="13CDFCFC"/>
    <w:multiLevelType w:val="hybridMultilevel"/>
    <w:lvl w:ilvl="0">
      <w:lvlJc w:val="left"/>
      <w:lvlText w:val="%1."/>
      <w:numFmt w:val="lowerLetter"/>
      <w:start w:val="1"/>
    </w:lvl>
  </w:abstractNum>
  <w:abstractNum w:abstractNumId="221">
    <w:nsid w:val="471745E4"/>
    <w:multiLevelType w:val="hybridMultilevel"/>
    <w:lvl w:ilvl="0">
      <w:lvlJc w:val="left"/>
      <w:lvlText w:val="%1."/>
      <w:numFmt w:val="lowerLetter"/>
      <w:start w:val="2"/>
    </w:lvl>
    <w:lvl w:ilvl="1">
      <w:lvlJc w:val="left"/>
      <w:lvlText w:val="(%2)"/>
      <w:numFmt w:val="lowerRoman"/>
      <w:start w:val="3"/>
    </w:lvl>
  </w:abstractNum>
  <w:abstractNum w:abstractNumId="222">
    <w:nsid w:val="1DDBC66"/>
    <w:multiLevelType w:val="hybridMultilevel"/>
    <w:lvl w:ilvl="0">
      <w:lvlJc w:val="left"/>
      <w:lvlText w:val="%1"/>
      <w:numFmt w:val="lowerLetter"/>
      <w:start w:val="1"/>
    </w:lvl>
    <w:lvl w:ilvl="1">
      <w:lvlJc w:val="left"/>
      <w:lvlText w:val="(%2)"/>
      <w:numFmt w:val="decimal"/>
      <w:start w:val="1"/>
    </w:lvl>
  </w:abstractNum>
  <w:abstractNum w:abstractNumId="223">
    <w:nsid w:val="30AADFDA"/>
    <w:multiLevelType w:val="hybridMultilevel"/>
    <w:lvl w:ilvl="0">
      <w:lvlJc w:val="left"/>
      <w:lvlText w:val="%1."/>
      <w:numFmt w:val="lowerLetter"/>
      <w:start w:val="5"/>
    </w:lvl>
    <w:lvl w:ilvl="1">
      <w:lvlJc w:val="left"/>
      <w:lvlText w:val="%2"/>
      <w:numFmt w:val="decimal"/>
      <w:start w:val="1"/>
    </w:lvl>
  </w:abstractNum>
  <w:abstractNum w:abstractNumId="224">
    <w:nsid w:val="30EADA61"/>
    <w:multiLevelType w:val="hybridMultilevel"/>
    <w:lvl w:ilvl="0">
      <w:lvlJc w:val="left"/>
      <w:lvlText w:val="%1."/>
      <w:numFmt w:val="lowerLetter"/>
      <w:start w:val="10"/>
    </w:lvl>
  </w:abstractNum>
  <w:abstractNum w:abstractNumId="225">
    <w:nsid w:val="27179C0B"/>
    <w:multiLevelType w:val="hybridMultilevel"/>
    <w:lvl w:ilvl="0">
      <w:lvlJc w:val="left"/>
      <w:lvlText w:val="%1."/>
      <w:numFmt w:val="decimal"/>
      <w:start w:val="1"/>
    </w:lvl>
    <w:lvl w:ilvl="1">
      <w:lvlJc w:val="left"/>
      <w:lvlText w:val="(%2)"/>
      <w:numFmt w:val="lowerLetter"/>
      <w:start w:val="1"/>
    </w:lvl>
  </w:abstractNum>
  <w:abstractNum w:abstractNumId="226">
    <w:nsid w:val="5E636063"/>
    <w:multiLevelType w:val="hybridMultilevel"/>
    <w:lvl w:ilvl="0">
      <w:lvlJc w:val="left"/>
      <w:lvlText w:val="%1."/>
      <w:numFmt w:val="decimal"/>
      <w:start w:val="1"/>
    </w:lvl>
    <w:lvl w:ilvl="1">
      <w:lvlJc w:val="left"/>
      <w:lvlText w:val="(%2)"/>
      <w:numFmt w:val="lowerLetter"/>
      <w:start w:val="1"/>
    </w:lvl>
  </w:abstractNum>
  <w:abstractNum w:abstractNumId="227">
    <w:nsid w:val="215641AF"/>
    <w:multiLevelType w:val="hybridMultilevel"/>
    <w:lvl w:ilvl="0">
      <w:lvlJc w:val="left"/>
      <w:lvlText w:val="%1."/>
      <w:numFmt w:val="decimal"/>
      <w:start w:val="1"/>
    </w:lvl>
  </w:abstractNum>
  <w:abstractNum w:abstractNumId="228">
    <w:nsid w:val="532806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jpeg"/><Relationship Id="rId60" Type="http://schemas.openxmlformats.org/officeDocument/2006/relationships/image" Target="media/image38.jpeg"/><Relationship Id="rId61" Type="http://schemas.openxmlformats.org/officeDocument/2006/relationships/image" Target="media/image39.jpeg"/><Relationship Id="rId62" Type="http://schemas.openxmlformats.org/officeDocument/2006/relationships/image" Target="media/image40.png"/><Relationship Id="rId63" Type="http://schemas.openxmlformats.org/officeDocument/2006/relationships/image" Target="media/image41.jpeg"/><Relationship Id="rId64" Type="http://schemas.openxmlformats.org/officeDocument/2006/relationships/image" Target="media/image42.png"/><Relationship Id="rId65" Type="http://schemas.openxmlformats.org/officeDocument/2006/relationships/image" Target="media/image43.jpeg"/><Relationship Id="rId66" Type="http://schemas.openxmlformats.org/officeDocument/2006/relationships/image" Target="media/image44.jpe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18" Type="http://schemas.openxmlformats.org/officeDocument/2006/relationships/hyperlink" Target="http://www.sec.gov/Archives/edgar/data/1592386/000110465915042100/a15-8228_1ex3d1.htm" TargetMode="External"/><Relationship Id="rId19" Type="http://schemas.openxmlformats.org/officeDocument/2006/relationships/hyperlink" Target="http://www.sec.gov/Archives/edgar/data/1592386/000110465915042100/a15-8228_1ex3d2.htm" TargetMode="External"/><Relationship Id="rId20" Type="http://schemas.openxmlformats.org/officeDocument/2006/relationships/hyperlink" Target="http://www.sec.gov/Archives/edgar/data/1592386/000155837017004144/virt-20170331ex103b78259.htm" TargetMode="External"/><Relationship Id="rId21" Type="http://schemas.openxmlformats.org/officeDocument/2006/relationships/hyperlink" Target="http://www.sec.gov/Archives/edgar/data/1592386/000155837018002007/virt-20171231ex108d056c2.htm" TargetMode="External"/><Relationship Id="rId22" Type="http://schemas.openxmlformats.org/officeDocument/2006/relationships/hyperlink" Target="http://www.sec.gov/Archives/edgar/data/1592386/000155837018002007/virt-20171231ex109bcd73e.htm" TargetMode="External"/><Relationship Id="rId23" Type="http://schemas.openxmlformats.org/officeDocument/2006/relationships/hyperlink" Target="http://www.sec.gov/Archives/edgar/data/1592386/000155837018002007/virt-20171231ex10105565c.htm" TargetMode="External"/><Relationship Id="rId24" Type="http://schemas.openxmlformats.org/officeDocument/2006/relationships/hyperlink" Target="http://www.sec.gov/Archives/edgar/data/1592386/000155837018002007/virt-20171231ex10302f561.htm" TargetMode="External"/><Relationship Id="rId25" Type="http://schemas.openxmlformats.org/officeDocument/2006/relationships/hyperlink" Target="http://www.sec.gov/Archives/edgar/data/1592386/000110465918033448/a18-13432_1ex1d1.htm" TargetMode="External"/><Relationship Id="rId26" Type="http://schemas.openxmlformats.org/officeDocument/2006/relationships/hyperlink" Target="http://www.sec.gov/Archives/edgar/data/1592386/000110465918033448/a18-13432_1ex10d1.htm" TargetMode="External"/><Relationship Id="rId27" Type="http://schemas.openxmlformats.org/officeDocument/2006/relationships/hyperlink" Target="http://www.sec.gov/Archives/edgar/data/1573350/000110465918033457/a18-13274_1ex99d8.htm" TargetMode="External"/><Relationship Id="rId28" Type="http://schemas.openxmlformats.org/officeDocument/2006/relationships/hyperlink" Target="http://www.sec.gov/Archives/edgar/data/1592386/000110465918033448/a18-13432_1ex10d2.htm" TargetMode="External"/><Relationship Id="rId29" Type="http://schemas.openxmlformats.org/officeDocument/2006/relationships/hyperlink" Target="http://www.sec.gov/Archives/edgar/data/1573350/000110465918033457/a18-13274_1ex99d2.htm" TargetMode="External"/><Relationship Id="rId30" Type="http://schemas.openxmlformats.org/officeDocument/2006/relationships/hyperlink" Target="http://www.sec.gov/Archives/edgar/data/1573350/000110465918033457/a18-13274_1ex99d3.htm" TargetMode="External"/><Relationship Id="rId31" Type="http://schemas.openxmlformats.org/officeDocument/2006/relationships/hyperlink" Target="http://www.sec.gov/Archives/edgar/data/1573350/000110465918033457/a18-13274_1ex99d4.htm" TargetMode="External"/><Relationship Id="rId32" Type="http://schemas.openxmlformats.org/officeDocument/2006/relationships/hyperlink" Target="http://www.sec.gov/Archives/edgar/data/1573350/000110465918033457/a18-13274_1ex99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2019-12-28T17:56:02Z</dcterms:created>
  <dcterms:modified xsi:type="dcterms:W3CDTF">2019-12-28T17:56:02Z</dcterms:modified>
</cp:coreProperties>
</file>