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200025</wp:posOffset>
            </wp:positionH>
            <wp:positionV relativeFrom="page">
              <wp:posOffset>493395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513080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6"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5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2" w:lineRule="exact"/>
        <w:rPr>
          <w:sz w:val="24"/>
          <w:szCs w:val="24"/>
          <w:color w:val="auto"/>
        </w:rPr>
      </w:pPr>
    </w:p>
    <w:p>
      <w:pPr>
        <w:ind w:left="180" w:hanging="175"/>
        <w:spacing w:after="0"/>
        <w:tabs>
          <w:tab w:leader="none" w:pos="1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173"/>
        </w:trPr>
        <w:tc>
          <w:tcPr>
            <w:tcW w:w="4220" w:type="dxa"/>
            <w:vAlign w:val="bottom"/>
          </w:tcPr>
          <w:p>
            <w:pPr>
              <w:spacing w:after="0"/>
              <w:rPr>
                <w:sz w:val="15"/>
                <w:szCs w:val="15"/>
                <w:color w:val="auto"/>
              </w:rPr>
            </w:pPr>
          </w:p>
        </w:tc>
        <w:tc>
          <w:tcPr>
            <w:tcW w:w="7040" w:type="dxa"/>
            <w:vAlign w:val="bottom"/>
            <w:gridSpan w:val="6"/>
          </w:tcPr>
          <w:p>
            <w:pPr>
              <w:jc w:val="center"/>
              <w:ind w:right="4162"/>
              <w:spacing w:after="0"/>
              <w:rPr>
                <w:sz w:val="20"/>
                <w:szCs w:val="20"/>
                <w:color w:val="auto"/>
              </w:rPr>
            </w:pPr>
            <w:r>
              <w:rPr>
                <w:rFonts w:ascii="Times New Roman" w:cs="Times New Roman" w:eastAsia="Times New Roman" w:hAnsi="Times New Roman"/>
                <w:sz w:val="14"/>
                <w:szCs w:val="14"/>
                <w:b w:val="1"/>
                <w:bCs w:val="1"/>
                <w:color w:val="auto"/>
              </w:rPr>
              <w:t>Commission file number: 001-37352</w:t>
            </w:r>
          </w:p>
        </w:tc>
      </w:tr>
      <w:tr>
        <w:trPr>
          <w:trHeight w:val="253"/>
        </w:trPr>
        <w:tc>
          <w:tcPr>
            <w:tcW w:w="4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560" w:type="dxa"/>
            <w:vAlign w:val="bottom"/>
            <w:gridSpan w:val="5"/>
          </w:tcPr>
          <w:p>
            <w:pPr>
              <w:jc w:val="center"/>
              <w:ind w:right="4662"/>
              <w:spacing w:after="0"/>
              <w:rPr>
                <w:sz w:val="20"/>
                <w:szCs w:val="20"/>
                <w:color w:val="auto"/>
              </w:rPr>
            </w:pPr>
            <w:r>
              <w:rPr>
                <w:rFonts w:ascii="Times New Roman" w:cs="Times New Roman" w:eastAsia="Times New Roman" w:hAnsi="Times New Roman"/>
                <w:sz w:val="20"/>
                <w:szCs w:val="20"/>
                <w:b w:val="1"/>
                <w:bCs w:val="1"/>
                <w:color w:val="auto"/>
                <w:w w:val="98"/>
              </w:rPr>
              <w:t>Virtu Financial, Inc.</w:t>
            </w:r>
          </w:p>
        </w:tc>
      </w:tr>
      <w:tr>
        <w:trPr>
          <w:trHeight w:val="128"/>
        </w:trPr>
        <w:tc>
          <w:tcPr>
            <w:tcW w:w="4220" w:type="dxa"/>
            <w:vAlign w:val="bottom"/>
          </w:tcPr>
          <w:p>
            <w:pPr>
              <w:spacing w:after="0"/>
              <w:rPr>
                <w:sz w:val="11"/>
                <w:szCs w:val="11"/>
                <w:color w:val="auto"/>
              </w:rPr>
            </w:pPr>
          </w:p>
        </w:tc>
        <w:tc>
          <w:tcPr>
            <w:tcW w:w="7040" w:type="dxa"/>
            <w:vAlign w:val="bottom"/>
            <w:gridSpan w:val="6"/>
          </w:tcPr>
          <w:p>
            <w:pPr>
              <w:jc w:val="center"/>
              <w:ind w:right="4182"/>
              <w:spacing w:after="0"/>
              <w:rPr>
                <w:sz w:val="20"/>
                <w:szCs w:val="20"/>
                <w:color w:val="auto"/>
              </w:rPr>
            </w:pPr>
            <w:r>
              <w:rPr>
                <w:rFonts w:ascii="Times New Roman" w:cs="Times New Roman" w:eastAsia="Times New Roman" w:hAnsi="Times New Roman"/>
                <w:sz w:val="10"/>
                <w:szCs w:val="10"/>
                <w:color w:val="auto"/>
                <w:w w:val="98"/>
              </w:rPr>
              <w:t>(Exact name of registrant as specified in its charter)</w:t>
            </w:r>
          </w:p>
        </w:tc>
      </w:tr>
      <w:tr>
        <w:trPr>
          <w:trHeight w:val="197"/>
        </w:trPr>
        <w:tc>
          <w:tcPr>
            <w:tcW w:w="4220" w:type="dxa"/>
            <w:vAlign w:val="bottom"/>
          </w:tcPr>
          <w:p>
            <w:pPr>
              <w:jc w:val="center"/>
              <w:ind w:left="136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86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32-0420206</w:t>
            </w:r>
          </w:p>
        </w:tc>
      </w:tr>
      <w:tr>
        <w:trPr>
          <w:trHeight w:val="147"/>
        </w:trPr>
        <w:tc>
          <w:tcPr>
            <w:tcW w:w="4220" w:type="dxa"/>
            <w:vAlign w:val="bottom"/>
          </w:tcPr>
          <w:p>
            <w:pPr>
              <w:jc w:val="center"/>
              <w:ind w:left="138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393"/>
        </w:trPr>
        <w:tc>
          <w:tcPr>
            <w:tcW w:w="4220" w:type="dxa"/>
            <w:vAlign w:val="bottom"/>
          </w:tcPr>
          <w:p>
            <w:pPr>
              <w:jc w:val="center"/>
              <w:ind w:left="2260"/>
              <w:spacing w:after="0"/>
              <w:rPr>
                <w:sz w:val="20"/>
                <w:szCs w:val="20"/>
                <w:color w:val="auto"/>
              </w:rPr>
            </w:pPr>
            <w:r>
              <w:rPr>
                <w:rFonts w:ascii="Times New Roman" w:cs="Times New Roman" w:eastAsia="Times New Roman" w:hAnsi="Times New Roman"/>
                <w:sz w:val="11"/>
                <w:szCs w:val="11"/>
                <w:b w:val="1"/>
                <w:bCs w:val="1"/>
                <w:color w:val="auto"/>
              </w:rPr>
              <w:t>1633 Broadway</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59"/>
        </w:trPr>
        <w:tc>
          <w:tcPr>
            <w:tcW w:w="4220" w:type="dxa"/>
            <w:vAlign w:val="bottom"/>
          </w:tcPr>
          <w:p>
            <w:pPr>
              <w:jc w:val="center"/>
              <w:ind w:left="2240"/>
              <w:spacing w:after="0"/>
              <w:rPr>
                <w:sz w:val="20"/>
                <w:szCs w:val="20"/>
                <w:color w:val="auto"/>
              </w:rPr>
            </w:pPr>
            <w:r>
              <w:rPr>
                <w:rFonts w:ascii="Times New Roman" w:cs="Times New Roman" w:eastAsia="Times New Roman" w:hAnsi="Times New Roman"/>
                <w:sz w:val="11"/>
                <w:szCs w:val="11"/>
                <w:b w:val="1"/>
                <w:bCs w:val="1"/>
                <w:color w:val="auto"/>
                <w:w w:val="98"/>
              </w:rPr>
              <w:t>New York, New York</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860" w:type="dxa"/>
            <w:vAlign w:val="bottom"/>
            <w:gridSpan w:val="3"/>
          </w:tcPr>
          <w:p>
            <w:pPr>
              <w:jc w:val="right"/>
              <w:ind w:right="3082"/>
              <w:spacing w:after="0"/>
              <w:rPr>
                <w:sz w:val="20"/>
                <w:szCs w:val="20"/>
                <w:color w:val="auto"/>
              </w:rPr>
            </w:pPr>
            <w:r>
              <w:rPr>
                <w:rFonts w:ascii="Times New Roman" w:cs="Times New Roman" w:eastAsia="Times New Roman" w:hAnsi="Times New Roman"/>
                <w:sz w:val="11"/>
                <w:szCs w:val="11"/>
                <w:b w:val="1"/>
                <w:bCs w:val="1"/>
                <w:color w:val="auto"/>
              </w:rPr>
              <w:t>10019</w:t>
            </w:r>
          </w:p>
        </w:tc>
      </w:tr>
      <w:tr>
        <w:trPr>
          <w:trHeight w:val="159"/>
        </w:trPr>
        <w:tc>
          <w:tcPr>
            <w:tcW w:w="4220" w:type="dxa"/>
            <w:vAlign w:val="bottom"/>
          </w:tcPr>
          <w:p>
            <w:pPr>
              <w:jc w:val="center"/>
              <w:ind w:left="228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jc w:val="center"/>
              <w:ind w:right="2282"/>
              <w:spacing w:after="0"/>
              <w:rPr>
                <w:sz w:val="20"/>
                <w:szCs w:val="20"/>
                <w:color w:val="auto"/>
              </w:rPr>
            </w:pPr>
            <w:r>
              <w:rPr>
                <w:rFonts w:ascii="Times New Roman" w:cs="Times New Roman" w:eastAsia="Times New Roman" w:hAnsi="Times New Roman"/>
                <w:sz w:val="11"/>
                <w:szCs w:val="11"/>
                <w:color w:val="auto"/>
              </w:rPr>
              <w:t>(Zip Code)</w:t>
            </w:r>
          </w:p>
        </w:tc>
      </w:tr>
      <w:tr>
        <w:trPr>
          <w:trHeight w:val="231"/>
        </w:trPr>
        <w:tc>
          <w:tcPr>
            <w:tcW w:w="4220" w:type="dxa"/>
            <w:vAlign w:val="bottom"/>
          </w:tcPr>
          <w:p>
            <w:pPr>
              <w:spacing w:after="0"/>
              <w:rPr>
                <w:sz w:val="20"/>
                <w:szCs w:val="20"/>
                <w:color w:val="auto"/>
              </w:rPr>
            </w:pPr>
          </w:p>
        </w:tc>
        <w:tc>
          <w:tcPr>
            <w:tcW w:w="2180" w:type="dxa"/>
            <w:vAlign w:val="bottom"/>
            <w:gridSpan w:val="3"/>
          </w:tcPr>
          <w:p>
            <w:pPr>
              <w:jc w:val="center"/>
              <w:ind w:left="596"/>
              <w:spacing w:after="0"/>
              <w:rPr>
                <w:sz w:val="20"/>
                <w:szCs w:val="20"/>
                <w:color w:val="auto"/>
              </w:rPr>
            </w:pPr>
            <w:r>
              <w:rPr>
                <w:rFonts w:ascii="Times New Roman" w:cs="Times New Roman" w:eastAsia="Times New Roman" w:hAnsi="Times New Roman"/>
                <w:sz w:val="13"/>
                <w:szCs w:val="13"/>
                <w:b w:val="1"/>
                <w:bCs w:val="1"/>
                <w:color w:val="auto"/>
                <w:w w:val="98"/>
              </w:rPr>
              <w:t>(212) 418-0100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165"/>
        </w:trPr>
        <w:tc>
          <w:tcPr>
            <w:tcW w:w="4220" w:type="dxa"/>
            <w:vAlign w:val="bottom"/>
          </w:tcPr>
          <w:p>
            <w:pPr>
              <w:spacing w:after="0"/>
              <w:rPr>
                <w:sz w:val="14"/>
                <w:szCs w:val="14"/>
                <w:color w:val="auto"/>
              </w:rPr>
            </w:pPr>
          </w:p>
        </w:tc>
        <w:tc>
          <w:tcPr>
            <w:tcW w:w="7040" w:type="dxa"/>
            <w:vAlign w:val="bottom"/>
            <w:gridSpan w:val="6"/>
          </w:tcPr>
          <w:p>
            <w:pPr>
              <w:jc w:val="center"/>
              <w:ind w:right="4202"/>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r>
      <w:tr>
        <w:trPr>
          <w:trHeight w:val="414"/>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r>
      <w:tr>
        <w:trPr>
          <w:trHeight w:val="218"/>
        </w:trPr>
        <w:tc>
          <w:tcPr>
            <w:tcW w:w="42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common stock, par value $0.00001 per share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VIRT</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3"/>
                <w:szCs w:val="13"/>
                <w:color w:val="auto"/>
              </w:rPr>
              <w:t>New York Stock Exchange</w:t>
            </w:r>
          </w:p>
        </w:tc>
      </w:tr>
    </w:tbl>
    <w:p>
      <w:pPr>
        <w:spacing w:after="0" w:line="15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w:t>
      </w:r>
    </w:p>
    <w:p>
      <w:pPr>
        <w:spacing w:after="0" w:line="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None</w:t>
      </w:r>
    </w:p>
    <w:p>
      <w:pPr>
        <w:jc w:val="center"/>
        <w:ind w:right="80"/>
        <w:spacing w:after="0"/>
        <w:rPr>
          <w:sz w:val="20"/>
          <w:szCs w:val="20"/>
          <w:color w:val="auto"/>
        </w:rPr>
      </w:pPr>
      <w:r>
        <w:rPr>
          <w:rFonts w:ascii="Times New Roman" w:cs="Times New Roman" w:eastAsia="Times New Roman" w:hAnsi="Times New Roman"/>
          <w:sz w:val="11"/>
          <w:szCs w:val="11"/>
          <w:color w:val="auto"/>
        </w:rPr>
        <w:t>(Title of class)</w:t>
      </w:r>
    </w:p>
    <w:p>
      <w:pPr>
        <w:spacing w:after="0" w:line="8" w:lineRule="exact"/>
        <w:rPr>
          <w:sz w:val="24"/>
          <w:szCs w:val="24"/>
          <w:color w:val="auto"/>
        </w:rPr>
      </w:pPr>
    </w:p>
    <w:p>
      <w:pPr>
        <w:ind w:left="2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ind w:left="2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jc w:val="both"/>
        <w:ind w:right="80" w:firstLine="255"/>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6" w:lineRule="exact"/>
        <w:rPr>
          <w:sz w:val="24"/>
          <w:szCs w:val="24"/>
          <w:color w:val="auto"/>
        </w:rPr>
      </w:pPr>
    </w:p>
    <w:p>
      <w:pPr>
        <w:ind w:right="160" w:firstLine="255"/>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500" w:firstLine="255"/>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300" w:top="871" w:right="239" w:bottom="1440" w:gutter="0" w:footer="0" w:header="0"/>
        </w:sectPr>
      </w:pPr>
    </w:p>
    <w:p>
      <w:pPr>
        <w:spacing w:after="0" w:line="6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11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0"/>
          <w:szCs w:val="20"/>
          <w:color w:val="auto"/>
        </w:rPr>
      </w:pPr>
      <w:r>
        <w:rPr>
          <w:rFonts w:ascii="MS PGothic" w:cs="MS PGothic" w:eastAsia="MS PGothic" w:hAnsi="MS PGothic"/>
          <w:sz w:val="12"/>
          <w:szCs w:val="12"/>
          <w:color w:val="auto"/>
        </w:rPr>
        <w:t>☐</w:t>
      </w:r>
    </w:p>
    <w:p>
      <w:pPr>
        <w:spacing w:after="0" w:line="113" w:lineRule="exact"/>
        <w:rPr>
          <w:sz w:val="24"/>
          <w:szCs w:val="24"/>
          <w:color w:val="auto"/>
        </w:rPr>
      </w:pPr>
    </w:p>
    <w:p>
      <w:pPr>
        <w:sectPr>
          <w:pgSz w:w="11900" w:h="16838" w:orient="portrait"/>
          <w:cols w:equalWidth="0" w:num="8">
            <w:col w:w="1900" w:space="720"/>
            <w:col w:w="120" w:space="440"/>
            <w:col w:w="760" w:space="440"/>
            <w:col w:w="560" w:space="720"/>
            <w:col w:w="1420" w:space="720"/>
            <w:col w:w="360" w:space="720"/>
            <w:col w:w="1240" w:space="180"/>
            <w:col w:w="1060"/>
          </w:cols>
          <w:pgMar w:left="300" w:top="871" w:right="239" w:bottom="1440" w:gutter="0" w:footer="0" w:header="0"/>
          <w:type w:val="continuous"/>
        </w:sectPr>
      </w:pPr>
    </w:p>
    <w:p>
      <w:pPr>
        <w:spacing w:after="0" w:line="26"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9"/>
          <w:szCs w:val="9"/>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8" w:lineRule="exact"/>
        <w:rPr>
          <w:sz w:val="24"/>
          <w:szCs w:val="24"/>
          <w:color w:val="auto"/>
        </w:rPr>
      </w:pPr>
    </w:p>
    <w:p>
      <w:pPr>
        <w:sectPr>
          <w:pgSz w:w="11900" w:h="16838" w:orient="portrait"/>
          <w:cols w:equalWidth="0" w:num="3">
            <w:col w:w="8160" w:space="720"/>
            <w:col w:w="1240" w:space="180"/>
            <w:col w:w="1060"/>
          </w:cols>
          <w:pgMar w:left="300" w:top="871" w:right="239" w:bottom="1440" w:gutter="0" w:footer="0" w:header="0"/>
          <w:type w:val="continuous"/>
        </w:sectPr>
      </w:pPr>
    </w:p>
    <w:p>
      <w:pPr>
        <w:spacing w:after="0" w:line="20" w:lineRule="exact"/>
        <w:rPr>
          <w:sz w:val="24"/>
          <w:szCs w:val="24"/>
          <w:color w:val="auto"/>
        </w:rPr>
      </w:pPr>
    </w:p>
    <w:p>
      <w:pPr>
        <w:ind w:right="200" w:firstLine="255"/>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 w:lineRule="exact"/>
        <w:rPr>
          <w:sz w:val="24"/>
          <w:szCs w:val="24"/>
          <w:color w:val="auto"/>
        </w:rPr>
      </w:pPr>
    </w:p>
    <w:p>
      <w:pPr>
        <w:ind w:right="340" w:firstLine="255"/>
        <w:spacing w:after="0" w:line="161"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440" w:firstLine="255"/>
        <w:spacing w:after="0" w:line="14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260"/>
        <w:spacing w:after="0" w:line="150" w:lineRule="exact"/>
        <w:tabs>
          <w:tab w:leader="none" w:pos="64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2" w:lineRule="exact"/>
        <w:rPr>
          <w:sz w:val="24"/>
          <w:szCs w:val="24"/>
          <w:color w:val="auto"/>
        </w:rPr>
      </w:pPr>
    </w:p>
    <w:p>
      <w:pPr>
        <w:ind w:right="500" w:firstLine="255"/>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p>
    <w:tbl>
      <w:tblPr>
        <w:tblLayout w:type="fixed"/>
        <w:tblInd w:w="260" w:type="dxa"/>
        <w:tblCellMar>
          <w:top w:w="0" w:type="dxa"/>
          <w:left w:w="0" w:type="dxa"/>
          <w:bottom w:w="0" w:type="dxa"/>
          <w:right w:w="0" w:type="dxa"/>
        </w:tblCellMar>
      </w:tblPr>
      <w:tr>
        <w:trPr>
          <w:trHeight w:val="126"/>
        </w:trPr>
        <w:tc>
          <w:tcPr>
            <w:tcW w:w="9140" w:type="dxa"/>
            <w:vAlign w:val="bottom"/>
            <w:gridSpan w:val="2"/>
            <w:vMerge w:val="restart"/>
          </w:tcPr>
          <w:p>
            <w:pPr>
              <w:ind w:left="4180"/>
              <w:spacing w:after="0"/>
              <w:rPr>
                <w:sz w:val="20"/>
                <w:szCs w:val="20"/>
                <w:color w:val="auto"/>
              </w:rPr>
            </w:pPr>
            <w:r>
              <w:rPr>
                <w:rFonts w:ascii="Times New Roman" w:cs="Times New Roman" w:eastAsia="Times New Roman" w:hAnsi="Times New Roman"/>
                <w:sz w:val="11"/>
                <w:szCs w:val="11"/>
                <w:b w:val="1"/>
                <w:bCs w:val="1"/>
                <w:color w:val="auto"/>
              </w:rPr>
              <w:t>Class of Stock</w:t>
            </w:r>
          </w:p>
        </w:tc>
        <w:tc>
          <w:tcPr>
            <w:tcW w:w="19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Shares Outstanding as of February 13,</w:t>
            </w:r>
          </w:p>
        </w:tc>
        <w:tc>
          <w:tcPr>
            <w:tcW w:w="0" w:type="dxa"/>
            <w:vAlign w:val="bottom"/>
          </w:tcPr>
          <w:p>
            <w:pPr>
              <w:spacing w:after="0"/>
              <w:rPr>
                <w:sz w:val="1"/>
                <w:szCs w:val="1"/>
                <w:color w:val="auto"/>
              </w:rPr>
            </w:pPr>
          </w:p>
        </w:tc>
      </w:tr>
      <w:tr>
        <w:trPr>
          <w:trHeight w:val="153"/>
        </w:trPr>
        <w:tc>
          <w:tcPr>
            <w:tcW w:w="9140" w:type="dxa"/>
            <w:vAlign w:val="bottom"/>
            <w:gridSpan w:val="2"/>
            <w:vMerge w:val="continue"/>
          </w:tcPr>
          <w:p>
            <w:pPr>
              <w:spacing w:after="0"/>
              <w:rPr>
                <w:sz w:val="13"/>
                <w:szCs w:val="13"/>
                <w:color w:val="auto"/>
              </w:rPr>
            </w:pPr>
          </w:p>
        </w:tc>
        <w:tc>
          <w:tcPr>
            <w:tcW w:w="1960" w:type="dxa"/>
            <w:vAlign w:val="bottom"/>
          </w:tcPr>
          <w:p>
            <w:pPr>
              <w:jc w:val="center"/>
              <w:ind w:left="39"/>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0" w:type="dxa"/>
            <w:vAlign w:val="bottom"/>
          </w:tcPr>
          <w:p>
            <w:pPr>
              <w:spacing w:after="0"/>
              <w:rPr>
                <w:sz w:val="1"/>
                <w:szCs w:val="1"/>
                <w:color w:val="auto"/>
              </w:rPr>
            </w:pPr>
          </w:p>
        </w:tc>
      </w:tr>
      <w:tr>
        <w:trPr>
          <w:trHeight w:val="165"/>
        </w:trPr>
        <w:tc>
          <w:tcPr>
            <w:tcW w:w="9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common stock, par value $0.00001 per share</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3"/>
                <w:szCs w:val="13"/>
                <w:color w:val="auto"/>
                <w:w w:val="99"/>
              </w:rPr>
              <w:t>86,602,648</w:t>
            </w:r>
          </w:p>
        </w:tc>
        <w:tc>
          <w:tcPr>
            <w:tcW w:w="0" w:type="dxa"/>
            <w:vAlign w:val="bottom"/>
          </w:tcPr>
          <w:p>
            <w:pPr>
              <w:spacing w:after="0"/>
              <w:rPr>
                <w:sz w:val="1"/>
                <w:szCs w:val="1"/>
                <w:color w:val="auto"/>
              </w:rPr>
            </w:pPr>
          </w:p>
        </w:tc>
      </w:tr>
      <w:tr>
        <w:trPr>
          <w:trHeight w:val="168"/>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C common stock, par value $0.00001 per share</w:t>
            </w:r>
          </w:p>
        </w:tc>
        <w:tc>
          <w:tcPr>
            <w:tcW w:w="1960" w:type="dxa"/>
            <w:vAlign w:val="bottom"/>
          </w:tcPr>
          <w:p>
            <w:pPr>
              <w:jc w:val="center"/>
              <w:ind w:left="19"/>
              <w:spacing w:after="0"/>
              <w:rPr>
                <w:sz w:val="20"/>
                <w:szCs w:val="20"/>
                <w:color w:val="auto"/>
              </w:rPr>
            </w:pPr>
            <w:r>
              <w:rPr>
                <w:rFonts w:ascii="Times New Roman" w:cs="Times New Roman" w:eastAsia="Times New Roman" w:hAnsi="Times New Roman"/>
                <w:sz w:val="13"/>
                <w:szCs w:val="13"/>
                <w:color w:val="auto"/>
                <w:w w:val="99"/>
              </w:rPr>
              <w:t>7,970,185</w:t>
            </w:r>
          </w:p>
        </w:tc>
        <w:tc>
          <w:tcPr>
            <w:tcW w:w="0" w:type="dxa"/>
            <w:vAlign w:val="bottom"/>
          </w:tcPr>
          <w:p>
            <w:pPr>
              <w:spacing w:after="0"/>
              <w:rPr>
                <w:sz w:val="1"/>
                <w:szCs w:val="1"/>
                <w:color w:val="auto"/>
              </w:rPr>
            </w:pPr>
          </w:p>
        </w:tc>
      </w:tr>
      <w:tr>
        <w:trPr>
          <w:trHeight w:val="172"/>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D common stock, par value $0.00001 per share</w:t>
            </w:r>
          </w:p>
        </w:tc>
        <w:tc>
          <w:tcPr>
            <w:tcW w:w="196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3"/>
                <w:szCs w:val="13"/>
                <w:color w:val="auto"/>
                <w:w w:val="99"/>
              </w:rPr>
              <w:t>60,091,740</w:t>
            </w:r>
          </w:p>
        </w:tc>
        <w:tc>
          <w:tcPr>
            <w:tcW w:w="0" w:type="dxa"/>
            <w:vAlign w:val="bottom"/>
          </w:tcPr>
          <w:p>
            <w:pPr>
              <w:spacing w:after="0"/>
              <w:rPr>
                <w:sz w:val="1"/>
                <w:szCs w:val="1"/>
                <w:color w:val="auto"/>
              </w:rPr>
            </w:pPr>
          </w:p>
        </w:tc>
      </w:tr>
    </w:tbl>
    <w:p>
      <w:pPr>
        <w:spacing w:after="0" w:line="64" w:lineRule="exact"/>
        <w:rPr>
          <w:sz w:val="24"/>
          <w:szCs w:val="24"/>
          <w:color w:val="auto"/>
        </w:rPr>
      </w:pPr>
    </w:p>
    <w:p>
      <w:pPr>
        <w:ind w:right="280" w:firstLine="255"/>
        <w:spacing w:after="0" w:line="264" w:lineRule="auto"/>
        <w:rPr>
          <w:sz w:val="20"/>
          <w:szCs w:val="20"/>
          <w:color w:val="auto"/>
        </w:rPr>
      </w:pPr>
      <w:r>
        <w:rPr>
          <w:rFonts w:ascii="Times New Roman" w:cs="Times New Roman" w:eastAsia="Times New Roman" w:hAnsi="Times New Roman"/>
          <w:sz w:val="13"/>
          <w:szCs w:val="13"/>
          <w:color w:val="auto"/>
        </w:rPr>
        <w:t>The aggregate market value of voting and non-voting common stock held by non-affiliates of the registrant as of June 30, 2025 was approximately 3,542.7 million, based on the closing price of $44.79 per share as reported by NYSE on such date.</w:t>
      </w:r>
    </w:p>
    <w:p>
      <w:pPr>
        <w:spacing w:after="0" w:line="21" w:lineRule="exact"/>
        <w:rPr>
          <w:sz w:val="24"/>
          <w:szCs w:val="24"/>
          <w:color w:val="auto"/>
        </w:rPr>
      </w:pPr>
    </w:p>
    <w:p>
      <w:pPr>
        <w:ind w:right="360" w:firstLine="287"/>
        <w:spacing w:after="0" w:line="264" w:lineRule="auto"/>
        <w:rPr>
          <w:sz w:val="20"/>
          <w:szCs w:val="20"/>
          <w:color w:val="auto"/>
        </w:rPr>
      </w:pPr>
      <w:r>
        <w:rPr>
          <w:rFonts w:ascii="Times New Roman" w:cs="Times New Roman" w:eastAsia="Times New Roman" w:hAnsi="Times New Roman"/>
          <w:sz w:val="13"/>
          <w:szCs w:val="13"/>
          <w:color w:val="auto"/>
        </w:rPr>
        <w:t>Portions of Part III of this Form 10-K are incorporated by reference from the Registrant’s definitive proxy statement (the “2026 Proxy Statement”) for its 2026 annual meeting of shareholders to be filed with the Securities and Exchange Commission no later than 120 days after the end of the Registrant’s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245745</wp:posOffset>
            </wp:positionH>
            <wp:positionV relativeFrom="paragraph">
              <wp:posOffset>40640</wp:posOffset>
            </wp:positionV>
            <wp:extent cx="69678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7855" cy="698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60960</wp:posOffset>
            </wp:positionV>
            <wp:extent cx="69678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855" cy="6985"/>
                    </a:xfrm>
                    <a:prstGeom prst="rect">
                      <a:avLst/>
                    </a:prstGeom>
                    <a:noFill/>
                  </pic:spPr>
                </pic:pic>
              </a:graphicData>
            </a:graphic>
          </wp:anchor>
        </w:drawing>
      </w:r>
    </w:p>
    <w:p>
      <w:pPr>
        <w:spacing w:after="0" w:line="24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7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60" w:type="dxa"/>
            <w:vAlign w:val="bottom"/>
            <w:gridSpan w:val="12"/>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560" w:type="dxa"/>
            <w:vAlign w:val="bottom"/>
            <w:gridSpan w:val="11"/>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INDEX TO FORM 10-K</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60" w:type="dxa"/>
            <w:vAlign w:val="bottom"/>
            <w:gridSpan w:val="12"/>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w:t>
            </w:r>
          </w:p>
        </w:tc>
        <w:tc>
          <w:tcPr>
            <w:tcW w:w="0" w:type="dxa"/>
            <w:vAlign w:val="bottom"/>
          </w:tcPr>
          <w:p>
            <w:pPr>
              <w:spacing w:after="0"/>
              <w:rPr>
                <w:sz w:val="1"/>
                <w:szCs w:val="1"/>
                <w:color w:val="auto"/>
              </w:rPr>
            </w:pPr>
          </w:p>
        </w:tc>
      </w:tr>
      <w:tr>
        <w:trPr>
          <w:trHeight w:val="324"/>
        </w:trPr>
        <w:tc>
          <w:tcPr>
            <w:tcW w:w="14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PART I</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820" w:type="dxa"/>
            <w:vAlign w:val="bottom"/>
            <w:gridSpan w:val="2"/>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BUSINESS</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2"/>
              </w:rPr>
              <w:t>ITEM 1A.</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3"/>
              </w:rPr>
              <w:t>ITEM 1B.</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3"/>
              </w:rPr>
              <w:t>ITEM 1C.</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820" w:type="dxa"/>
            <w:vAlign w:val="bottom"/>
            <w:gridSpan w:val="2"/>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820" w:type="dxa"/>
            <w:vAlign w:val="bottom"/>
            <w:gridSpan w:val="2"/>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4"/>
              </w:rPr>
              <w:t>PART II</w:t>
            </w:r>
          </w:p>
        </w:tc>
        <w:tc>
          <w:tcPr>
            <w:tcW w:w="9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5.</w:t>
            </w: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SHAREHOLDER MATTERS AND ISSUER PURCHASES OF EQUITY</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FF"/>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SECURITIES</w:t>
            </w:r>
          </w:p>
        </w:tc>
        <w:tc>
          <w:tcPr>
            <w:tcW w:w="7260" w:type="dxa"/>
            <w:vAlign w:val="bottom"/>
            <w:tcBorders>
              <w:top w:val="single" w:sz="8" w:color="0000FF"/>
            </w:tcBorders>
            <w:gridSpan w:val="19"/>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0" w:type="dxa"/>
            <w:vAlign w:val="bottom"/>
          </w:tcPr>
          <w:p>
            <w:pPr>
              <w:spacing w:after="0"/>
              <w:rPr>
                <w:sz w:val="14"/>
                <w:szCs w:val="14"/>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820" w:type="dxa"/>
            <w:vAlign w:val="bottom"/>
            <w:gridSpan w:val="2"/>
          </w:tcPr>
          <w:p>
            <w:pPr>
              <w:spacing w:after="0"/>
              <w:rPr>
                <w:sz w:val="14"/>
                <w:szCs w:val="14"/>
                <w:color w:val="auto"/>
              </w:rPr>
            </w:pPr>
          </w:p>
        </w:tc>
        <w:tc>
          <w:tcPr>
            <w:tcW w:w="8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RESERVED</w:t>
            </w:r>
          </w:p>
        </w:tc>
        <w:tc>
          <w:tcPr>
            <w:tcW w:w="7800" w:type="dxa"/>
            <w:vAlign w:val="bottom"/>
            <w:gridSpan w:val="20"/>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5"/>
              </w:rPr>
              <w:t>ITEM 7.</w:t>
            </w:r>
          </w:p>
        </w:tc>
        <w:tc>
          <w:tcPr>
            <w:tcW w:w="820" w:type="dxa"/>
            <w:vAlign w:val="bottom"/>
            <w:gridSpan w:val="2"/>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2"/>
              </w:rPr>
              <w:t>ITEM 7A.</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5"/>
              </w:rPr>
              <w:t>ITEM 8.</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5"/>
              </w:rPr>
              <w:t>ITEM 9.</w:t>
            </w:r>
          </w:p>
        </w:tc>
        <w:tc>
          <w:tcPr>
            <w:tcW w:w="820" w:type="dxa"/>
            <w:vAlign w:val="bottom"/>
            <w:gridSpan w:val="2"/>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141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2"/>
              </w:rPr>
              <w:t>ITEM 9A.</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141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3"/>
              </w:rPr>
              <w:t>ITEM 9B.</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143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3"/>
              </w:rPr>
              <w:t>ITEM 9C.</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4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PART III</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10.</w:t>
            </w: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146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83"/>
              </w:rPr>
              <w:t>ITEM 11.</w:t>
            </w:r>
          </w:p>
        </w:tc>
        <w:tc>
          <w:tcPr>
            <w:tcW w:w="820" w:type="dxa"/>
            <w:vAlign w:val="bottom"/>
            <w:gridSpan w:val="2"/>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147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7"/>
              </w:rPr>
              <w:t>ITEM 12.</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148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240" w:type="dxa"/>
            <w:vAlign w:val="bottom"/>
            <w:gridSpan w:val="9"/>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7"/>
              </w:rPr>
              <w:t>ITEM 13.</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149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240" w:type="dxa"/>
            <w:vAlign w:val="bottom"/>
            <w:gridSpan w:val="9"/>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7"/>
              </w:rPr>
              <w:t>ITEM 14.</w:t>
            </w:r>
          </w:p>
        </w:tc>
        <w:tc>
          <w:tcPr>
            <w:tcW w:w="740" w:type="dxa"/>
            <w:vAlign w:val="bottom"/>
          </w:tcPr>
          <w:p>
            <w:pPr>
              <w:spacing w:after="0"/>
              <w:rPr>
                <w:sz w:val="13"/>
                <w:szCs w:val="13"/>
                <w:color w:val="auto"/>
              </w:rPr>
            </w:pP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150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PART IV</w:t>
            </w:r>
          </w:p>
        </w:tc>
        <w:tc>
          <w:tcPr>
            <w:tcW w:w="8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15.</w:t>
            </w:r>
          </w:p>
        </w:tc>
        <w:tc>
          <w:tcPr>
            <w:tcW w:w="86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151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620" w:type="dxa"/>
            <w:vAlign w:val="bottom"/>
            <w:gridSpan w:val="10"/>
            <w:shd w:val="clear" w:color="auto" w:fill="0000FF"/>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6"/>
              </w:rPr>
              <w:t>SIGNATURES</w:t>
            </w:r>
          </w:p>
        </w:tc>
        <w:tc>
          <w:tcPr>
            <w:tcW w:w="7800" w:type="dxa"/>
            <w:vAlign w:val="bottom"/>
            <w:gridSpan w:val="20"/>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4"/>
                <w:szCs w:val="14"/>
                <w:color w:val="0000FF"/>
                <w:w w:val="95"/>
              </w:rPr>
              <w:t>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2" w:name="page3"/>
    <w:bookmarkEnd w:id="2"/>
    <w:p>
      <w:pPr>
        <w:ind w:firstLine="509"/>
        <w:spacing w:after="0" w:line="287" w:lineRule="auto"/>
        <w:rPr>
          <w:sz w:val="20"/>
          <w:szCs w:val="20"/>
          <w:color w:val="auto"/>
        </w:rPr>
      </w:pPr>
      <w:r>
        <w:rPr>
          <w:rFonts w:ascii="Times New Roman" w:cs="Times New Roman" w:eastAsia="Times New Roman" w:hAnsi="Times New Roman"/>
          <w:sz w:val="14"/>
          <w:szCs w:val="14"/>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CAUTIONARY NOTE REGARDING FORWARD LOOKING STATEMENTS</w:t>
      </w:r>
    </w:p>
    <w:p>
      <w:pPr>
        <w:spacing w:after="0" w:line="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252" w:lineRule="exact"/>
        <w:rPr>
          <w:sz w:val="20"/>
          <w:szCs w:val="20"/>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levels of overall trading activity;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upon trading counterparties, clients and clearing houses performing their obligations to us;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failures of our customized trading platform;</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inherent to the electronic market making business and trading generally;</w:t>
      </w:r>
    </w:p>
    <w:p>
      <w:pPr>
        <w:spacing w:after="0" w:line="93" w:lineRule="exact"/>
        <w:rPr>
          <w:rFonts w:ascii="Times New Roman" w:cs="Times New Roman" w:eastAsia="Times New Roman" w:hAnsi="Times New Roman"/>
          <w:sz w:val="14"/>
          <w:szCs w:val="14"/>
          <w:color w:val="auto"/>
        </w:rPr>
      </w:pPr>
    </w:p>
    <w:p>
      <w:pPr>
        <w:ind w:left="760" w:right="20" w:hanging="119"/>
        <w:spacing w:after="0" w:line="270"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regulatory and media scrutiny, including attention to electronic trading, wholesale market making and off-exchange trading, payment for order flow, and other market structure topics and both the impact of additional potential changes in regulation or law as well as the potential impact upon public perception of us or of companies in our industry could also have an adverse effect on our business;</w:t>
      </w:r>
    </w:p>
    <w:p>
      <w:pPr>
        <w:spacing w:after="0" w:line="50"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in market making activities and execution services;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continued access to sources of liquidity;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self-clearing and other operational elements of our business, including but not limited to risks related to funding and liquidity;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comply with applicable regulatory capital requirements;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legal and regulatory-based liabilities;</w:t>
      </w:r>
    </w:p>
    <w:p>
      <w:pPr>
        <w:spacing w:after="0" w:line="93" w:lineRule="exact"/>
        <w:rPr>
          <w:rFonts w:ascii="Times New Roman" w:cs="Times New Roman" w:eastAsia="Times New Roman" w:hAnsi="Times New Roman"/>
          <w:sz w:val="14"/>
          <w:szCs w:val="14"/>
          <w:color w:val="auto"/>
        </w:rPr>
      </w:pPr>
    </w:p>
    <w:p>
      <w:pPr>
        <w:ind w:left="760" w:right="20" w:hanging="119"/>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39"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comply with laws and regulations applicable to our operations in the U.S. and abroad;</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need to maintain and continue developing proprietary technologies;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constraints, system failures, and delays;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third-party infrastructure or systems;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open source software;</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or enforce our intellectual property rights in our proprietary technology;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confidential and proprietary information;</w:t>
      </w:r>
    </w:p>
    <w:p>
      <w:pPr>
        <w:spacing w:after="0" w:line="93" w:lineRule="exact"/>
        <w:rPr>
          <w:rFonts w:ascii="Times New Roman" w:cs="Times New Roman" w:eastAsia="Times New Roman" w:hAnsi="Times New Roman"/>
          <w:sz w:val="14"/>
          <w:szCs w:val="14"/>
          <w:color w:val="auto"/>
        </w:rPr>
      </w:pPr>
    </w:p>
    <w:p>
      <w:pPr>
        <w:ind w:left="760" w:right="40" w:hanging="119"/>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our systems from internal or external cyber threats that could result in damage to our computer systems, business interruption, loss of data, monetary payment demands or other consequences;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7" w:right="339" w:bottom="1440" w:gutter="0" w:footer="0" w:header="0"/>
        </w:sectPr>
      </w:pPr>
    </w:p>
    <w:bookmarkStart w:id="4" w:name="page5"/>
    <w:bookmarkEnd w:id="4"/>
    <w:p>
      <w:pPr>
        <w:ind w:left="760" w:right="260" w:hanging="119"/>
        <w:spacing w:after="0" w:line="287"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investments in our growth strategy which increase our capital expenditures and operating expenses and which may not ultimately yield returns that justify these increases;</w:t>
      </w:r>
    </w:p>
    <w:p>
      <w:pPr>
        <w:spacing w:after="0" w:line="39"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international operations and expansion, including failed acquisitions or dispositions;</w:t>
      </w:r>
    </w:p>
    <w:p>
      <w:pPr>
        <w:spacing w:after="0" w:line="93" w:lineRule="exact"/>
        <w:rPr>
          <w:rFonts w:ascii="Times New Roman" w:cs="Times New Roman" w:eastAsia="Times New Roman" w:hAnsi="Times New Roman"/>
          <w:sz w:val="14"/>
          <w:szCs w:val="14"/>
          <w:color w:val="auto"/>
        </w:rPr>
      </w:pPr>
    </w:p>
    <w:p>
      <w:pPr>
        <w:ind w:left="760" w:hanging="119"/>
        <w:spacing w:after="0" w:line="270"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tariff, monetary, fiscal and tax policies in international markets), political conditions (such as military actions and terrorist activities), and other global events such as fires, natural disasters, pandemics or extreme weather;</w:t>
      </w:r>
    </w:p>
    <w:p>
      <w:pPr>
        <w:spacing w:after="0" w:line="50"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potential growth and associated corporate actions;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access, or delay in accessing the capital markets to sell shares or raise additional capital;</w:t>
      </w:r>
    </w:p>
    <w:p>
      <w:pPr>
        <w:spacing w:after="0" w:line="93" w:lineRule="exact"/>
        <w:rPr>
          <w:rFonts w:ascii="Times New Roman" w:cs="Times New Roman" w:eastAsia="Times New Roman" w:hAnsi="Times New Roman"/>
          <w:sz w:val="14"/>
          <w:szCs w:val="14"/>
          <w:color w:val="auto"/>
        </w:rPr>
      </w:pPr>
    </w:p>
    <w:p>
      <w:pPr>
        <w:ind w:left="760" w:right="120" w:hanging="119"/>
        <w:spacing w:after="0" w:line="287"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spacing w:after="0" w:line="39"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executives and failure to recruit and retain qualified personnel;</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losing access to a significant exchange or other trading venue; and</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changes in governmental administrations and agencies.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undertake no obligation to publicly update or revise any forward-looking statements to reflect events or circumstances that may arise after the date of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We are a leading financial firm that leverages cutting edge technology to deliver liquidity to the global markets and innovative, transparent trading solutions to our clients. Leveraging our global market structure expertise and scaled, multi-asset infrastructure, we provide our clients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Exchange Traded Funds (“ETFs”), options, foreign exchange, futures, fixed income, cryptocurrencies, and myriad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168" w:lineRule="exact"/>
        <w:rPr>
          <w:sz w:val="20"/>
          <w:szCs w:val="20"/>
          <w:color w:val="auto"/>
        </w:rPr>
      </w:pPr>
    </w:p>
    <w:p>
      <w:pPr>
        <w:ind w:right="40" w:firstLine="509"/>
        <w:spacing w:after="0" w:line="174" w:lineRule="exact"/>
        <w:rPr>
          <w:sz w:val="20"/>
          <w:szCs w:val="20"/>
          <w:color w:val="auto"/>
        </w:rPr>
      </w:pPr>
      <w:r>
        <w:rPr>
          <w:rFonts w:ascii="Times New Roman" w:cs="Times New Roman" w:eastAsia="Times New Roman" w:hAnsi="Times New Roman"/>
          <w:sz w:val="14"/>
          <w:szCs w:val="14"/>
          <w:color w:val="auto"/>
        </w:rPr>
        <w:t>Technology and operational efficiency are at the core of our business, and our focus on market making and order routing technology is a key element of our success. We have developed a proprietary,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institutional agency activities in an efficient manner that enables us to scale our activities globally, across additional securities and other financial instruments and asset classes, without significant incremental costs or third-party licensing or processing fees.</w:t>
      </w:r>
    </w:p>
    <w:p>
      <w:pPr>
        <w:spacing w:after="0" w:line="178" w:lineRule="exact"/>
        <w:rPr>
          <w:sz w:val="20"/>
          <w:szCs w:val="20"/>
          <w:color w:val="auto"/>
        </w:rPr>
      </w:pPr>
    </w:p>
    <w:p>
      <w:pPr>
        <w:ind w:right="380" w:firstLine="509"/>
        <w:spacing w:after="0" w:line="270" w:lineRule="auto"/>
        <w:rPr>
          <w:sz w:val="20"/>
          <w:szCs w:val="20"/>
          <w:color w:val="auto"/>
        </w:rPr>
      </w:pPr>
      <w:r>
        <w:rPr>
          <w:rFonts w:ascii="Times New Roman" w:cs="Times New Roman" w:eastAsia="Times New Roman" w:hAnsi="Times New Roman"/>
          <w:sz w:val="14"/>
          <w:szCs w:val="14"/>
          <w:color w:val="auto"/>
        </w:rPr>
        <w:t>We believe that technology-enabled market makers like Virtu serve an important role in maintaining and improving the overall health and efficiency of the global capital markets by providing market participants with an efficient means to transfer risk and analyze the quality of execution. We believe that market participants benefit from the increased liquidity, lower overall trading costs and execution transparency that Virtu provides.</w:t>
      </w:r>
    </w:p>
    <w:p>
      <w:pPr>
        <w:spacing w:after="0" w:line="157"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with hundreds of retail brokers, Registered Investment Advisors, private client networks, sell-side brokers, and buy-side institutions.</w:t>
      </w:r>
    </w:p>
    <w:p>
      <w:pPr>
        <w:spacing w:after="0" w:line="200"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We have two operating segments: Market Making and Execution Services, and one non-operating segment: Corporate. Our management allocates resources, assesses performance and manages our business according to these segments.</w:t>
      </w:r>
    </w:p>
    <w:p>
      <w:pPr>
        <w:spacing w:after="0" w:line="104" w:lineRule="exact"/>
        <w:rPr>
          <w:sz w:val="20"/>
          <w:szCs w:val="20"/>
          <w:color w:val="auto"/>
        </w:rPr>
      </w:pPr>
    </w:p>
    <w:p>
      <w:pPr>
        <w:ind w:right="60" w:firstLine="509"/>
        <w:spacing w:after="0" w:line="168" w:lineRule="exact"/>
        <w:rPr>
          <w:sz w:val="20"/>
          <w:szCs w:val="20"/>
          <w:color w:val="auto"/>
        </w:rPr>
      </w:pPr>
      <w:r>
        <w:rPr>
          <w:rFonts w:ascii="Times New Roman" w:cs="Times New Roman" w:eastAsia="Times New Roman" w:hAnsi="Times New Roman"/>
          <w:sz w:val="14"/>
          <w:szCs w:val="14"/>
          <w:color w:val="auto"/>
        </w:rPr>
        <w:t>We primarily conduct our Americas equities business through our SEC registered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Virtu Americas LLC (“VAL”). We are registered with the Central Bank of Ireland (“CBI”) and the Financial Conduct Authority (“FCA”) in the UK for our European trading, the Canadian Investment Regulatory Organization (“CIRO”) and the Ontario Securities Commission for our Canadian trading, and the Monetary Authority of Singapore (“MAS”), Securities and Futures Commission of Hong Kong (“SFC”), and Australian Securities and Investments Commission (“ASIC”) for our Asia-Pacific (“APAC”) trading. We are registered as a market maker or liquidity provider and/or enter into direct obligations to provide liquidity on nearly every exchange or venue that offers such programs. We engage regularly with regulators around the world on issues affecting electronic trading and other matters that may affect our business and the operation of the financial markets and advocate for increased transparency. In the U.S., we conduct our business from our headquarters in New York City (NY) and our offices in Boston (MA), Austin (TX), Chicago (IL), Short Hills (NJ), Rye Brook (NY), and Palm Beach Gardens (FL). Abroad, we conduct our business through trading centers located in London, Dublin, Paris, Singapore, Hong Kong, Toronto, and Sydney.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Segments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Making</w:t>
      </w:r>
    </w:p>
    <w:p>
      <w:pPr>
        <w:spacing w:after="0" w:line="202" w:lineRule="exact"/>
        <w:rPr>
          <w:sz w:val="20"/>
          <w:szCs w:val="20"/>
          <w:color w:val="auto"/>
        </w:rPr>
      </w:pPr>
    </w:p>
    <w:p>
      <w:pPr>
        <w:ind w:right="240" w:firstLine="509"/>
        <w:spacing w:after="0" w:line="173" w:lineRule="exact"/>
        <w:rPr>
          <w:sz w:val="20"/>
          <w:szCs w:val="20"/>
          <w:color w:val="auto"/>
        </w:rPr>
      </w:pPr>
      <w:r>
        <w:rPr>
          <w:rFonts w:ascii="Times New Roman" w:cs="Times New Roman" w:eastAsia="Times New Roman" w:hAnsi="Times New Roman"/>
          <w:sz w:val="14"/>
          <w:szCs w:val="14"/>
          <w:color w:val="auto"/>
        </w:rPr>
        <w:t>Our Market Making segment principally consists of market making in the cash, futures, and options markets across global equities, fixed income, currencies, cryptocurrencies, and commodities. As a leading, 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cost market maker dedicated to improving efficiency and providing liquidity across multiple asset classes and geographies, we aim to provide critical market functionality and robust price competition in the securities and other financial instruments in which we provide liquidity. The scale and diversity of our market making activities provide added liquidity and transparency to the financial markets, which we believe are necessary and valuable components to the efficient functioning of markets and benefit all market participants. We support transparent and efficient, technologically advanced marketplaces, and advocate for legislation and regulation that promotes fair and transparent access to the financial markets.</w:t>
      </w:r>
    </w:p>
    <w:p>
      <w:pPr>
        <w:spacing w:after="0" w:line="178"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As a market maker, we commit capital on a principal basis by offering to buy securities from, or sell securities to, broker dealers, banks and institutions. We engage in principal trading in the Market Making segment direct to clients as well as on exchanges, Alternative Trading Systems (“ATSs”) and other market centers. As a complement to electronic market making, our cash trading business handles specialized orders and transacts on the OTC Link ATS operated by OTC Markets Group Inc.</w:t>
      </w:r>
    </w:p>
    <w:p>
      <w:pPr>
        <w:spacing w:after="0" w:line="157" w:lineRule="exact"/>
        <w:rPr>
          <w:sz w:val="20"/>
          <w:szCs w:val="20"/>
          <w:color w:val="auto"/>
        </w:rPr>
      </w:pPr>
    </w:p>
    <w:p>
      <w:pPr>
        <w:ind w:right="560" w:firstLine="509"/>
        <w:spacing w:after="0" w:line="287" w:lineRule="auto"/>
        <w:rPr>
          <w:sz w:val="20"/>
          <w:szCs w:val="20"/>
          <w:color w:val="auto"/>
        </w:rPr>
      </w:pPr>
      <w:r>
        <w:rPr>
          <w:rFonts w:ascii="Times New Roman" w:cs="Times New Roman" w:eastAsia="Times New Roman" w:hAnsi="Times New Roman"/>
          <w:sz w:val="14"/>
          <w:szCs w:val="14"/>
          <w:color w:val="auto"/>
        </w:rPr>
        <w:t>We make markets in a number of different asset classes, which are discussed in more detail below. We register as market makers and liquidity providers where available and support affirmative market making obligations.</w:t>
      </w:r>
    </w:p>
    <w:p>
      <w:pPr>
        <w:spacing w:after="0" w:line="145"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We provide competitive and deep liquidity that helps to create more efficient markets around the world. We stand ready, at any time, to buy or sell a broad range of securities and other financial instruments, and we generate revenue by buying and selling large volumes of securities and other financial instruments while earning small bid/ask spreads.</w:t>
      </w:r>
    </w:p>
    <w:p>
      <w:pPr>
        <w:spacing w:after="0" w:line="14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We believe the overall level of volumes and realized volatility as well as the attractiveness of the order flow we interact with and the level of retail participation in the various markets we serve have the greatest impact on our businesses. Increases in market volatility can cause bid/ask spreads to temporarily widen as market participants are more willing to transact immediately and as a result market makers’ capture rate per notional amount transacted increases.</w:t>
      </w:r>
    </w:p>
    <w:p>
      <w:pPr>
        <w:spacing w:after="0" w:line="15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Technology is at the core of our business. Our team of in-house software engineers develops our software and applications, and we utilize optimized infrastructure to integrate directly with the exchanges and other trading venues on which we provide liquidity. Our focus on technology and our ability to leverage our technology enables us to be one of the lowest cost providers of liquidity to the global electronic trading marketplace.</w:t>
      </w:r>
    </w:p>
    <w:p>
      <w:pPr>
        <w:spacing w:after="0" w:line="157"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Leveraging the scalability and low costs of our platform, we are able to test and rapidly deploy new liquidity provisioning strategies, expand to new securities, asset classes and geographies and increase transaction volumes at little incremental cost. These efficiencies are central to our ability to deliver consistently positive Adjusted Net Trading Income (as defined below) as our profitability per trade and per instrument is not significant, particularly in U.S. equities.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Our transaction processing is automated over the full life cycle of a trade. Our market making platform generates and disseminates continuous bid and offer quotes. At the moment when a trade is executed, our systems capture and deliver this information back to the source, in most cases within a fraction of a second, and the trade record is written into our clearing system, where it flows through a chain of control accounts that allow us to automatically and efficiently reconcile trades, positions and payments until the final settlement occurs.</w:t>
      </w:r>
    </w:p>
    <w:p>
      <w:pPr>
        <w:spacing w:after="0" w:line="157"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We have built and continuously refine our automated and integrated, real time systems for global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spacing w:after="0" w:line="162"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Our core operations team across our offices in North America, APAC and Europe monitors our systems 24 hours a day, five days a week. This function provides coverage for our full technology platform, including our market data, order routing, transaction processing, and risk management technology modules.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Clients and Products</w:t>
      </w:r>
    </w:p>
    <w:p>
      <w:pPr>
        <w:spacing w:after="0" w:line="202"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We offer direct-to-client market making services across multiple asset classes primarily to sell-side clients including global, national and regional broker dealers and banks as well as buy-side clients comprising, among others, mutual funds, pension plans, plan sponsors, hedge funds, trusts and endowments in North America, Europe and Asia.</w:t>
      </w:r>
    </w:p>
    <w:p>
      <w:pPr>
        <w:spacing w:after="0" w:line="145"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We generally compete based on execution quality, market coverage, and client service. In direct-to-client electronic market making in U.S. equities, execution quality is generally measured based on factors that include speed of execution, fulfillment rates, opportunity and amounts of price improvement, using metrics defined in SEC Rule 605. In other asset classes, metrics for execution quality are not prescribed by applicable regulation, and in many cases, are client defined.</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continually work to provide clients with high quality, low-cost trade executions that enable them to satisfy their fiduciary obligation to seek the best execution on behalf of their customer.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continually refine our automated order routing models so that we may remain competitive.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 Equities</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trade over 50,000 listed and over-the-counter (“OTC”) securities including, among others, equity related futures and exchange traded products (“ETPs”), on seventeen U.S. Securities and Exchange Commission (“SEC”) registered exchanges and other market centers around the world, including the New York Stock Exchange (“NYSE”), the Nasdaq Stock Market LLC (“Nasdaq”), NYSE Arca, Cboe BATS, Chicago Stock Exchange, the Members Exchange (“MEMX”), the TSX in Canada, Bovespa in Brazil and BMV in Mexico, as well as other ATSs and more than 150 private liquidity pools.</w:t>
      </w:r>
    </w:p>
    <w:p>
      <w:pPr>
        <w:spacing w:after="0" w:line="162" w:lineRule="exact"/>
        <w:rPr>
          <w:sz w:val="20"/>
          <w:szCs w:val="20"/>
          <w:color w:val="auto"/>
        </w:rPr>
      </w:pPr>
    </w:p>
    <w:p>
      <w:pPr>
        <w:jc w:val="both"/>
        <w:ind w:right="160" w:firstLine="141"/>
        <w:spacing w:after="0" w:line="270" w:lineRule="auto"/>
        <w:rPr>
          <w:sz w:val="20"/>
          <w:szCs w:val="20"/>
          <w:color w:val="auto"/>
        </w:rPr>
      </w:pPr>
      <w:r>
        <w:rPr>
          <w:rFonts w:ascii="Times New Roman" w:cs="Times New Roman" w:eastAsia="Times New Roman" w:hAnsi="Times New Roman"/>
          <w:sz w:val="14"/>
          <w:szCs w:val="14"/>
          <w:color w:val="auto"/>
        </w:rPr>
        <w:t>Our strategy globally is to utilize high speed, efficient connections to all of the registered exchanges and market centers, including the London Stock Exchange, Cboe Europe Equities, Euronext, Six Swiss Exchange, Australian Securities Exchange, Tokyo Stock Exchange and Singapore Exchange, as well as other trading venues and additional pools of liquidity to which we can gain access either directly or through a broker.</w:t>
      </w:r>
    </w:p>
    <w:p>
      <w:pPr>
        <w:spacing w:after="0" w:line="157" w:lineRule="exact"/>
        <w:rPr>
          <w:sz w:val="20"/>
          <w:szCs w:val="20"/>
          <w:color w:val="auto"/>
        </w:rPr>
      </w:pPr>
    </w:p>
    <w:p>
      <w:pPr>
        <w:jc w:val="both"/>
        <w:ind w:right="160" w:firstLine="509"/>
        <w:spacing w:after="0" w:line="270" w:lineRule="auto"/>
        <w:rPr>
          <w:sz w:val="20"/>
          <w:szCs w:val="20"/>
          <w:color w:val="auto"/>
        </w:rPr>
      </w:pPr>
      <w:r>
        <w:rPr>
          <w:rFonts w:ascii="Times New Roman" w:cs="Times New Roman" w:eastAsia="Times New Roman" w:hAnsi="Times New Roman"/>
          <w:sz w:val="14"/>
          <w:szCs w:val="14"/>
          <w:color w:val="auto"/>
        </w:rPr>
        <w:t>As ETPs and other similar products, including Exchange Traded Funds (“ETFs”), have proliferated both domestically and internationally, demand has increased for trading the underlying assets or hedging such products. Our technology has enabled us to expand into providing liquidity to this growing area by making markets across these assets in a variety of trading venues globally. We are authorized participants, and can create and/or redeem ETPs.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 Fixed Income, Currencies and Commodities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FICC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Options, and Other</w:t>
      </w:r>
    </w:p>
    <w:p>
      <w:pPr>
        <w:spacing w:after="0" w:line="202"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Our Fixed Income market making includes our activity in U.S. Treasury securities and other sovereign debt, corporate bonds, and other debt instruments. We trade these products on a variety of specialized exchanges, direct to counterparties, and other trading venues, including BrokerTec, eSpeed, DealerWeb, Bloomberg, Tradeweb, MarketAxess, and BGC’s Fenics UST.</w:t>
      </w:r>
    </w:p>
    <w:p>
      <w:pPr>
        <w:spacing w:after="0" w:line="145"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Our Currencies market making, including spot, futures and forwards, comprises our activity in over 50 currency pairs, including deliverable, non-deliverable, fiat, and digital currencies, across dozens of venues and direct to counterparties. We are a leading participant in the major foreign exchange venues, including LSEG, Currenex, Cboe FX, and CME.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Our Commodities market making takes place on the CME, ICE, and Nasdaq Futures in crude oil, natural gas, heating oil, and gasoline futures. We also actively trade precious metals, including gold, silver, platinum and palladium, as well as base metals such as aluminum and copper. We trade over 100 commodity products.</w:t>
      </w:r>
    </w:p>
    <w:p>
      <w:pPr>
        <w:spacing w:after="0" w:line="145" w:lineRule="exact"/>
        <w:rPr>
          <w:sz w:val="20"/>
          <w:szCs w:val="20"/>
          <w:color w:val="auto"/>
        </w:rPr>
      </w:pPr>
    </w:p>
    <w:p>
      <w:pPr>
        <w:ind w:right="480" w:firstLine="509"/>
        <w:spacing w:after="0" w:line="271" w:lineRule="auto"/>
        <w:rPr>
          <w:sz w:val="20"/>
          <w:szCs w:val="20"/>
          <w:color w:val="auto"/>
        </w:rPr>
      </w:pPr>
      <w:r>
        <w:rPr>
          <w:rFonts w:ascii="Times New Roman" w:cs="Times New Roman" w:eastAsia="Times New Roman" w:hAnsi="Times New Roman"/>
          <w:sz w:val="14"/>
          <w:szCs w:val="14"/>
          <w:color w:val="auto"/>
        </w:rPr>
        <w:t>Our Options and Other market making includes our activity on all of the U.S. options exchanges of which we are a member (i.e., Cboe, ISE, and NYSE Arca) and on the U.S. futures exchanges, as well as our activity in cryptocurrencies. Our cryptocurrency market making includes spot, perpetuals, futures, and ETFs and takes place across over 75 venues and exchanges.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Execution Services</w:t>
      </w:r>
    </w:p>
    <w:p>
      <w:pPr>
        <w:spacing w:after="0" w:line="202"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 xml:space="preserve">We offer agency execution services and trading venues that provide transparent trading in global equities, ETFs, fixed income, currencies, and commodities </w:t>
      </w:r>
      <w:r>
        <w:rPr>
          <w:rFonts w:ascii="Times New Roman" w:cs="Times New Roman" w:eastAsia="Times New Roman" w:hAnsi="Times New Roman"/>
          <w:sz w:val="14"/>
          <w:szCs w:val="14"/>
          <w:color w:val="222222"/>
        </w:rPr>
        <w:t>to institutions, banks and broker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22222"/>
        </w:rPr>
        <w:t xml:space="preserve">dealers. We generally earn commissions </w:t>
      </w:r>
      <w:r>
        <w:rPr>
          <w:rFonts w:ascii="Times New Roman" w:cs="Times New Roman" w:eastAsia="Times New Roman" w:hAnsi="Times New Roman"/>
          <w:sz w:val="14"/>
          <w:szCs w:val="14"/>
          <w:color w:val="000000"/>
        </w:rPr>
        <w:t>when transacting as an agent for our clients.</w:t>
      </w:r>
      <w:r>
        <w:rPr>
          <w:rFonts w:ascii="Times New Roman" w:cs="Times New Roman" w:eastAsia="Times New Roman" w:hAnsi="Times New Roman"/>
          <w:sz w:val="14"/>
          <w:szCs w:val="14"/>
          <w:color w:val="222222"/>
        </w:rPr>
        <w:t xml:space="preserve"> Within the Execution Services segment, we offer the following categories of products and services:</w:t>
      </w:r>
    </w:p>
    <w:p>
      <w:pPr>
        <w:spacing w:after="0" w:line="145"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Agency-based, execution-only trading, done through a variety of access points including:</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algorithmic trading and order routing;</w:t>
      </w:r>
    </w:p>
    <w:p>
      <w:pPr>
        <w:spacing w:after="0" w:line="8" w:lineRule="exact"/>
        <w:rPr>
          <w:rFonts w:ascii="Times New Roman" w:cs="Times New Roman" w:eastAsia="Times New Roman" w:hAnsi="Times New Roman"/>
          <w:sz w:val="14"/>
          <w:szCs w:val="14"/>
          <w:color w:val="auto"/>
        </w:rPr>
      </w:pPr>
    </w:p>
    <w:p>
      <w:pPr>
        <w:ind w:left="1020" w:right="180" w:hanging="251"/>
        <w:spacing w:after="0" w:line="253" w:lineRule="auto"/>
        <w:tabs>
          <w:tab w:leader="none" w:pos="1017"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institutional sales traders who offer portfolio trading and single stock sales trading providing execution expertise for program, block and riskless principal trades in global equities and ETFs; and</w:t>
      </w:r>
    </w:p>
    <w:p>
      <w:pPr>
        <w:ind w:left="1020" w:hanging="251"/>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matching of client conditional orders via POSIT Alert and in our ATSs, including Virtu MatchIt and POSIT.</w:t>
      </w:r>
    </w:p>
    <w:p>
      <w:pPr>
        <w:spacing w:after="0" w:line="185" w:lineRule="exact"/>
        <w:rPr>
          <w:rFonts w:ascii="Times New Roman" w:cs="Times New Roman" w:eastAsia="Times New Roman" w:hAnsi="Times New Roman"/>
          <w:sz w:val="14"/>
          <w:szCs w:val="14"/>
          <w:color w:val="auto"/>
        </w:rPr>
      </w:pPr>
    </w:p>
    <w:p>
      <w:pPr>
        <w:ind w:left="520" w:right="46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Workflow Technology, and our integrated, broker-neutral trading tools delivered across the globe including order and execution management systems and order management software applications and network connectivity; and</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Analytics, including</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tools enabling portfolio managers and traders to improve pre-trade and real-time execution performance and post-trade analysis;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construction and optimization decisions; and</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valuation.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22222"/>
        </w:rPr>
        <w:t>Clients and Products</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222222"/>
        </w:rPr>
        <w:t>We offer agency execution services across multiple asset classes to buy-side clients including mutual funds, pension plans, plan sponsors, hedge funds, trusts and endowments and sell-side clients including global, national and regional broker dealers and banks in North America, Europe and Asia. In 2025, our Execution Services segment did not have any client that accounted for more than 10% of our total commissions earned.</w:t>
      </w:r>
    </w:p>
    <w:p>
      <w:pPr>
        <w:spacing w:after="0" w:line="15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222222"/>
        </w:rPr>
        <w:t xml:space="preserve">Clients may access a broad range of products and services that includes electronic execution services in global equities via algorithmic trading, order routing and an execution management system (“EMS”) as well as internal crossing through our registered ATSs. Our ATSs provide clients with important sources of non-displayed liquidity. We also offer clients voice access to global markets including sales and trading for equities, ETFs and options. Certain broker-dealer affiliates </w:t>
      </w:r>
      <w:r>
        <w:rPr>
          <w:rFonts w:ascii="Times New Roman" w:cs="Times New Roman" w:eastAsia="Times New Roman" w:hAnsi="Times New Roman"/>
          <w:sz w:val="14"/>
          <w:szCs w:val="14"/>
          <w:color w:val="000000"/>
        </w:rPr>
        <w:t>also engage in foreign exchange trading to facilitate equity trades by clients in different currencies</w:t>
      </w:r>
      <w:r>
        <w:rPr>
          <w:rFonts w:ascii="Times New Roman" w:cs="Times New Roman" w:eastAsia="Times New Roman" w:hAnsi="Times New Roman"/>
          <w:sz w:val="14"/>
          <w:szCs w:val="14"/>
          <w:color w:val="222222"/>
        </w:rPr>
        <w:t xml:space="preserve"> </w:t>
      </w:r>
      <w:r>
        <w:rPr>
          <w:rFonts w:ascii="Times New Roman" w:cs="Times New Roman" w:eastAsia="Times New Roman" w:hAnsi="Times New Roman"/>
          <w:sz w:val="14"/>
          <w:szCs w:val="14"/>
          <w:color w:val="000000"/>
        </w:rPr>
        <w:t xml:space="preserve">as well as other client foreign exchange trades unrelated to equity trades. </w:t>
      </w:r>
      <w:r>
        <w:rPr>
          <w:rFonts w:ascii="Times New Roman" w:cs="Times New Roman" w:eastAsia="Times New Roman" w:hAnsi="Times New Roman"/>
          <w:sz w:val="14"/>
          <w:szCs w:val="14"/>
          <w:color w:val="222222"/>
        </w:rPr>
        <w:t>We handle large complex trades, accessing liquidity from our order flow and other sources. We provide soft dollar and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22222"/>
        </w:rPr>
        <w:t>commission recapture programs.</w:t>
      </w:r>
    </w:p>
    <w:p>
      <w:pPr>
        <w:spacing w:after="0" w:line="164"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222222"/>
        </w:rPr>
        <w:t xml:space="preserve">In this segment, we generally compete on trading technology, execution performance, costs, client service, market coverage, liquidity, platform capabilities and anonymity. We draw on in-house developed trading technologies to meet client criteria for execution quality and for managing trading costs. As a result, we are able to attract a diverse array of clients in terms of strategy, size and style. We also provide algorithmic trading and order routing that combine technology, access to our differentiated liquidity and support from experienced professionals to help clients execute trades. </w:t>
      </w:r>
      <w:r>
        <w:rPr>
          <w:rFonts w:ascii="Times New Roman" w:cs="Times New Roman" w:eastAsia="Times New Roman" w:hAnsi="Times New Roman"/>
          <w:sz w:val="14"/>
          <w:szCs w:val="14"/>
          <w:color w:val="000000"/>
        </w:rPr>
        <w:t>The segment also includes the results of our capital markets business, in which we act as an agent for issuers in connection with at-the-market offerings and buyback programs.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22222"/>
        </w:rPr>
        <w:t>Agency-based, Execution-only Trading</w:t>
      </w:r>
    </w:p>
    <w:p>
      <w:pPr>
        <w:spacing w:after="0" w:line="181" w:lineRule="exact"/>
        <w:rPr>
          <w:sz w:val="20"/>
          <w:szCs w:val="20"/>
          <w:color w:val="auto"/>
        </w:rPr>
      </w:pPr>
    </w:p>
    <w:p>
      <w:pPr>
        <w:ind w:right="360" w:firstLine="509"/>
        <w:spacing w:after="0" w:line="188" w:lineRule="exact"/>
        <w:rPr>
          <w:sz w:val="20"/>
          <w:szCs w:val="20"/>
          <w:color w:val="auto"/>
        </w:rPr>
      </w:pPr>
      <w:r>
        <w:rPr>
          <w:rFonts w:ascii="Times New Roman" w:cs="Times New Roman" w:eastAsia="Times New Roman" w:hAnsi="Times New Roman"/>
          <w:sz w:val="14"/>
          <w:szCs w:val="14"/>
          <w:color w:val="222222"/>
        </w:rPr>
        <w:t xml:space="preserve">Our clients may access a broad range of products and services that includes electronic execution services in global equities via algorithmic trading, order routing and an EMS as well as internal crossing through our registered ATSs. </w:t>
      </w:r>
      <w:r>
        <w:rPr>
          <w:rFonts w:ascii="Times New Roman" w:cs="Times New Roman" w:eastAsia="Times New Roman" w:hAnsi="Times New Roman"/>
          <w:sz w:val="14"/>
          <w:szCs w:val="14"/>
          <w:color w:val="000000"/>
        </w:rPr>
        <w:t>Our algorithms and order routers help portfolio managers and traders to trade orders quickly, comprehensively and cost</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000000"/>
        </w:rPr>
        <w:t>efficiently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 w:name="page9"/>
    <w:bookmarkEnd w:id="8"/>
    <w:p>
      <w:pPr>
        <w:ind w:right="120"/>
        <w:spacing w:after="0" w:line="192" w:lineRule="exact"/>
        <w:rPr>
          <w:sz w:val="20"/>
          <w:szCs w:val="20"/>
          <w:color w:val="auto"/>
        </w:rPr>
      </w:pPr>
      <w:r>
        <w:rPr>
          <w:rFonts w:ascii="Times New Roman" w:cs="Times New Roman" w:eastAsia="Times New Roman" w:hAnsi="Times New Roman"/>
          <w:sz w:val="14"/>
          <w:szCs w:val="14"/>
          <w:color w:val="auto"/>
        </w:rPr>
        <w:t>from our EMS or our Order Management System (“OMS”) and most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trading platforms. Our institutional sales traders offer portfolio trading and single stock sales trading which provides execution expertise for program, block and riskless principal trades in global equities and ETFs.</w:t>
      </w:r>
    </w:p>
    <w:p>
      <w:pPr>
        <w:spacing w:after="0" w:line="178" w:lineRule="exact"/>
        <w:rPr>
          <w:sz w:val="20"/>
          <w:szCs w:val="20"/>
          <w:color w:val="auto"/>
        </w:rPr>
      </w:pPr>
    </w:p>
    <w:p>
      <w:pPr>
        <w:ind w:right="60" w:firstLine="509"/>
        <w:spacing w:after="0" w:line="173" w:lineRule="exact"/>
        <w:rPr>
          <w:sz w:val="20"/>
          <w:szCs w:val="20"/>
          <w:color w:val="auto"/>
        </w:rPr>
      </w:pPr>
      <w:r>
        <w:rPr>
          <w:rFonts w:ascii="Times New Roman" w:cs="Times New Roman" w:eastAsia="Times New Roman" w:hAnsi="Times New Roman"/>
          <w:sz w:val="14"/>
          <w:szCs w:val="14"/>
          <w:color w:val="auto"/>
        </w:rPr>
        <w:t>We provide matching of client orders in our ATSs, including Virtu MatchIt, POSIT ATS, and POSIT MTF. MatchIt provides two crossing sessions, a Main Session and a Conditional Session. The Main Session provides continuous crossing with price/time priority and is available to our subsidiaries and external subscribers. The Conditional Session accepts conditional orders with price/size priority, and is only available to our subsidiaries. POSIT provides continuous crossing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displayed (or dark) equity orders and price improvement opportunities within the published best bid and offer price. In the U.S., POSIT Alert is a block crossing mechanism within POSIT ATS. POSIT Alert unites liquidity sourced directly from trader OMSs with conditional orders from electronic participants for matching using a conditional order process. In addition, POSIT MTF Auction provides frequent batch auctions which display indicative size/price prior to trade execution.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22222"/>
        </w:rPr>
        <w:t>Workflow Technology</w:t>
      </w:r>
    </w:p>
    <w:p>
      <w:pPr>
        <w:spacing w:after="0" w:line="171" w:lineRule="exact"/>
        <w:rPr>
          <w:sz w:val="20"/>
          <w:szCs w:val="20"/>
          <w:color w:val="auto"/>
        </w:rPr>
      </w:pPr>
    </w:p>
    <w:p>
      <w:pPr>
        <w:ind w:firstLine="509"/>
        <w:spacing w:after="0" w:line="181" w:lineRule="exact"/>
        <w:rPr>
          <w:sz w:val="20"/>
          <w:szCs w:val="20"/>
          <w:color w:val="auto"/>
        </w:rPr>
      </w:pPr>
      <w:r>
        <w:rPr>
          <w:rFonts w:ascii="Times New Roman" w:cs="Times New Roman" w:eastAsia="Times New Roman" w:hAnsi="Times New Roman"/>
          <w:sz w:val="14"/>
          <w:szCs w:val="14"/>
          <w:color w:val="auto"/>
        </w:rPr>
        <w:t>Our workflow technology tools are designed to meet the needs of a broad range of trading styles. As an example, Triton Valor, the most recent release of our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asset and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neutral Triton EMS, helps to bring integrated execution and analytical tools to the user’s desktop, including the Algo Wheel, an algorithmic way for a portfolio manager to intelligently allocate volume between different providers. Triton supports global list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and single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stock trading, as well as futures and options capabilities and includes ITG Net, a fully integrated and supported financial services communications network. Triton also provides traders with access to scalable, 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latency,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asset trading opportunities. Our OMS combines portfolio management, compliance functionality, and a fully integrated and supported financial services communications network (ITG Net) with a consolidated, outsourced service for global trade matching and settlement that provides connectivity to the industry’s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trade utilities, as well as support for multiple, flexible settlement communication methods and a real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process monitor.</w:t>
      </w:r>
    </w:p>
    <w:p>
      <w:pPr>
        <w:spacing w:after="0" w:line="127" w:lineRule="exact"/>
        <w:rPr>
          <w:sz w:val="20"/>
          <w:szCs w:val="20"/>
          <w:color w:val="auto"/>
        </w:rPr>
      </w:pPr>
    </w:p>
    <w:p>
      <w:pPr>
        <w:jc w:val="both"/>
        <w:ind w:right="440" w:firstLine="509"/>
        <w:spacing w:after="0" w:line="192" w:lineRule="exact"/>
        <w:rPr>
          <w:sz w:val="20"/>
          <w:szCs w:val="20"/>
          <w:color w:val="auto"/>
        </w:rPr>
      </w:pPr>
      <w:r>
        <w:rPr>
          <w:rFonts w:ascii="Times New Roman" w:cs="Times New Roman" w:eastAsia="Times New Roman" w:hAnsi="Times New Roman"/>
          <w:sz w:val="14"/>
          <w:szCs w:val="14"/>
          <w:color w:val="auto"/>
        </w:rPr>
        <w:t>ITG Net is our global financial communications network that provides reliable and fully-supported connectivity between buy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side and sell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side firms for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asset order routing and indication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interest messages with Virtu and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trading platforms. ITG Net supports approximately 9,000 global billable connections to more than 600 unique execution destinations worldwide. ITG Net also integrates the trading products of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brokers and ATSs into our OMS and EMS platforms.</w:t>
      </w:r>
    </w:p>
    <w:p>
      <w:pPr>
        <w:spacing w:after="0" w:line="156" w:lineRule="exact"/>
        <w:rPr>
          <w:sz w:val="20"/>
          <w:szCs w:val="20"/>
          <w:color w:val="auto"/>
        </w:rPr>
      </w:pPr>
    </w:p>
    <w:p>
      <w:pPr>
        <w:ind w:right="40" w:firstLine="509"/>
        <w:spacing w:after="0" w:line="174" w:lineRule="exact"/>
        <w:rPr>
          <w:sz w:val="20"/>
          <w:szCs w:val="20"/>
          <w:color w:val="auto"/>
        </w:rPr>
      </w:pPr>
      <w:r>
        <w:rPr>
          <w:rFonts w:ascii="Times New Roman" w:cs="Times New Roman" w:eastAsia="Times New Roman" w:hAnsi="Times New Roman"/>
          <w:sz w:val="14"/>
          <w:szCs w:val="14"/>
          <w:color w:val="auto"/>
        </w:rPr>
        <w:t>We offer administration and consolidation of client commission arrangements across a wide range of our clients’ preferred brokerage and research providers through Commission Manager, a robust,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asset, web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commission management portal, and Budget Tracker, which enables asset managers to set research allocations and create and track budgets for their end clients. We also offer a comprehensive research payment account solution, enabling clients to unbundle research and execution payments to comply with the European Markets in Financial Instruments Directive (“MiFID”) II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22222"/>
        </w:rPr>
        <w:t>Analytics</w:t>
      </w:r>
    </w:p>
    <w:p>
      <w:pPr>
        <w:spacing w:after="0" w:line="149" w:lineRule="exact"/>
        <w:rPr>
          <w:sz w:val="20"/>
          <w:szCs w:val="20"/>
          <w:color w:val="auto"/>
        </w:rPr>
      </w:pPr>
    </w:p>
    <w:p>
      <w:pPr>
        <w:ind w:right="20" w:firstLine="509"/>
        <w:spacing w:after="0" w:line="178" w:lineRule="exact"/>
        <w:rPr>
          <w:sz w:val="20"/>
          <w:szCs w:val="20"/>
          <w:color w:val="auto"/>
        </w:rPr>
      </w:pPr>
      <w:r>
        <w:rPr>
          <w:rFonts w:ascii="Times New Roman" w:cs="Times New Roman" w:eastAsia="Times New Roman" w:hAnsi="Times New Roman"/>
          <w:sz w:val="14"/>
          <w:szCs w:val="14"/>
          <w:color w:val="auto"/>
        </w:rPr>
        <w:t>Our trading analytics suite helps enable portfolio managers and traders to analyze execution performance before the trade happens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trade) and during trading (real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by providing trading analytics and risk models that help them perform predictive analysis, manage risk, change strategy and reduce trading costs. Trading costs are affected by multiple factors, such as execution strategies, time horizon, volatility, spread, volume and order size. Our trading analytics suite is designed to gauge the effects of these factors and aid in the understanding of the trade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between market impact and opportunity cost. For example, our transaction cost analysis (“TCA”) offers measurement and reporting capabilities to analyze costs and performance across the trading continuum. TCA assesses trading performance and implicit costs under various market conditions so users can adjust strategies and potentially reduce costs and boost investment performance. TCA is also available for foreign exchange transactions (FX TCA) and for corporate and sovereign bond trading (FI TCA).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Our Corporate segment contains investments principally in strategic financial services-oriented opportunities and maintains corporate overhead expenses and all other income and expenses that are not attributable to our operating segments.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Risk Management</w:t>
      </w:r>
    </w:p>
    <w:p>
      <w:pPr>
        <w:spacing w:after="0" w:line="202" w:lineRule="exact"/>
        <w:rPr>
          <w:sz w:val="20"/>
          <w:szCs w:val="20"/>
          <w:color w:val="auto"/>
        </w:rPr>
      </w:pPr>
    </w:p>
    <w:p>
      <w:pPr>
        <w:ind w:right="380" w:firstLine="509"/>
        <w:spacing w:after="0" w:line="270" w:lineRule="auto"/>
        <w:rPr>
          <w:sz w:val="20"/>
          <w:szCs w:val="20"/>
          <w:color w:val="auto"/>
        </w:rPr>
      </w:pPr>
      <w:r>
        <w:rPr>
          <w:rFonts w:ascii="Times New Roman" w:cs="Times New Roman" w:eastAsia="Times New Roman" w:hAnsi="Times New Roman"/>
          <w:sz w:val="14"/>
          <w:szCs w:val="14"/>
          <w:color w:val="auto"/>
        </w:rPr>
        <w:t>We are acutely focused on risk management. Our market making activities involve taking on risk positions and our execution services business involves providing trading, clearing and related services on behalf of customers and clients. These activities expose us to market, counterparty, operational, and regulatory risk. We aim to mitigate these risks through prudent risk management practices.</w:t>
      </w:r>
    </w:p>
    <w:p>
      <w:pPr>
        <w:spacing w:after="0" w:line="157"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We have senior risk personnel who report independently into the Board Risk Committee. We also have a Risk Advisory Committee, which includes key personnel from each of our regions globally and is comprised of our senior risk personnel, members of our senior management team, senior technologists and traders, and certain other senior officers. Our Risk Advisory Committee provides advice to our senior management team in connection with our key risk management policies, procedures and risk limits. Our Board of Directors, through the Board Risk Committee, is periodically apprised of risk events, risk profiles, trends and the activities of our Risk Advisory Committee, including our risk management policies, procedures and controls.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approach to managing risk includes the following practices:</w:t>
      </w:r>
    </w:p>
    <w:p>
      <w:pPr>
        <w:spacing w:after="0" w:line="198" w:lineRule="exact"/>
        <w:rPr>
          <w:sz w:val="20"/>
          <w:szCs w:val="20"/>
          <w:color w:val="auto"/>
        </w:rPr>
      </w:pPr>
    </w:p>
    <w:p>
      <w:pPr>
        <w:ind w:left="520" w:right="240" w:hanging="260"/>
        <w:spacing w:after="0" w:line="29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Pre-Trade Risk Controls</w:t>
      </w:r>
      <w:r>
        <w:rPr>
          <w:rFonts w:ascii="Times New Roman" w:cs="Times New Roman" w:eastAsia="Times New Roman" w:hAnsi="Times New Roman"/>
          <w:sz w:val="14"/>
          <w:szCs w:val="14"/>
          <w:color w:val="auto"/>
        </w:rPr>
        <w:t>. Messages that leave our trading environment must first pass through a series of preset risk controls, which are intended to minimize the likelihood of unintended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activities by our algorithms. Certain risk controls, when triggered, result in a strategy lockdown, which requires a manual reset in order to restart the strategy.</w:t>
      </w:r>
    </w:p>
    <w:p>
      <w:pPr>
        <w:spacing w:after="0" w:line="141" w:lineRule="exact"/>
        <w:rPr>
          <w:rFonts w:ascii="Times New Roman" w:cs="Times New Roman" w:eastAsia="Times New Roman" w:hAnsi="Times New Roman"/>
          <w:sz w:val="14"/>
          <w:szCs w:val="14"/>
          <w:color w:val="auto"/>
        </w:rPr>
      </w:pPr>
    </w:p>
    <w:p>
      <w:pPr>
        <w:ind w:left="520" w:right="480" w:hanging="260"/>
        <w:spacing w:after="0" w:line="29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Model Restrictions</w:t>
      </w:r>
      <w:r>
        <w:rPr>
          <w:rFonts w:ascii="Times New Roman" w:cs="Times New Roman" w:eastAsia="Times New Roman" w:hAnsi="Times New Roman"/>
          <w:sz w:val="14"/>
          <w:szCs w:val="14"/>
          <w:color w:val="auto"/>
        </w:rPr>
        <w:t>. Trading models have limits in place which restrict individual position sizes, sector exposures and imbalanced portfolios with significant directional risks. Trading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strategies are designed to automatically reduce exposures when limits are reached. The models are monitored continuously by the trading team and the risk managers.</w:t>
      </w:r>
    </w:p>
    <w:p>
      <w:pPr>
        <w:spacing w:after="0" w:line="112" w:lineRule="exact"/>
        <w:rPr>
          <w:rFonts w:ascii="Times New Roman" w:cs="Times New Roman" w:eastAsia="Times New Roman" w:hAnsi="Times New Roman"/>
          <w:sz w:val="14"/>
          <w:szCs w:val="14"/>
          <w:color w:val="auto"/>
        </w:rPr>
      </w:pPr>
    </w:p>
    <w:p>
      <w:pPr>
        <w:ind w:left="520" w:right="100" w:hanging="260"/>
        <w:spacing w:after="0" w:line="192" w:lineRule="exact"/>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Aggregate Exposure Monitoring. </w:t>
      </w:r>
      <w:r>
        <w:rPr>
          <w:rFonts w:ascii="Times New Roman" w:cs="Times New Roman" w:eastAsia="Times New Roman" w:hAnsi="Times New Roman"/>
          <w:sz w:val="14"/>
          <w:szCs w:val="14"/>
          <w:color w:val="auto"/>
        </w:rPr>
        <w:t>Pursuant to our risk management policies, our automated management information systems monitor in real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and generate reports on daily and periodic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bases. Exposures monitored include:</w:t>
      </w:r>
    </w:p>
    <w:p>
      <w:pPr>
        <w:spacing w:after="0" w:line="17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Profiles</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Statistical Risk Measures including Value at Risk (“VaR”), and Equity Betas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Stress and Scenario analysis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Concentration measures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 and Loss analysis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performance reports</w:t>
      </w:r>
    </w:p>
    <w:p>
      <w:pPr>
        <w:spacing w:after="0" w:line="154" w:lineRule="exact"/>
        <w:rPr>
          <w:rFonts w:ascii="Times New Roman" w:cs="Times New Roman" w:eastAsia="Times New Roman" w:hAnsi="Times New Roman"/>
          <w:sz w:val="14"/>
          <w:szCs w:val="14"/>
          <w:color w:val="auto"/>
        </w:rPr>
      </w:pPr>
    </w:p>
    <w:p>
      <w:pPr>
        <w:ind w:left="520" w:right="300" w:hanging="260"/>
        <w:spacing w:after="0" w:line="192" w:lineRule="exact"/>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trading assets and liabilities are marked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 daily for financial reporting purposes by reference to official exchange prices, and they are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valued continuously throughout the trading day for risk management and asset/liability management purposes.</w:t>
      </w:r>
    </w:p>
    <w:p>
      <w:pPr>
        <w:spacing w:after="0" w:line="17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Operational Controls. </w:t>
      </w:r>
      <w:r>
        <w:rPr>
          <w:rFonts w:ascii="Times New Roman" w:cs="Times New Roman" w:eastAsia="Times New Roman" w:hAnsi="Times New Roman"/>
          <w:sz w:val="14"/>
          <w:szCs w:val="14"/>
          <w:color w:val="auto"/>
        </w:rPr>
        <w:t>We have a series of automated controls over our business. Key automated controls include:</w:t>
      </w:r>
    </w:p>
    <w:p>
      <w:pPr>
        <w:spacing w:after="0" w:line="20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technical operations system continuously monitors our network and the proper functioning of each of our trading centers around the world;</w:t>
      </w:r>
    </w:p>
    <w:p>
      <w:pPr>
        <w:spacing w:after="0" w:line="23" w:lineRule="exact"/>
        <w:rPr>
          <w:rFonts w:ascii="Times New Roman" w:cs="Times New Roman" w:eastAsia="Times New Roman" w:hAnsi="Times New Roman"/>
          <w:sz w:val="14"/>
          <w:szCs w:val="14"/>
          <w:color w:val="auto"/>
        </w:rPr>
      </w:pPr>
    </w:p>
    <w:p>
      <w:pPr>
        <w:ind w:left="1020" w:hanging="251"/>
        <w:spacing w:after="0" w:line="178" w:lineRule="exact"/>
        <w:tabs>
          <w:tab w:leader="none" w:pos="101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market making system continuously evaluates the listed securities and other financial products in which we provide bid and offer quotes and changes its bids and offers to reflect changes in market conditions. The latency of communicating with exchanges and market centers is reduced through continuous software and network engineering innovation, allowing us to achieve real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controls over market exposure. We connect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 w:name="page11"/>
    <w:bookmarkEnd w:id="10"/>
    <w:p>
      <w:pPr>
        <w:ind w:left="1020" w:right="660"/>
        <w:spacing w:after="0" w:line="192" w:lineRule="exact"/>
        <w:rPr>
          <w:sz w:val="20"/>
          <w:szCs w:val="20"/>
          <w:color w:val="auto"/>
        </w:rPr>
      </w:pPr>
      <w:r>
        <w:rPr>
          <w:rFonts w:ascii="Times New Roman" w:cs="Times New Roman" w:eastAsia="Times New Roman" w:hAnsi="Times New Roman"/>
          <w:sz w:val="14"/>
          <w:szCs w:val="14"/>
          <w:color w:val="auto"/>
        </w:rPr>
        <w:t>to exchanges and other electronic venues through a network of co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location facilities around the world that are monitored 24 hours a day, five days a week, by our staff of experienced network professionals;</w:t>
      </w:r>
    </w:p>
    <w:p>
      <w:pPr>
        <w:spacing w:after="0" w:line="1" w:lineRule="exact"/>
        <w:rPr>
          <w:sz w:val="20"/>
          <w:szCs w:val="20"/>
          <w:color w:val="auto"/>
        </w:rPr>
      </w:pPr>
    </w:p>
    <w:p>
      <w:pPr>
        <w:ind w:left="1020" w:right="200" w:hanging="251"/>
        <w:spacing w:after="0" w:line="253" w:lineRule="auto"/>
        <w:tabs>
          <w:tab w:leader="none" w:pos="101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clearing system captures trades in real-time and performs automated reconciliations of trades and positions, corporate action processing, options exercises, securities lending and inventory management, allowing us to effectively manage operational risk; and</w:t>
      </w: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Software developed to support our market making systems performs daily profit and loss and position reconciliations.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we conduct after event reviews where operational issues are evaluated and risk mitigations are identified and subsequently implemented.</w:t>
      </w:r>
    </w:p>
    <w:p>
      <w:pPr>
        <w:spacing w:after="0" w:line="198"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Credit Controls</w:t>
      </w:r>
      <w:r>
        <w:rPr>
          <w:rFonts w:ascii="Times New Roman" w:cs="Times New Roman" w:eastAsia="Times New Roman" w:hAnsi="Times New Roman"/>
          <w:sz w:val="14"/>
          <w:szCs w:val="14"/>
          <w:color w:val="auto"/>
        </w:rPr>
        <w:t>. Trading notional limits are applied to customers and counterparts. These are monitored throughout the day by trading support and risk professionals.</w:t>
      </w:r>
    </w:p>
    <w:p>
      <w:pPr>
        <w:spacing w:after="0" w:line="199" w:lineRule="exact"/>
        <w:rPr>
          <w:rFonts w:ascii="Times New Roman" w:cs="Times New Roman" w:eastAsia="Times New Roman" w:hAnsi="Times New Roman"/>
          <w:sz w:val="14"/>
          <w:szCs w:val="14"/>
          <w:color w:val="auto"/>
        </w:rPr>
      </w:pPr>
    </w:p>
    <w:p>
      <w:pPr>
        <w:ind w:left="520" w:right="80" w:hanging="260"/>
        <w:spacing w:after="0" w:line="29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Liquidity Controls</w:t>
      </w:r>
      <w:r>
        <w:rPr>
          <w:rFonts w:ascii="Times New Roman" w:cs="Times New Roman" w:eastAsia="Times New Roman" w:hAnsi="Times New Roman"/>
          <w:sz w:val="14"/>
          <w:szCs w:val="14"/>
          <w:color w:val="auto"/>
        </w:rPr>
        <w:t>. We seek to minimize liquidity risk by focusing in highly active and liquid instruments. Less liquid instruments are identified and restrictions are in place as to the size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positions we hold in such instruments.</w:t>
      </w:r>
    </w:p>
    <w:p>
      <w:pPr>
        <w:spacing w:after="0" w:line="143"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Our approach to risk mitigation can in some cases limit our overall opportunities, including by adding a degree of latency to our trading infrastructure which can, for example, prevent us from earning outsized returns in times of extreme market volatility. We believe that these trade-offs are necessary to properly limit risk.</w:t>
      </w:r>
    </w:p>
    <w:p>
      <w:pPr>
        <w:spacing w:after="0" w:line="14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We leverage technology and automation to perform many functions within Virtu. Cyber threats are a risk that we are exposed to as a result of our heavy utilization of technology. These threats could include the introduction of malicious code or unauthorized access, and could result in data loss or destruction, business interruption, financial loss, and the unavailability of service and other risks. We have taken steps to mitigate the various cyber threats, and we devote resources to maintain and regularly upgrade our systems and networks and review the ever-changing threat landscape. Cybersecurity risk is managed as part of our overall information technology risk framework under the direction of our Chief Information Security Officer. We periodically review policies and procedures to seek to ensure they are effective in mitigating current cyber and other information security threats. In addition to the policy reviews, we continue to look to implement solutions that enhance preventive and detection capabilities. We also maintain insurance coverage that may, subject to policy terms and conditions, cover certain aspects of cyber risks. However, such insurance may be insufficient to cover all losses or may not provide any coverage.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The financial services industry generally, and the institutional securities brokerage business in which we operate, are extremely competitive, and we expect them to remain so for the foreseeable future. Our full suite of products does not directly compete with any particular firm; however, individual products compete with various firms and consortia.</w:t>
      </w:r>
    </w:p>
    <w:p>
      <w:pPr>
        <w:spacing w:after="0" w:line="114" w:lineRule="exact"/>
        <w:rPr>
          <w:sz w:val="20"/>
          <w:szCs w:val="20"/>
          <w:color w:val="auto"/>
        </w:rPr>
      </w:pPr>
    </w:p>
    <w:p>
      <w:pPr>
        <w:jc w:val="both"/>
        <w:ind w:right="100" w:firstLine="509"/>
        <w:spacing w:after="0" w:line="185" w:lineRule="exact"/>
        <w:rPr>
          <w:sz w:val="20"/>
          <w:szCs w:val="20"/>
          <w:color w:val="auto"/>
        </w:rPr>
      </w:pPr>
      <w:r>
        <w:rPr>
          <w:rFonts w:ascii="Times New Roman" w:cs="Times New Roman" w:eastAsia="Times New Roman" w:hAnsi="Times New Roman"/>
          <w:sz w:val="14"/>
          <w:szCs w:val="14"/>
          <w:color w:val="auto"/>
        </w:rPr>
        <w:t>Within the market making segment, our competition has been registered market making firms ranging from sole proprietors with very limited resources to large, integrated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Today, a range of market participants may compete with us for revenues generated by market making activities across one or more asset classes and geographies, including market participants, such as Citadel Securities, Susquehanna International Group LLP, Two Sigma, Jane Street, DRW Holdings, IMC, and Optiver.</w:t>
      </w:r>
    </w:p>
    <w:p>
      <w:pPr>
        <w:spacing w:after="0" w:line="147" w:lineRule="exact"/>
        <w:rPr>
          <w:sz w:val="20"/>
          <w:szCs w:val="20"/>
          <w:color w:val="auto"/>
        </w:rPr>
      </w:pPr>
    </w:p>
    <w:p>
      <w:pPr>
        <w:jc w:val="both"/>
        <w:ind w:right="40" w:firstLine="509"/>
        <w:spacing w:after="0" w:line="187" w:lineRule="exact"/>
        <w:rPr>
          <w:sz w:val="20"/>
          <w:szCs w:val="20"/>
          <w:color w:val="auto"/>
        </w:rPr>
      </w:pPr>
      <w:r>
        <w:rPr>
          <w:rFonts w:ascii="Times New Roman" w:cs="Times New Roman" w:eastAsia="Times New Roman" w:hAnsi="Times New Roman"/>
          <w:sz w:val="14"/>
          <w:szCs w:val="14"/>
          <w:color w:val="auto"/>
        </w:rPr>
        <w:t>In the execution services segment, our low-touch agency algorithmic execution and smart order routing products, as well as our high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touch agency execution and portfolio trading services, compete with agency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only and other sell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side firms. Our trading and portfolio analytics compete with offerings from several sell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side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affiliated and independent companies. Our POSIT and MatchIt ATSs compete with various national and regional securities exchanges, ATSs, Electronic Communication Networks, MTFs and systematic internalizers for trade execution services. Our EMS, OMS, connectivity and RFQ services compete with offerings from independent vendors, agency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only firms and other sell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side firms.</w:t>
      </w:r>
    </w:p>
    <w:p>
      <w:pPr>
        <w:spacing w:after="0" w:line="15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Some of our competitors in market making and execution services are larger than we are and have more captive order flow in certain assets. Technology and software innovation is a primary focus for us, rather than relying solely on the speed of our network. We believe that our scalable technology allows us to access new markets and increase volumes with limited incremental costs.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9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Intellectual Property and Other Proprietary Rights</w:t>
      </w:r>
    </w:p>
    <w:p>
      <w:pPr>
        <w:spacing w:after="0" w:line="202" w:lineRule="exact"/>
        <w:rPr>
          <w:sz w:val="20"/>
          <w:szCs w:val="20"/>
          <w:color w:val="auto"/>
        </w:rPr>
      </w:pPr>
    </w:p>
    <w:p>
      <w:pPr>
        <w:ind w:right="180" w:firstLine="509"/>
        <w:spacing w:after="0" w:line="175" w:lineRule="exact"/>
        <w:rPr>
          <w:sz w:val="20"/>
          <w:szCs w:val="20"/>
          <w:color w:val="auto"/>
        </w:rPr>
      </w:pPr>
      <w:r>
        <w:rPr>
          <w:rFonts w:ascii="Times New Roman" w:cs="Times New Roman" w:eastAsia="Times New Roman" w:hAnsi="Times New Roman"/>
          <w:sz w:val="14"/>
          <w:szCs w:val="14"/>
          <w:color w:val="auto"/>
        </w:rPr>
        <w:t>We rely on federal, state and international laws that govern trade secrets, trademarks, domain names, patents, copyright and contract law to protect our intellectual property and proprietary technology. We enter into confidentiality, intellectual property invention assignment and/or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competition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solicitation agreements or restrictions with our employees, independent contractors and business partners, and we control access to, and distribution of, our intellectual property.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171" w:lineRule="exact"/>
        <w:rPr>
          <w:sz w:val="20"/>
          <w:szCs w:val="20"/>
          <w:color w:val="auto"/>
        </w:rPr>
      </w:pPr>
    </w:p>
    <w:p>
      <w:pPr>
        <w:ind w:right="20" w:firstLine="509"/>
        <w:spacing w:after="0" w:line="185" w:lineRule="exact"/>
        <w:rPr>
          <w:sz w:val="20"/>
          <w:szCs w:val="20"/>
          <w:color w:val="auto"/>
        </w:rPr>
      </w:pPr>
      <w:r>
        <w:rPr>
          <w:rFonts w:ascii="Times New Roman" w:cs="Times New Roman" w:eastAsia="Times New Roman" w:hAnsi="Times New Roman"/>
          <w:sz w:val="14"/>
          <w:szCs w:val="14"/>
          <w:color w:val="auto"/>
        </w:rPr>
        <w:t>As of February 13, 2026, we had approximately 1,027 employees, located in thirteen countries around the world, all of whom were employed on a full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basis and in good standing. The approximate regional representation of our workforce is as follows: 69% Americas, 19% EMEA and 12% APAC. None of our employees are covered by collective bargaining agreements. We believe that our employee relations are good.</w:t>
      </w:r>
    </w:p>
    <w:p>
      <w:pPr>
        <w:spacing w:after="0" w:line="1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In shaping our culture, we aim to combine a high standard of excellence, technological innovation and agility and operational and financial discipline. We believe that our flat and transparent structure and our collaborative and collegial approach enable our employees to grow, develop and maximize their impact on our organization. To attract and retain top talent in our highly competitive industry, we have designed our compensation and benefits programs to promote the retention and growth of our employees along with their health, well-being and financial security. Our short- and long-term incentive programs are aligned with key business objectives and are intended to motivate strong performance. Our employees are eligible for medical, dental and vision insurance, a savings/retirement plan, life and disability insurance, and various wellness programs and we review the competitiveness of our compensation and benefits periodically. As an equal opportunity employer, all qualified applicants receive consideration without regard to race, national origin, gender, gender identity, sexual orientation, protected veteran status, disability, age or any other legally protected status.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171" w:lineRule="exact"/>
        <w:rPr>
          <w:sz w:val="20"/>
          <w:szCs w:val="20"/>
          <w:color w:val="auto"/>
        </w:rPr>
      </w:pPr>
    </w:p>
    <w:p>
      <w:pPr>
        <w:ind w:right="240" w:firstLine="509"/>
        <w:spacing w:after="0" w:line="192" w:lineRule="exact"/>
        <w:rPr>
          <w:sz w:val="20"/>
          <w:szCs w:val="20"/>
          <w:color w:val="auto"/>
        </w:rPr>
      </w:pPr>
      <w:r>
        <w:rPr>
          <w:rFonts w:ascii="Times New Roman" w:cs="Times New Roman" w:eastAsia="Times New Roman" w:hAnsi="Times New Roman"/>
          <w:sz w:val="14"/>
          <w:szCs w:val="14"/>
          <w:color w:val="auto"/>
        </w:rPr>
        <w:t>We conduct our U.S. equities and options market making and provide execution services through VAL, our SEC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registered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VAL is regulated by the SEC and its designated examining authority is the Financial Industry Regulatory Authority, Inc. (“FINRA”). VAL is also registered as a floor trader firm with the Commodity Futures Trading Commission (“CFTC”).</w:t>
      </w:r>
    </w:p>
    <w:p>
      <w:pPr>
        <w:spacing w:after="0" w:line="178" w:lineRule="exact"/>
        <w:rPr>
          <w:sz w:val="20"/>
          <w:szCs w:val="20"/>
          <w:color w:val="auto"/>
        </w:rPr>
      </w:pPr>
    </w:p>
    <w:p>
      <w:pPr>
        <w:ind w:right="20" w:firstLine="509"/>
        <w:spacing w:after="0" w:line="174" w:lineRule="exact"/>
        <w:rPr>
          <w:sz w:val="20"/>
          <w:szCs w:val="20"/>
          <w:color w:val="auto"/>
        </w:rPr>
      </w:pPr>
      <w:r>
        <w:rPr>
          <w:rFonts w:ascii="Times New Roman" w:cs="Times New Roman" w:eastAsia="Times New Roman" w:hAnsi="Times New Roman"/>
          <w:sz w:val="14"/>
          <w:szCs w:val="14"/>
          <w:color w:val="auto"/>
        </w:rPr>
        <w:t>We are a full clearing member of the National Securities Clearing Corporation (“NSCC”) and the Depository Trust &amp; Clearing Corporation (“DTCC”). Our activities in U.S. equities are both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cleared and rely on fully-disclosed clearing arrangements with third-party clearing firms. We use the services of prime brokers, primarily in other asset classes, who provide us direct market access to markets and often cross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margining and margin financing in return for execution and clearing fees. We continually monitor the credit quality of our prime brokers and rely on large multinational banks for most of our execution and clearing needs globally.</w:t>
      </w:r>
    </w:p>
    <w:p>
      <w:pPr>
        <w:spacing w:after="0" w:line="167"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Our energy, commodities and currency market making and trading activities are primarily conducted through Virtu Financial Global Markets LLC, and we conduct our digital asset market making and trading activities primarily through our Singapore affiliate, Virtu Financial Singapore Pte. Ltd..</w:t>
      </w:r>
    </w:p>
    <w:p>
      <w:pPr>
        <w:spacing w:after="0" w:line="15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We conduct our European, Middle Eastern and African (“EMEA”) market making activities from Dublin and through our subsidiary Virtu Financial Ireland Limited (“VFIL”), which is authorized as an “Investment Firm” with the CBI. We conduct our EMEA execution services trading activity from Dublin, London, and Paris through our subsidiary Virtu Europe Trading Limited (“VETL”) (f/k/a Virtu ITG Europe Limited). VETL is authorized and regulated by the CBI as an “Investment Firm” and maintains branch offices in London and Paris. The London branch office of VETL is authorized and regulated by the FCA. VETL’s Paris branch is registered with the Banque de France. VETL also operates a multi-lateral trading facility (“MTF”) in Ireland and Virtu ITG UK Limited (“VIUK”), a U.K. investment firm, operates a MTF in the U.K. VIUK is an investment firm which is authorized and regulated by the FCA.</w:t>
      </w:r>
    </w:p>
    <w:p>
      <w:pPr>
        <w:spacing w:after="0" w:line="16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conduct our APAC market making activities, including much of our market making in cryptocurrency products from Singapore and through our Singapore subsidiary, Virtu Financial Singapore Pte. Ltd. Virtu Financial Singapore Pte. Ltd. is registered with the MAS for an investment incentive arrangement and licensed by the MAS to deal in certain capital markets instruments. We conduct our APAC execution services trading activities from Singapore, Hong Kong, and Australia through our subsidiaries Virtu ITG Singapore Pte. Limited, Virtu ITG Hong Kong Limited, and Virtu ITG Australia Limited. Virtu ITG Singapore Pte. Limited is a holder of a Capital Markets Services License from the MAS, which is its principal regulator. Virtu</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ITG Hong Kong Limited is a participating organization of the Hong Kong Stock Exchange and a holder of a securities dealer’s license issued by the SFC, which is its principal regulator. Virtu ITG Australia Limited is a market participant of the Australian Securities Exchange (“ASX”) and Chi-X Australia Limited, and is also a holder of an Australian Financial Services License issued by the ASIC, which is its principal regulator.</w:t>
      </w:r>
    </w:p>
    <w:p>
      <w:pPr>
        <w:spacing w:after="0" w:line="157" w:lineRule="exact"/>
        <w:rPr>
          <w:sz w:val="20"/>
          <w:szCs w:val="20"/>
          <w:color w:val="auto"/>
        </w:rPr>
      </w:pPr>
    </w:p>
    <w:p>
      <w:pPr>
        <w:ind w:right="60" w:firstLine="509"/>
        <w:spacing w:after="0" w:line="174" w:lineRule="exact"/>
        <w:rPr>
          <w:sz w:val="20"/>
          <w:szCs w:val="20"/>
          <w:color w:val="auto"/>
        </w:rPr>
      </w:pPr>
      <w:r>
        <w:rPr>
          <w:rFonts w:ascii="Times New Roman" w:cs="Times New Roman" w:eastAsia="Times New Roman" w:hAnsi="Times New Roman"/>
          <w:sz w:val="14"/>
          <w:szCs w:val="14"/>
          <w:color w:val="auto"/>
        </w:rPr>
        <w:t>Our Canadian market making activities and our Canadian execution services trading activities are conducted through our subsidiary Virtu Canada Corp (f/k/a Virtu ITG Canada Corp.). Virtu Canada Corp. is a Canadian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registered as an investment dealer with CIRO, Ontario Securities Commission (“OSC”), the Autorité Des Marchés Financiers in Quebec, Alberta Securities Commission (“ASC”), British Columbia Securities Commission, Manitoba Securities Commission, New Brunswick Securities Commission, Nova Scotia Securities Commission and Saskatchewan Financial Services Commission. Virtu Canada Corp. is also registered as a Futures Commission Merchant in Ontario and Manitoba and Derivatives Dealer in Quebec.</w:t>
      </w:r>
    </w:p>
    <w:p>
      <w:pPr>
        <w:spacing w:after="0" w:line="178" w:lineRule="exact"/>
        <w:rPr>
          <w:sz w:val="20"/>
          <w:szCs w:val="20"/>
          <w:color w:val="auto"/>
        </w:rPr>
      </w:pPr>
    </w:p>
    <w:p>
      <w:pPr>
        <w:ind w:firstLine="509"/>
        <w:spacing w:after="0" w:line="172" w:lineRule="exact"/>
        <w:rPr>
          <w:sz w:val="20"/>
          <w:szCs w:val="20"/>
          <w:color w:val="auto"/>
        </w:rPr>
      </w:pPr>
      <w:r>
        <w:rPr>
          <w:rFonts w:ascii="Times New Roman" w:cs="Times New Roman" w:eastAsia="Times New Roman" w:hAnsi="Times New Roman"/>
          <w:sz w:val="14"/>
          <w:szCs w:val="14"/>
          <w:color w:val="auto"/>
        </w:rPr>
        <w:t>Most aspects of our business are subject to regulation under federal, state and foreign laws and regulations, as well as the rules of the various self-regulatory organization (“SROs”) of which our broker-dealer subsidiaries are members. The SEC, FINRA, CFTC, NFA, the U.S. Department of Treasury, U.S. state securities regulators and other state regulators, the European Securities and Markets Authority (“ESMA”) in the European Union, the CBI in Ireland, FCA in the U.K., Banque de France in France, MAS in Singapore, SFC in Hong Kong, ASIC in Australia, CIRO and OSC in Canada, other SROs and other U.S. and foreign governmental regulatory bodies promulgate numerous rules and regulations that may impact our business. As a matter of public policy, regulatory bodies are charged with safeguarding the integrity of the securities and other financial markets and with protecting the interests of investors in those markets, including, but not limited to, trading practices, order handling, best execution practices,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money laundering and financial crimes, handling of material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public information, safeguarding data, compliance with exchange and clearinghouse rules, capital adequacy, customer protection, reporting, record retention, market access and the conduct of officers, employees and other associated persons.</w:t>
      </w:r>
    </w:p>
    <w:p>
      <w:pPr>
        <w:spacing w:after="0" w:line="177" w:lineRule="exact"/>
        <w:rPr>
          <w:sz w:val="20"/>
          <w:szCs w:val="20"/>
          <w:color w:val="auto"/>
        </w:rPr>
      </w:pPr>
    </w:p>
    <w:p>
      <w:pPr>
        <w:ind w:right="100" w:firstLine="509"/>
        <w:spacing w:after="0" w:line="173" w:lineRule="exact"/>
        <w:rPr>
          <w:sz w:val="20"/>
          <w:szCs w:val="20"/>
          <w:color w:val="auto"/>
        </w:rPr>
      </w:pPr>
      <w:r>
        <w:rPr>
          <w:rFonts w:ascii="Times New Roman" w:cs="Times New Roman" w:eastAsia="Times New Roman" w:hAnsi="Times New Roman"/>
          <w:sz w:val="14"/>
          <w:szCs w:val="14"/>
          <w:color w:val="auto"/>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including our regulated subsidiaries. These increased obligations require the implementation and maintenance of internal practices, procedures and controls, and the need for additional employee resources, and have increased our costs, and may subject us to government and regulatory inquiries, claims or penalties. Changes in market structure can also necessitate restructuring our operations for compliance in certain jurisdictions which has cost implications.</w:t>
      </w:r>
    </w:p>
    <w:p>
      <w:pPr>
        <w:spacing w:after="0" w:line="178" w:lineRule="exact"/>
        <w:rPr>
          <w:sz w:val="20"/>
          <w:szCs w:val="20"/>
          <w:color w:val="auto"/>
        </w:rPr>
      </w:pPr>
    </w:p>
    <w:p>
      <w:pPr>
        <w:ind w:right="40" w:firstLine="509"/>
        <w:spacing w:after="0" w:line="172" w:lineRule="exact"/>
        <w:rPr>
          <w:sz w:val="20"/>
          <w:szCs w:val="20"/>
          <w:color w:val="auto"/>
        </w:rPr>
      </w:pPr>
      <w:r>
        <w:rPr>
          <w:rFonts w:ascii="Times New Roman" w:cs="Times New Roman" w:eastAsia="Times New Roman" w:hAnsi="Times New Roman"/>
          <w:sz w:val="14"/>
          <w:szCs w:val="14"/>
          <w:color w:val="auto"/>
        </w:rPr>
        <w:t>Failure to comply with any laws, rules or regulations could result in administrative or court proceedings, censures, fines, penalties, judgments, disgorgement, restitution and censures, suspension or expulsion from a certain jurisdiction, SRO or market, the revocation or limitation of licenses and/or business activities, the issuance of cease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desist orders or injunctions or the suspension or disqualification of the entity and/or its officers, employees or other associated persons and could negatively impact our reputation with clients or prospective clients and, in turn, impact our revenues. From time to time, we are the subject of requests for information and documents from the SEC, FINRA and other regulators which could lead to administrative or court proceedings. It is our practice to cooperate and comply with the requests for information and documents. Regulatory inquiries can require substantial expenditures of time and money and can have an adverse impact on our reputation, customer relationship and profitability.</w:t>
      </w:r>
    </w:p>
    <w:p>
      <w:pPr>
        <w:spacing w:after="0" w:line="179" w:lineRule="exact"/>
        <w:rPr>
          <w:sz w:val="20"/>
          <w:szCs w:val="20"/>
          <w:color w:val="auto"/>
        </w:rPr>
      </w:pPr>
    </w:p>
    <w:p>
      <w:pPr>
        <w:ind w:right="20" w:firstLine="509"/>
        <w:spacing w:after="0" w:line="172" w:lineRule="exact"/>
        <w:rPr>
          <w:sz w:val="20"/>
          <w:szCs w:val="20"/>
          <w:color w:val="auto"/>
        </w:rPr>
      </w:pPr>
      <w:r>
        <w:rPr>
          <w:rFonts w:ascii="Times New Roman" w:cs="Times New Roman" w:eastAsia="Times New Roman" w:hAnsi="Times New Roman"/>
          <w:sz w:val="14"/>
          <w:szCs w:val="14"/>
          <w:color w:val="auto"/>
        </w:rPr>
        <w:t>The regulatory environment in which we operate is subject to constant change. Our business, financial condition, and operating results may also be adversely affected as a result of new or revised legislation or regulations imposed by the U.S. Congress, foreign legislative bodies, state securities regulators, U.S. and foreign governmental regulatory bodies and SROs. Additional regulations, changes in existing laws and rules, or changes in interpretations or enforcement of existing laws and rules often directly affect the method of operation and profitability of regulated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We cannot predict what effect, if any, future legislative or regulatory changes might have. However, there have been in the past, and could be in the future, significant technological, operational and compliance costs associated with the obligations which derive from compliance with such regulations. Regulators may propose market structure changes particularly considering the continued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ATSs and off-exchange trading more generally, high frequency trading, short selling, market fragmentation, colocation, and access to market data feeds. Additionally, recent developments in law and regulation relating to digital assets and cryptocurrency include the adoption of the Guiding and Establishing National innovation for U.S. Stablecoins Act (the “GENIUS Act”) and the proposal of the Digital Asset Market Clarity Act (the “CLARITY Act”) and the “Responsible Financial Innovation Act of 2025” in the United States, and the adoption of the Markets in Crypto-Assets Regulation (MiCAR)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3" w:name="page14"/>
    <w:bookmarkEnd w:id="13"/>
    <w:p>
      <w:pPr>
        <w:ind w:right="180"/>
        <w:spacing w:after="0" w:line="287" w:lineRule="auto"/>
        <w:rPr>
          <w:sz w:val="20"/>
          <w:szCs w:val="20"/>
          <w:color w:val="auto"/>
        </w:rPr>
      </w:pPr>
      <w:r>
        <w:rPr>
          <w:rFonts w:ascii="Times New Roman" w:cs="Times New Roman" w:eastAsia="Times New Roman" w:hAnsi="Times New Roman"/>
          <w:sz w:val="14"/>
          <w:szCs w:val="14"/>
          <w:color w:val="auto"/>
        </w:rPr>
        <w:t>in the EU. These enacted, pending or potential rule changes in law, rule or regulation, to the extent adopted, along with those that have recently been adopted, could adversely affect the Company’s business or the Company’s industry, though may also have positive impacts.</w:t>
      </w:r>
    </w:p>
    <w:p>
      <w:pPr>
        <w:spacing w:after="0" w:line="145"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4"/>
          <w:szCs w:val="14"/>
          <w:color w:val="auto"/>
        </w:rPr>
        <w:t>The SEC and other SROs have recently enacted and considered rules that may affect our operations and profitability. Specifically, the SEC under the previous administration (i) adopted rule amendments to minimum pricing increments under Rule 612 of Regulation NMS, access fee caps under Rule 610 of Regulation NMS, acceleration of the implementation of certain Market Data Infrastructure Rules, and an amendment to the odd-lot information definition adopted under the MDI rules (collectively referred to as the “tick size, access fees and infrastructure rule proposals”), which had a previous compliance date commencing in November 2025, and the compliance date for tick size and access fees rule changes have been delayed until November 2026, and the infrastructure rule proposal concerning odd lots has been delayed until May 2026, (ii) adopted amendments to Rule 605 of Regulation NMS, which had a previous compliance date on or about December 15, 2025 but which has now been postponed until August 1, 2026, (iii) approved a funding model submitted by several exchanges in relation to the Consolidated Audit Trail (CAT) which provides for fee collection commencing November 2024 but which was ultimately struck down by the 11th Circuit Court of Appeals, and (iv) adopted rules to amend the definitions of “dealer” and “government securities dealer” within the Exchange Act, which would have broadened the scope of these registrant categories, though this rule was recently vacated by the United States District Court.</w:t>
      </w:r>
    </w:p>
    <w:p>
      <w:pPr>
        <w:spacing w:after="0" w:line="16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In June of 2025, under Chair Atkins, the SEC withdrew the following previously pending proposals: (i) Proposed Rule 615 of Regulation NMS (i.e., the Order Competition Rule), (ii) Regulation Best Execution, (iii) a series of amendments to the definition of Exchange and Alternative Trading Systems (ATS), (iv) proposed amendments to expand and update Regulation Systems Compliance and Integrity (SCI), and (v) a proposal to restrict volume based tiered pricing by equity exchanges in certain cases. Further, in September 2025, the FTC took steps to dismiss its appeal of a rule it previously announced a final rule banning most non-compete clauses in employer-employee contracts.</w:t>
      </w:r>
    </w:p>
    <w:p>
      <w:pPr>
        <w:spacing w:after="0" w:line="130" w:lineRule="exact"/>
        <w:rPr>
          <w:sz w:val="20"/>
          <w:szCs w:val="20"/>
          <w:color w:val="auto"/>
        </w:rPr>
      </w:pPr>
    </w:p>
    <w:p>
      <w:pPr>
        <w:jc w:val="both"/>
        <w:ind w:right="60" w:firstLine="509"/>
        <w:spacing w:after="0" w:line="182" w:lineRule="exact"/>
        <w:rPr>
          <w:sz w:val="20"/>
          <w:szCs w:val="20"/>
          <w:color w:val="auto"/>
        </w:rPr>
      </w:pPr>
      <w:r>
        <w:rPr>
          <w:rFonts w:ascii="Times New Roman" w:cs="Times New Roman" w:eastAsia="Times New Roman" w:hAnsi="Times New Roman"/>
          <w:sz w:val="14"/>
          <w:szCs w:val="14"/>
          <w:color w:val="auto"/>
        </w:rPr>
        <w:t>The Dodd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Frank Act, which has been implemented through extensive rulemaking by the SEC, the CFTC, and other governmental agencies, includes the “Volcker Rule,” which significantly limits the ability of banks and their affiliates to engage in proprietary trading, and Title VII, which provides a framework for the regulation of the swap markets. Two of our subsidiaries are registered with the CFTC as floor traders, and are exempt from registration as swap dealers based on their current activity. Registration as a swap dealer would subject one or both of our subsidiaries to various requirements, including those related to capital, conduct, and reporting.</w:t>
      </w:r>
    </w:p>
    <w:p>
      <w:pPr>
        <w:spacing w:after="0" w:line="166"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4"/>
          <w:szCs w:val="14"/>
          <w:color w:val="auto"/>
        </w:rPr>
        <w:t>We have foreign subsidiaries and plan to continue to expand our international presence. The market making and execution services industry in many foreign countries is heavily regulated, much like in the U.S. The varying compliance requirements of these different regulatory jurisdictions and other factors may limit our ability to conduct business or expand internationally. MiFID II represented significant change in the operation of European capital markets and became effective on January 3, 2018. MiFID II introduced requirements for increased pre- and post-trade transparency, technological and organizational requirements for firms deploying algorithmic trading techniques, restrictions on dark trading, and the roll out of a new bi-lateral OTC equity trading regime called the Systematic Internaliser regime. MiFID II contains detailed rules as to the types of platform upon which European equities trading can be conducted, including Regulated Markets, MTFs, Organized Trading Facilities, Systematic Internalisers or equivalent third-country venues. MiFID II also requires market makers, such as VFIL, to post firm quotes at competitive prices and contains supplemental requirements with regards to investment firms’ pre-trade risk controls relating to the safe operation of electronic systems. MiFID II also imposed additional requirements on trading platforms, such as additional technological requirements, clock synchronization, microsecond processing granularity, pre-trade risk controls, transaction reporting requirements and limits on the ratio of unexecuted orders to trades. The MiFID II regime has been under review, with European Union authorities making further changes to the regime. On February 28, 2024, Directive (EU) 2024/790 amending MiFID II (the “MiFID Amending Directive”) and Regulation (EU) 2024/791 amending Regulation (EU) No 600/2014 (also known as “MiFIR”) (the “MiFIR Amending Regulation”) as regards enhancing data transparency, removing obstacles to the emergence of consolidated tapes, optimizing the trading obligations and prohibiting receiving payment for order flow were each adopted. The two acts entered into force on March 28, 2024, with the MiFIR Amending Regulation applying from that date, and the MiFID Amending Directive requiring adoption by Member States by September 29, 2025. These changes at the ‘Level 1’ legislative level include a substantial number of ‘Level 2’ measures, including by means of regulatory technical standards and implementing technical standards, several of which remain outstanding.</w:t>
      </w:r>
    </w:p>
    <w:p>
      <w:pPr>
        <w:spacing w:after="0" w:line="173"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4"/>
          <w:szCs w:val="14"/>
          <w:color w:val="auto"/>
        </w:rPr>
        <w:t>Further, in light of the U.K.’s withdrawal of its membership from the E.U., which is commonly referred to as “Brexit,” the passporting regime under MiFID II, which enables firms to provide services to countries across the E.U., no longer encompasses the U.K. VFIL and VETL continue to access U.K. markets, however, these entities do so not on the basis of MiFID passporting rights, but as third-country entities pursuant to U.K. law. As of December 8, 2023, VETL’s application for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its London branch to be authorized as a third-country branch was approved by the FCA, facilitating the long-term operational footprint of VETL’s branch in the U.K.</w:t>
      </w:r>
    </w:p>
    <w:p>
      <w:pPr>
        <w:spacing w:after="0" w:line="18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4"/>
          <w:szCs w:val="14"/>
          <w:color w:val="auto"/>
        </w:rPr>
        <w:t>Each of these legislative and regulatory requirements imposes additional technological, operational and compliance costs on us. New laws, rules or regulations as well as any regulatory or legal actions or proceedings, changes in legislation or regulation and changes in market customs and practices could have a material adverse effect on our business, financial condition, results of operations, and cash flows.</w:t>
      </w:r>
    </w:p>
    <w:p>
      <w:pPr>
        <w:spacing w:after="0" w:line="157" w:lineRule="exact"/>
        <w:rPr>
          <w:sz w:val="20"/>
          <w:szCs w:val="20"/>
          <w:color w:val="auto"/>
        </w:rPr>
      </w:pPr>
    </w:p>
    <w:p>
      <w:pPr>
        <w:ind w:right="60" w:firstLine="509"/>
        <w:spacing w:after="0" w:line="162" w:lineRule="exact"/>
        <w:rPr>
          <w:sz w:val="20"/>
          <w:szCs w:val="20"/>
          <w:color w:val="auto"/>
        </w:rPr>
      </w:pPr>
      <w:r>
        <w:rPr>
          <w:rFonts w:ascii="Times New Roman" w:cs="Times New Roman" w:eastAsia="Times New Roman" w:hAnsi="Times New Roman"/>
          <w:sz w:val="14"/>
          <w:szCs w:val="14"/>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dealer and require that at least a minimum part of its assets be kept in relatively liquid form. Failure to maintain required minimum capital may subject a regulated subsidiary to a fine, requirement to cease conducting business, suspension, revocation of registration or expulsion by applicable regulatory authorities, and ultimately could require the relevant entity’s liquidation. See “Item 1A. Risk Factors - Risks Related to Our Business - Non-compliance with applicable laws or regulatory requirements could subject us to sanctions and could negatively impact our reputation, prospects, revenues and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History</w:t>
      </w:r>
    </w:p>
    <w:p>
      <w:pPr>
        <w:spacing w:after="0" w:line="202" w:lineRule="exact"/>
        <w:rPr>
          <w:sz w:val="20"/>
          <w:szCs w:val="20"/>
          <w:color w:val="auto"/>
        </w:rPr>
      </w:pPr>
    </w:p>
    <w:p>
      <w:pPr>
        <w:jc w:val="both"/>
        <w:ind w:right="160" w:firstLine="509"/>
        <w:spacing w:after="0" w:line="270" w:lineRule="auto"/>
        <w:rPr>
          <w:sz w:val="20"/>
          <w:szCs w:val="20"/>
          <w:color w:val="auto"/>
        </w:rPr>
      </w:pPr>
      <w:r>
        <w:rPr>
          <w:rFonts w:ascii="Times New Roman" w:cs="Times New Roman" w:eastAsia="Times New Roman" w:hAnsi="Times New Roman"/>
          <w:sz w:val="14"/>
          <w:szCs w:val="14"/>
          <w:color w:val="auto"/>
        </w:rPr>
        <w:t>We and our predecessors have been in the electronic trading and market making business for more than 20 years. We conduct our business through Virtu Financial LLC (“Virtu Financial”) and its subsidiaries. We completed our initial public offering (“IPO”) in April 2015, after which shares of our Class A common stock, par value $0.00001 per share (the “Class A Common Stock”) began trading on Nasdaq under the ticker symbol “VIRT.” In 2025, we transferred the listing of the Class A Common Stock from Nasdaq to NYSE.</w:t>
      </w:r>
    </w:p>
    <w:p>
      <w:pPr>
        <w:spacing w:after="0" w:line="15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Prior to our IPO, we completed a series of reorganization transactions (the “Reorganization Transactions”) pursuant to which, among other things, we acquired equity interests in Virtu Financial as a result of certain mergers involving wholly owned subsidiaries of ours, an affiliate of Silver Lake Partners and Temasek Holdings (Private) Limited (“Temasek”), and an affiliate of Temasek (the “Temasek Pre-IPO Member”) (the “Mergers”), and in exchange we issued to an affiliate of Silver Lake Partners (such affiliate, the “Silver Lake Post-IPO Stockholder”) and an affiliate of Temasek (such affiliate, the “Temasek Post-IPO Stockholder”, and together with the Silver Lake Post-IPO Stockholder, the “Investor Post-IPO Stockholders”), shares of our Class A Common Stock and rights to receive payments under a tax receivable agreement described below, we became the sole managing member of Virtu Financial, all of the existing equity interests in Virtu Financial were reclassified into non-voting common interest units (“Virtu Financial Units”), our certificate of incorporation was amended and restated to authorize the issuance of four classes of common stock: Class A Common Stock, Class B Common Stock (as defined below), Class C Common Stock (as defined below) and Class D Common Stock (as defined below), and the holders of Virtu Financial Units other than us subscribed for shares of Class C common stock, par value $0.00001 per share (the “Class C Common Stock”) or Class D common stock, par value $0.00001 per share (the “Class D Common Stock”) (in the case of the Founder Post-IPO Member, as defined below) in an amount equal to the number of Virtu Financial Units held by such member.</w:t>
      </w:r>
    </w:p>
    <w:p>
      <w:pPr>
        <w:spacing w:after="0" w:line="167"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The Class A Common Stock and Class C Common Stock each provide holders with one vote on all matters submitted to a vote of stockholders, and the Class B Common Stock, par value $0.00001 per share (the “Class B Common Stock”) and Class D Common Stock each provide holders with 10 votes on all matters submitted to a vote of stockholders. The holders of Class C Common Stock and Class D Common Stock do not have any of the economic rights (including rights to dividends and distributions upon liquidation) provided to holders of Class A Common Stock and Class B Common Stock. Shares of our common stock generally vote together as a single class on all matters submitted to a vote of our stockholders.</w:t>
      </w:r>
    </w:p>
    <w:p>
      <w:pPr>
        <w:spacing w:after="0" w:line="14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As a result of the completion of the IPO, the Reorganization Transactions, the July 2017 Private Placement (as defined below), and certain other secondary offerings and permitted exchanges by current and former employees of Virtu Financial Units for shares of the Company’s Class A Common Stock, the Company holds an approximately 57.2% interest in Virtu Financial at December 31, 2025. The remaining issued and outstanding Virtu Financial Units are held by an affiliate of Mr. Vincent Viola (the “Founder Post-IPO Member”), two entities whose equity holders include certain current and former members of the management of Virtu Financial, and certain other current and former members of management of Virtu Financial (collectively, the “Virtu Post-IPO Members”). The Founder Post-IPO Member controls approximately 87.1% of the combined voting power of our outstanding common stock as of December 31, 2025. As a result, the Founder Post-IPO Member controls any actions requiring the general approval of our stockholders, including the election of our Board of Directors, the adoption of amendments to our certificate of incorporation and bylaws and the approval of any merger or sale of substantially all of our assets. The Founder Post-IPO Member is controlled by family members of Mr. Viola, our Founder and Chairman Emeritus.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5" w:name="page16"/>
    <w:bookmarkEnd w:id="15"/>
    <w:p>
      <w:pPr>
        <w:ind w:firstLine="509"/>
        <w:spacing w:after="0" w:line="270" w:lineRule="auto"/>
        <w:rPr>
          <w:sz w:val="20"/>
          <w:szCs w:val="20"/>
          <w:color w:val="auto"/>
        </w:rPr>
      </w:pPr>
      <w:r>
        <w:rPr>
          <w:rFonts w:ascii="Times New Roman" w:cs="Times New Roman" w:eastAsia="Times New Roman" w:hAnsi="Times New Roman"/>
          <w:sz w:val="14"/>
          <w:szCs w:val="14"/>
          <w:color w:val="auto"/>
        </w:rPr>
        <w:t>We have completed two significant acquisitions that have expanded and complemented Virtu Financial’s original electronic trading and market making business. On July 20, 2017 (the “KCG Closing Date”), the Company completed the all-cash acquisition (the “Acquisition of KCG”) of KCG Holdings, Inc. (“KCG”) and on March 1, 2019 (the “ITG Closing Date”), we completed our acquisition of Investment Technology Group, Inc. (“ITG”) in an all-cash transaction (the “ITG Acquisition”).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2"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4"/>
          <w:szCs w:val="14"/>
          <w:color w:val="auto"/>
        </w:rPr>
        <w:t>Our website address is www.virtu.com. The information on our website is not, and shall not be deemed to be, a part of this Annual Report on Form 10-K or incorporated into any other filings we make with the SEC. Our Annual Reports on Form 10-K, Quarterly Reports on Form 10-Q, Current Reports on Form 8-K and amendments to those reports filed or furnished pursuant to</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Section 13(a) or 15(d) of the Securities Exchange Act of 1934, as amended (the “Exchange Act”) are available free of charge on our website as soon as possible after we electronically file them with, or furnish them to, the SEC. The reports and the other documents that we file with the SEC are also available on the SEC’s website at www.sec.gov.</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Our Investor Relations Department can be contacted at Virtu Financial, Inc., </w:t>
      </w:r>
      <w:r>
        <w:rPr>
          <w:rFonts w:ascii="Times New Roman" w:cs="Times New Roman" w:eastAsia="Times New Roman" w:hAnsi="Times New Roman"/>
          <w:sz w:val="14"/>
          <w:szCs w:val="14"/>
          <w:color w:val="242424"/>
        </w:rPr>
        <w:t>163</w:t>
      </w:r>
      <w:r>
        <w:rPr>
          <w:rFonts w:ascii="Times New Roman" w:cs="Times New Roman" w:eastAsia="Times New Roman" w:hAnsi="Times New Roman"/>
          <w:sz w:val="14"/>
          <w:szCs w:val="14"/>
          <w:color w:val="auto"/>
        </w:rPr>
        <w:t>3 Broadway, New York, NY, 10019, Attn: Investor Relations, e-mail: investor_relations@virtu.com.</w:t>
      </w:r>
    </w:p>
    <w:p>
      <w:pPr>
        <w:spacing w:after="0" w:line="20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From time to time, we use our website, public conference calls, and social media channels, including our X account (x.com/virtufinancial), our LinkedIn account (linkedin.com/company/virtu-financial), and our Instagram account (instagram.com/virtu.financial), as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The information on our website and our social media channels is not incorporated by reference into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202" w:lineRule="exact"/>
        <w:rPr>
          <w:sz w:val="20"/>
          <w:szCs w:val="20"/>
          <w:color w:val="auto"/>
        </w:rPr>
      </w:pPr>
    </w:p>
    <w:p>
      <w:pPr>
        <w:ind w:right="620" w:firstLine="509"/>
        <w:spacing w:after="0" w:line="287" w:lineRule="auto"/>
        <w:rPr>
          <w:sz w:val="20"/>
          <w:szCs w:val="20"/>
          <w:color w:val="auto"/>
        </w:rPr>
      </w:pPr>
      <w:r>
        <w:rPr>
          <w:rFonts w:ascii="Times New Roman" w:cs="Times New Roman" w:eastAsia="Times New Roman" w:hAnsi="Times New Roman"/>
          <w:sz w:val="14"/>
          <w:szCs w:val="14"/>
          <w:color w:val="auto"/>
        </w:rPr>
        <w:t>The summary of risks below provides an overview of the principal risks we are exposed to in the normal course of our business activities. This summary does not contain all of the information that may be important to you, and you should read the more detailed discussion of risks that follows this summary.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and Operations</w:t>
      </w:r>
    </w:p>
    <w:p>
      <w:pPr>
        <w:spacing w:after="0" w:line="202" w:lineRule="exact"/>
        <w:rPr>
          <w:sz w:val="20"/>
          <w:szCs w:val="20"/>
          <w:color w:val="auto"/>
        </w:rPr>
      </w:pPr>
    </w:p>
    <w:p>
      <w:pPr>
        <w:ind w:left="520" w:right="40" w:hanging="260"/>
        <w:spacing w:after="0" w:line="26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revenues and profitability depend on trading volume, volatility, retail participation and other characteristics in the markets in which we operate and the order flow with which we interact and therefore are subject to factors beyond our control, are prone to significant fluctuations and are difficult to predict.</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our trading counterparties, clients and clearing houses to perform their obligations to us.</w:t>
      </w:r>
    </w:p>
    <w:p>
      <w:pPr>
        <w:spacing w:after="0" w:line="8" w:lineRule="exact"/>
        <w:rPr>
          <w:rFonts w:ascii="Times New Roman" w:cs="Times New Roman" w:eastAsia="Times New Roman" w:hAnsi="Times New Roman"/>
          <w:sz w:val="14"/>
          <w:szCs w:val="14"/>
          <w:color w:val="auto"/>
        </w:rPr>
      </w:pPr>
    </w:p>
    <w:p>
      <w:pPr>
        <w:ind w:left="520" w:right="26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losses in our market making activities and our execution services businesses due to failures of our customized trading platform, due to market risk or from a lack of perfect information.</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the securities we hold at any particular time may result in large and occasionally anomalous swings in the value of our positions and in our earnings in any period.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substantial competition and other competitive dynamics which could harm our financial performance.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market making business is concentrated in U.S. equities; accordingly, our operating results may be negatively impacted by changes that affect the U.S. equity markets.</w:t>
      </w:r>
    </w:p>
    <w:p>
      <w:pPr>
        <w:spacing w:after="0" w:line="8" w:lineRule="exact"/>
        <w:rPr>
          <w:rFonts w:ascii="Times New Roman" w:cs="Times New Roman" w:eastAsia="Times New Roman" w:hAnsi="Times New Roman"/>
          <w:sz w:val="14"/>
          <w:szCs w:val="14"/>
          <w:color w:val="auto"/>
        </w:rPr>
      </w:pPr>
    </w:p>
    <w:p>
      <w:pPr>
        <w:ind w:left="520" w:right="8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lose significant sources of revenues if we lose any of our larger clients or sources of order flow or lose access to an important exchange or other trading venue or if we fail to adapt to proposed new regulations, should they become final rules.</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liquidity risk in our operations.</w:t>
      </w:r>
    </w:p>
    <w:p>
      <w:pPr>
        <w:spacing w:after="0" w:line="8" w:lineRule="exact"/>
        <w:rPr>
          <w:rFonts w:ascii="Times New Roman" w:cs="Times New Roman" w:eastAsia="Times New Roman" w:hAnsi="Times New Roman"/>
          <w:sz w:val="14"/>
          <w:szCs w:val="14"/>
          <w:color w:val="auto"/>
        </w:rPr>
      </w:pPr>
    </w:p>
    <w:p>
      <w:pPr>
        <w:ind w:left="520" w:hanging="260"/>
        <w:spacing w:after="0" w:line="161" w:lineRule="exact"/>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clearing and other elements of our trade processing expose us to operational, financial and liquidity risks.</w:t>
      </w:r>
    </w:p>
    <w:p>
      <w:pPr>
        <w:spacing w:after="0" w:line="1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substantial amount of indebtedness, which could negatively impact our business and financial condition, and may limit our flexibility in operating our business.</w:t>
      </w:r>
    </w:p>
    <w:p>
      <w:pPr>
        <w:spacing w:after="0" w:line="7"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pursuing a growth strategy which involves increased investment in employee-related expenses and technical infrastructure, and our ability to realize benefits from these investments is uncertain.</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technology and our results may be negatively impacted if we cannot remain competitive.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Cryptocurrency is an emerging asset class that carries unique risk, including the risk of financial loss.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Artificial intelligence and machine learning are new and emerging technologies and could ultimately cause harm to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ind w:left="520" w:right="360" w:hanging="260"/>
        <w:spacing w:after="0" w:line="263"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our computer systems and software could expose us to material financial and reputational harm if any of our computer systems or software were subject to any material disruption or corruption.</w:t>
      </w:r>
    </w:p>
    <w:p>
      <w:pPr>
        <w:ind w:left="520" w:right="220" w:hanging="260"/>
        <w:spacing w:after="0" w:line="253"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the target of a significant cyber-attack, threat or incident that impairs internal systems, results in adverse consequences to information our system process, store or transmit or causes reputation or monetary damages as a consequence.</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harmed by computer and communication systems malfunctions, human error, failures and delays.</w:t>
      </w:r>
    </w:p>
    <w:p>
      <w:pPr>
        <w:spacing w:after="0" w:line="8" w:lineRule="exact"/>
        <w:rPr>
          <w:rFonts w:ascii="Times New Roman" w:cs="Times New Roman" w:eastAsia="Times New Roman" w:hAnsi="Times New Roman"/>
          <w:sz w:val="14"/>
          <w:szCs w:val="14"/>
          <w:color w:val="auto"/>
        </w:rPr>
      </w:pPr>
    </w:p>
    <w:p>
      <w:pPr>
        <w:ind w:left="520" w:hanging="260"/>
        <w:spacing w:after="0" w:line="161" w:lineRule="exact"/>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or poor performance of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software, infrastructure or systems could adversely affect our business.</w:t>
      </w:r>
    </w:p>
    <w:p>
      <w:pPr>
        <w:spacing w:after="0" w:line="1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open source software may expose us to additional risks.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protect our intellectual property rights or may be prevented from using intellectual property necessary for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could negatively impact our earnings.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material losses on foreign exchange transactions entered into on behalf of clients and be exposed to material liquidity risk due to counterparty defaults or errors.</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risks associated with future growth or expansion of our operations or acquisitions, strategic investments or dispositions of businesses, and we may never realize the anticipated benefits of such activities.</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efforts to sell shares of our common stock or raise additional capital may be inhibited by regulations.</w:t>
      </w:r>
    </w:p>
    <w:p>
      <w:pPr>
        <w:spacing w:after="0" w:line="8" w:lineRule="exact"/>
        <w:rPr>
          <w:rFonts w:ascii="Times New Roman" w:cs="Times New Roman" w:eastAsia="Times New Roman" w:hAnsi="Times New Roman"/>
          <w:sz w:val="14"/>
          <w:szCs w:val="14"/>
          <w:color w:val="auto"/>
        </w:rPr>
      </w:pPr>
    </w:p>
    <w:p>
      <w:pPr>
        <w:ind w:left="520" w:right="380" w:hanging="260"/>
        <w:spacing w:after="0" w:line="246"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increased risks or business disruption, incur losses or suffer reputational harm in relation to or as a result of climate change.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w:t>
      </w:r>
    </w:p>
    <w:p>
      <w:pPr>
        <w:spacing w:after="0" w:line="202"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and legal uncertainties could harm our business.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proposed and other potential changes in laws and rules may adversely impact our business.</w:t>
      </w:r>
    </w:p>
    <w:p>
      <w:pPr>
        <w:spacing w:after="0" w:line="8" w:lineRule="exact"/>
        <w:rPr>
          <w:rFonts w:ascii="Times New Roman" w:cs="Times New Roman" w:eastAsia="Times New Roman" w:hAnsi="Times New Roman"/>
          <w:sz w:val="14"/>
          <w:szCs w:val="14"/>
          <w:color w:val="auto"/>
        </w:rPr>
      </w:pPr>
    </w:p>
    <w:p>
      <w:pPr>
        <w:ind w:left="520" w:hanging="260"/>
        <w:spacing w:after="0" w:line="161" w:lineRule="exact"/>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compliance with applicable laws or regulatory requirements could subject us to sanctions and could negatively impact our reputation, prospects, revenues and earnings.</w:t>
      </w:r>
    </w:p>
    <w:p>
      <w:pPr>
        <w:spacing w:after="0" w:line="1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relating to litigation and potential securities law liability.</w:t>
      </w:r>
    </w:p>
    <w:p>
      <w:pPr>
        <w:spacing w:after="0" w:line="7"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legislation in the European Union, the U.S. and other jurisdictions that would impose taxes on certain financial transactions could have a material adverse effect on our business and financial results.</w:t>
      </w:r>
    </w:p>
    <w:p>
      <w:pPr>
        <w:ind w:left="520" w:right="120" w:hanging="260"/>
        <w:spacing w:after="0" w:line="25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risks associated with our international operations and expansion and failure to comply with laws and regulations applicable to such operations may increase costs, reduce profits, limit growth or subject us to liability.</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Brexit continues to pose a risk of negatively impacting the global economy, financial markets and our business.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historical acquisitions, the Company is subject to potential liabilities that could materially and adversely affect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w:t>
      </w:r>
    </w:p>
    <w:p>
      <w:pPr>
        <w:spacing w:after="0" w:line="191" w:lineRule="exact"/>
        <w:rPr>
          <w:sz w:val="20"/>
          <w:szCs w:val="20"/>
          <w:color w:val="auto"/>
        </w:rPr>
      </w:pPr>
    </w:p>
    <w:p>
      <w:pPr>
        <w:ind w:left="520" w:right="520" w:hanging="260"/>
        <w:spacing w:after="0" w:line="26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holding company and our principal asset is our 57.2% of equity interest in Virtu Financial, and we are accordingly dependent upon distributions from Virtu Financial to pay dividends, if any, taxes and other expenses.</w:t>
      </w:r>
    </w:p>
    <w:p>
      <w:pPr>
        <w:ind w:left="520" w:right="280" w:hanging="260"/>
        <w:spacing w:after="0" w:line="170" w:lineRule="exact"/>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controlled by the Founder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 whose interests in our business may be different than the interests of other shareholders, and certain statutory provisions afforded to stockholders are not applicable to us.</w:t>
      </w:r>
    </w:p>
    <w:p>
      <w:pPr>
        <w:ind w:left="520" w:right="34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remain in compliance with the covenants contained in our Credit Agreement and our obligation to comply with these covenants may adversely affect our ability to operate our business.</w:t>
      </w:r>
    </w:p>
    <w:p>
      <w:pPr>
        <w:ind w:left="520" w:right="8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exempt from certain corporate governance requirements since we are a “controlled company” within the meaning of the NYSE rules, and as a result our stockholders do not have the protections afforded by these corporate governance requirements.</w:t>
      </w:r>
    </w:p>
    <w:p>
      <w:pPr>
        <w:ind w:left="520" w:hanging="260"/>
        <w:spacing w:after="0" w:line="161" w:lineRule="exact"/>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pay the Virtu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Members and the Investor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Stockholders for certain tax benefits we may claim, and the amounts we may pay could be significant.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w:t>
      </w:r>
    </w:p>
    <w:p>
      <w:pPr>
        <w:spacing w:after="0" w:line="202"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future sales of shares of our Class A common stock in the public market could cause our stock price to fall.</w:t>
      </w:r>
    </w:p>
    <w:p>
      <w:pPr>
        <w:spacing w:after="0" w:line="23" w:lineRule="exact"/>
        <w:rPr>
          <w:rFonts w:ascii="Times New Roman" w:cs="Times New Roman" w:eastAsia="Times New Roman" w:hAnsi="Times New Roman"/>
          <w:sz w:val="14"/>
          <w:szCs w:val="14"/>
          <w:color w:val="auto"/>
        </w:rPr>
      </w:pPr>
    </w:p>
    <w:p>
      <w:pPr>
        <w:ind w:left="520" w:right="26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establish and maintain effective internal control over financial reporting could have a material adverse effect on our business, financial condition, results of operations and cash flows, and stock price.</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pay regular dividends to our stockholders, but our ability to do so may be limited by our holding company structure, contractual restrictions and regulatory requirements.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charter documents and certain rules imposed by regulatory authorities may delay or prevent our acquisition by a third party.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may be volatile.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incur increased costs as a result of being a public company.</w:t>
      </w:r>
    </w:p>
    <w:p>
      <w:pPr>
        <w:spacing w:after="0" w:line="8" w:lineRule="exact"/>
        <w:rPr>
          <w:rFonts w:ascii="Times New Roman" w:cs="Times New Roman" w:eastAsia="Times New Roman" w:hAnsi="Times New Roman"/>
          <w:sz w:val="14"/>
          <w:szCs w:val="14"/>
          <w:color w:val="auto"/>
        </w:rPr>
      </w:pPr>
    </w:p>
    <w:p>
      <w:pPr>
        <w:ind w:left="520" w:right="14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and trading volume could decline as a result of inaccurate or unfavorable research, or the cessation of research coverage, about us or our business published by securities or industry analysts.</w:t>
      </w:r>
    </w:p>
    <w:p>
      <w:pPr>
        <w:ind w:left="520" w:right="22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losses as a result of unforeseen or catastrophic events, including the emergence of another pandemic, social unrest, terrorist attacks, extreme weather events or other natural disasters.</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reported financial results depend on management’s selection of accounting methods and certain assumptions and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Operations</w:t>
      </w:r>
    </w:p>
    <w:p>
      <w:pPr>
        <w:spacing w:after="0" w:line="200"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revenues and profitability depend on trading volume, volatility, retail participation and other characteristics of the markets in which we operate and the order flow with which we interact, and therefore are subject to factors beyond our control, are prone to significant fluctuations and are difficult to predict.</w:t>
      </w:r>
    </w:p>
    <w:p>
      <w:pPr>
        <w:spacing w:after="0" w:line="133"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4"/>
          <w:szCs w:val="14"/>
          <w:color w:val="auto"/>
        </w:rPr>
        <w:t>Our revenues and profitability depend in part on the level of trading activity of securities, derivatives and other financial products on exchanges and in other trading venues in the U.S. and abroad, which are directly affected by factors beyond our control, including economic and political conditions, regulatory changes, emergencies and pandemics,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 Lower price levels of securities and other financial instruments, as well as compressed bid/ask spreads, which often follow lower pricing, decreases in retail participation levels and other changes in market and/or order flow characteristics can further diminish the opportunities across markets we serve and order flow with which we interact, resulting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Declines in the trading activity of institutional or “buy-side” market participants may result in lower revenue and/or diminished opportunities for us to earn commissions from execution activities. Any of the foregoing factors could have a material adverse effect on our business, financial condition, results of operations and cash flows.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our trading counterparties, clients and clearing houses to perform their obligations to us.</w:t>
      </w:r>
    </w:p>
    <w:p>
      <w:pPr>
        <w:spacing w:after="0" w:line="160" w:lineRule="exact"/>
        <w:rPr>
          <w:sz w:val="20"/>
          <w:szCs w:val="20"/>
          <w:color w:val="auto"/>
        </w:rPr>
      </w:pPr>
    </w:p>
    <w:p>
      <w:pPr>
        <w:ind w:firstLine="509"/>
        <w:spacing w:after="0" w:line="164" w:lineRule="exact"/>
        <w:rPr>
          <w:sz w:val="20"/>
          <w:szCs w:val="20"/>
          <w:color w:val="auto"/>
        </w:rPr>
      </w:pPr>
      <w:r>
        <w:rPr>
          <w:rFonts w:ascii="Times New Roman" w:cs="Times New Roman" w:eastAsia="Times New Roman" w:hAnsi="Times New Roman"/>
          <w:sz w:val="14"/>
          <w:szCs w:val="14"/>
          <w:color w:val="auto"/>
        </w:rPr>
        <w:t>Our business consists of providing consistent two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sided liquidity to market participants across numerous geographies and asset classes as well as providing trade execution and related services to clients.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Further, one or more counterparties or clients may suffer liquidity or solvency challenges as a result of internal or other idiosyncratic events, and this may prevent these counterparties or clients, and potentially their counterparties or clients, from meeting their obligations to us. Following the implementation of certain mandates under the Dodd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Frank Act in the U.S. and similar legislation worldwide, many trades in the securities and futures markets, though not all, and an increasing number of trades in the over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18" w:name="page19"/>
    <w:bookmarkEnd w:id="18"/>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incur losses in our market making activities and our execution services businesses due to failures of our customized trading platform, due to market risk or from a lack of perfect information.</w:t>
      </w:r>
    </w:p>
    <w:p>
      <w:pPr>
        <w:spacing w:after="0" w:line="14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The success of our business is substantially dependent on the accuracy and performance of our customized trading platform, which evaluates and monitors the risks inherent in our market making strategies and execution services business, assimilates market data and reevaluates our outstanding quotes and positions continuously throughout the trading day. Our strategies are designed to automatically rebalance our positions throughout the trading day to manage risk exposures on our positions. Flaws in our strategies, order management system, risk management processes,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results of operations and cash flows.</w:t>
      </w:r>
    </w:p>
    <w:p>
      <w:pPr>
        <w:spacing w:after="0" w:line="164"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A significant portion of our revenues are derived from our trading as principal in our role as a formal or registered market maker and liquidity provider on various exchanges and markets, as well as direct to customer market making.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performance, size and volatility of portfolios we may hold in connection with our customer market making activities,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spacing w:after="0" w:line="167"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spacing w:after="0" w:line="14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may at times trade with others who have information that may be more accurate or complete than the information we have, and as a result we may accumulate unfavorable positions preceding large price movements in a given instrument. We cannot assure you that we will be able to manage these risks successfully or that we will not experience significant losses from such activities, which could have a material adverse effect on our business, financial condition, results of operations and cash flows.</w:t>
      </w:r>
    </w:p>
    <w:p>
      <w:pPr>
        <w:spacing w:after="0" w:line="133" w:lineRule="exact"/>
        <w:rPr>
          <w:sz w:val="20"/>
          <w:szCs w:val="20"/>
          <w:color w:val="auto"/>
        </w:rPr>
      </w:pPr>
    </w:p>
    <w:p>
      <w:pPr>
        <w:ind w:right="20" w:firstLine="509"/>
        <w:spacing w:after="0" w:line="178" w:lineRule="exact"/>
        <w:rPr>
          <w:sz w:val="20"/>
          <w:szCs w:val="20"/>
          <w:color w:val="auto"/>
        </w:rPr>
      </w:pPr>
      <w:r>
        <w:rPr>
          <w:rFonts w:ascii="Times New Roman" w:cs="Times New Roman" w:eastAsia="Times New Roman" w:hAnsi="Times New Roman"/>
          <w:sz w:val="14"/>
          <w:szCs w:val="14"/>
          <w:color w:val="auto"/>
        </w:rPr>
        <w:t>Our risk management activities related to our on-exchange market making strategies utilize a four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pronged approach, consisting of strategy lockdowns, centralized strategy monitoring, aggregate exposure monitoring and operational controls. In 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 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valuation of the securities we hold at any particular time may result in large and occasionally anomalous swings in the value of our positions and in our earnings in any period.</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 calendar quarter, as the discrepancy in official closing prices resulting from the asynchronous closing times may cause us to recognize a gain or loss in one quarter which would be substantially offset by a corresponding loss or gain in the following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substantial competition and other competitive dynamics which could harm our financial performance.</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Revenues from our market making activities depend on our ability to offer to buy and sell financial instruments at prices that are attractive and represent the best bid and/or offer in a given instrument at a given time. To attract order flow, we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9" w:name="page20"/>
    <w:bookmarkEnd w:id="19"/>
    <w:p>
      <w:pPr>
        <w:jc w:val="both"/>
        <w:ind w:right="420"/>
        <w:spacing w:after="0" w:line="264" w:lineRule="auto"/>
        <w:rPr>
          <w:sz w:val="20"/>
          <w:szCs w:val="20"/>
          <w:color w:val="auto"/>
        </w:rPr>
      </w:pPr>
      <w:r>
        <w:rPr>
          <w:rFonts w:ascii="Times New Roman" w:cs="Times New Roman" w:eastAsia="Times New Roman" w:hAnsi="Times New Roman"/>
          <w:sz w:val="14"/>
          <w:szCs w:val="14"/>
          <w:color w:val="auto"/>
        </w:rPr>
        <w:t>compete with other firms not only on our ability to provide liquidity at competitive prices, but also on other factors such as order execution speed and technology. Similarly, revenues from our technology services and agency execution services depend on our ability to offer cutting edge technology and risk management solutions. Across our businesses, our relationships with clients, customers and other counterparties could be adversely impacted by competitive dynamics across the industry, including but not limited to consolidation in the retail brokerage industry or asset management industry.</w:t>
      </w:r>
    </w:p>
    <w:p>
      <w:pPr>
        <w:spacing w:after="0" w:line="130" w:lineRule="exact"/>
        <w:rPr>
          <w:sz w:val="20"/>
          <w:szCs w:val="20"/>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Our competitors include other registered market makers, as well as unregulated or lesser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regulated trading and technology firms that also compete to provide liquidity and execution services.</w:t>
      </w:r>
    </w:p>
    <w:p>
      <w:pPr>
        <w:spacing w:after="0" w:line="56"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Our competitors range from sole proprietors with very limited resources to highly sophisticated groups, hedge funds,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capitalized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and proprietary trading firms or other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makers that have substantially greater financial and other resources than we do. These larger and better capitalized competitors may be better able to respond to changes in the market making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industry, to compete for skilled professionals, to finance acquisitions, to fund internal growth, to finance capital projects including but not limited to infrastructure projects relating to artificial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intelligence and machine learning that could alter competitive dynamics, to manage costs and expenses and to compete for market share generally. Trading firms that are not registered as</w:t>
      </w:r>
    </w:p>
    <w:p>
      <w:pPr>
        <w:spacing w:after="0" w:line="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or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not registered as market makers may in some instances have certain advantages over more regulated firms, including our subsidiaries that may allow them to bypass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regulatory restrictions and trade more cheaply than more regulated participants on some markets or exchanges. In addition, we may in the future face enhanced competition from new market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participants that may also have substantially greater financial and other resources than we do, which may result in compressed bid/ask spreads in the marketplace that may negatively impact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performance. Moreover, current and potential competitors may establish cooperative relationships among themselves or with third parties or may consolidate to enhance their services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products. The trend toward increased competition in our business is expected to continue, and it is possible that our competitors may acquire increased market share. Increased competition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consolidation in the marketplace could reduce the bid/ask spreads on which our business and profitability depend, and may also reduce commissions paid by institutional clients for execution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 negatively impacting our financial performance. As a result, there can be no assurance that we will be able to compete effectively with current or future competitors, which could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market making business is concentrated in U.S. equities; accordingly, our operating results may be negatively impacted by changes that affect the U.S. equity markets.</w:t>
      </w:r>
    </w:p>
    <w:p>
      <w:pPr>
        <w:spacing w:after="0" w:line="20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majority of our market making revenue for 2025 was derived from our market making in U.S. equities. The level of activity in the U.S. equity markets is directly affected by factors beyond our control, including U.S. economic and political conditions, broad trends in business and finance, legislative and regulatory changes and changes in volume and price levels of U.S. equity transactions. As a result, to the extent these or other factors reduce trading volume or volatility or result in a downturn in the U.S. equity markets, we may experience a material adverse effect on our business, financial condition and operating results.</w:t>
      </w:r>
    </w:p>
    <w:p>
      <w:pPr>
        <w:spacing w:after="0" w:line="16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could lose significant sources of revenues if we lose any of our larger clients or sources of order flow or lose access to an important exchange or other trading venue or if we fail to adapt to proposed new regulations, should they become final rules.</w:t>
      </w:r>
    </w:p>
    <w:p>
      <w:pPr>
        <w:spacing w:after="0" w:line="14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During a given period, a limited number of clients may account for a significant portion of our order flow, revenues and profitability, and we expect a large portion of the future demand for, and profitability from, our trade execution services to remain concentrated within a limited number of clients. The loss of one or more larger clients could have an adverse effect on our revenues and profitability in the future. None of these clients is currently contractually obligated to utilize us for trade execution services and, accordingly, these clients may direct their trade execution business to other execution providers or market centers at any time. Some of these clients have grown organically or acquired market makers and specialist firms to internalize order flow or have entered into strategic relationships with competitors. There can be no assurance that we will be able to retain these significant clients or that such clients will maintain or increase their demand for our trade execution services. Further, the continued integration of legacy systems and the development of new systems could result in disruptions to our ongoing businesses and relationships or cause issues with standards, controls, procedures and policies that adversely affect our ability to maintain relationships with customers, or to solicit new customers. Further, changes in applicable laws, regulations or rules could adversely impact our relationship with any such client or opportunities to interact with order flows from such clients. The loss, or a significant reduction, of demand for our services from any of these clients could have a material adverse effect on our business, financial condition, results of operations and cash flows.</w:t>
      </w:r>
    </w:p>
    <w:p>
      <w:pPr>
        <w:spacing w:after="0" w:line="157" w:lineRule="exact"/>
        <w:rPr>
          <w:sz w:val="20"/>
          <w:szCs w:val="20"/>
          <w:color w:val="auto"/>
        </w:rPr>
      </w:pPr>
    </w:p>
    <w:p>
      <w:pPr>
        <w:ind w:right="420" w:firstLine="509"/>
        <w:spacing w:after="0" w:line="271" w:lineRule="auto"/>
        <w:rPr>
          <w:sz w:val="20"/>
          <w:szCs w:val="20"/>
          <w:color w:val="auto"/>
        </w:rPr>
      </w:pPr>
      <w:r>
        <w:rPr>
          <w:rFonts w:ascii="Times New Roman" w:cs="Times New Roman" w:eastAsia="Times New Roman" w:hAnsi="Times New Roman"/>
          <w:sz w:val="14"/>
          <w:szCs w:val="14"/>
          <w:color w:val="auto"/>
        </w:rPr>
        <w:t>Similarly, changes in applicable laws, regulations or rules promulgated by government administrations, regulators or exchanges could conceivably prevent us from providing liquidity directly to clients or counterparties or other trading venue where we provide liquidity today. Following recent regulatory attention on U.S. equities market structure, including the practice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20" w:name="page21"/>
    <w:bookmarkEnd w:id="20"/>
    <w:p>
      <w:pPr>
        <w:ind w:right="20"/>
        <w:spacing w:after="0" w:line="245" w:lineRule="auto"/>
        <w:rPr>
          <w:sz w:val="20"/>
          <w:szCs w:val="20"/>
          <w:color w:val="auto"/>
        </w:rPr>
      </w:pPr>
      <w:r>
        <w:rPr>
          <w:rFonts w:ascii="Times New Roman" w:cs="Times New Roman" w:eastAsia="Times New Roman" w:hAnsi="Times New Roman"/>
          <w:sz w:val="14"/>
          <w:szCs w:val="14"/>
          <w:color w:val="auto"/>
        </w:rPr>
        <w:t>of wholesale market making and other forms of off exchange trading, the SEC proposed the adoption of new Rule 615, which, if adopted, would dramatically change U.S. equities market structure, the routing, handling and potentially the amount, character and cost of retail order flow, and therefore may substantially diminish the volume of our transactions with retail client orders. This and other potential legal and regulatory changes are discussed in further detail in “Item 1A. Risk Factors—Legal and Regulatory Risks.” Though our revenues are diversified across exchanges and other trading venues, asset classes and geographies, the loss of access to or reduction in opportunities to transact with one or more significant clients or counterparties, exchanges or other trading venues for any reason could have a material adverse effect on our business, financial condition, results of operations and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liquidity risk in our operations.</w:t>
      </w:r>
    </w:p>
    <w:p>
      <w:pPr>
        <w:spacing w:after="0" w:line="202" w:lineRule="exact"/>
        <w:rPr>
          <w:sz w:val="20"/>
          <w:szCs w:val="20"/>
          <w:color w:val="auto"/>
        </w:rPr>
      </w:pPr>
    </w:p>
    <w:p>
      <w:pPr>
        <w:ind w:firstLine="509"/>
        <w:spacing w:after="0" w:line="172" w:lineRule="exact"/>
        <w:rPr>
          <w:sz w:val="20"/>
          <w:szCs w:val="20"/>
          <w:color w:val="auto"/>
        </w:rPr>
      </w:pPr>
      <w:r>
        <w:rPr>
          <w:rFonts w:ascii="Times New Roman" w:cs="Times New Roman" w:eastAsia="Times New Roman" w:hAnsi="Times New Roman"/>
          <w:sz w:val="14"/>
          <w:szCs w:val="14"/>
          <w:color w:val="auto"/>
        </w:rPr>
        <w:t>We require liquidity to fund various ongoing obligations, including operating expenses, margin requirements, capital expenditures, debt service and dividend payments. Our main sources of liquidity are cash flow from the operations of our subsidiaries, our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revolving credit facilities (described under “Item 7. Management’s Discussion and Analysis of Financial Condition and Results of Operations - Liquidity and Capital Resources - Long-Term Borrowings”), margin financing provided by our prime brokers and cash on hand. Our liquidity could be materially impaired by a number of factors, including increased funding requirements for margin or settlement with central clearinghouses, prime brokers or counterparties, reduced business activity due to a market downturn, adverse regulatory action or a downgrade of our credit rating. If our business activities decrease or we are unable to borrow additional funds in the future on terms that are acceptable to us, or at all, we could suffer a material adverse effect on our business, financial condition, results of operations and cash flows.</w:t>
      </w:r>
    </w:p>
    <w:p>
      <w:pPr>
        <w:spacing w:after="0" w:line="148"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Self</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clearing and other elements of our trade processing operations expose us to significant operational, financial and liquidity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-36195</wp:posOffset>
            </wp:positionV>
            <wp:extent cx="5588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80" w:lineRule="exact"/>
        <w:rPr>
          <w:sz w:val="20"/>
          <w:szCs w:val="20"/>
          <w:color w:val="auto"/>
        </w:rPr>
      </w:pPr>
    </w:p>
    <w:p>
      <w:pPr>
        <w:ind w:firstLine="509"/>
        <w:spacing w:after="0" w:line="178" w:lineRule="exact"/>
        <w:rPr>
          <w:sz w:val="20"/>
          <w:szCs w:val="20"/>
          <w:color w:val="auto"/>
        </w:rPr>
      </w:pPr>
      <w:r>
        <w:rPr>
          <w:rFonts w:ascii="Times New Roman" w:cs="Times New Roman" w:eastAsia="Times New Roman" w:hAnsi="Times New Roman"/>
          <w:sz w:val="14"/>
          <w:szCs w:val="14"/>
          <w:color w:val="auto"/>
        </w:rPr>
        <w:t>We currently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clear a substantial portion of our domestic equity trades and may expand our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clearing operations internationally and across product offerings and asset classes in the future.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results of operations cash flows.</w:t>
      </w:r>
    </w:p>
    <w:p>
      <w:pPr>
        <w:spacing w:after="0" w:line="17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our operation of our client execution services business, we are required to finance certain of our clients’ unsettled positions from time to time and we could be held responsible for the defaults of our clients. Default by our clients may also give rise to our incurring penalties imposed by execution venues, regulatory authorities and clearing and settlement organizations. Although we regularly review our credit exposure, default risk may arise from events or circumstances that may be difficult to detect or foresee. In addition, concerns about, or a default by, one institution could lead to significant liquidity problems, losses or defaults by other institutions that could in turn adversely affect us.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Additionally, elevated levels of volume and volatility, which have and may continue to result in material increases in our trading activities both in our market making segment and in our execution services segment, have previously and may in the future result in significantly increased margin requirements with the National Securities Clearing Corporation (“NSCC”), the Options Clearing Corporation (“OCC”), as well as certain prime brokers, clearing brokers, and other counterparties. In order to manage these increased daily funding obligations, we have taken and may continue to have to take measures to increase available short-term liquidity and to reduce our short-term funding requirements, which may require us to depend on additional sources of liquidity and upon the availability of third parties for services such as trade clearing, and have required and may continue to require us to limit certain of our activities in certain asset classes or products. If such sources of short-term liquidity or third-party services are not available, or if we encounter challenges obtaining such short-term liquidity or third-party services on terms favorable to us or at all, then our business, financial condition and results of operations may be adversely impacted.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substantial amount of indebtedness, which could negatively impact our business and financial condition, and may limit our flexibility in operating our business.</w:t>
      </w:r>
    </w:p>
    <w:p>
      <w:pPr>
        <w:spacing w:after="0" w:line="191"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4"/>
          <w:szCs w:val="14"/>
          <w:color w:val="auto"/>
        </w:rPr>
        <w:t>As of December 31, 2025, we had an aggregate of $2,067.3 million outstanding indebtedness under our long-term borrowings. In 2022, we incurred $1.8 billion of term loans under the Credit Agreement (as defined below) in connection with a refinancing transaction entered into on January 13, 2022, which was subsequently amended to $1.2 billion on June 21, 2024 and to $1.5 billion on September 23, 2025. In 2024, we also incurred $0.5 billion of senior secured first lien notes. See Note 9</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1" w:name="page22"/>
    <w:bookmarkEnd w:id="21"/>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“Borrowings” of Part II, Item 8 “Financial Statements and Supplementary Data” of this Annual Report on Form 10-K for further details. If we cannot generate sufficient cash flow from operations to service our debt, we may need to refinance our debt, dispose of assets, or issue equity to obtain necessary funds. We do not know whether we will be able to take any of such actions on a timely basis, on terms satisfactory to us or at all.</w:t>
      </w:r>
    </w:p>
    <w:p>
      <w:pPr>
        <w:spacing w:after="0" w:line="168"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The Credit Agreement also provides for a revolving credit facility which allows us to borrow on a revolving basis, subject to maximum borrowing limit of $250.0 million, which was subsequently amended to $300.0 million, under which we had no borrowing outstanding as of December 31, 2025. Additionally, we are party to an uncommitted facility (the “Uncommitted Facility”), subject to a maximum borrowing limit of $400.0 million, under which we had no borrowings outstanding as of December 31, 2025. We are also a party to a $650.0 million broker-dealer revolving credit facility (the “Committed Facility”) under which we had no borrowings outstanding as of December 31, 2025. Also, certain of our non-guarantor subsidiaries are party to various short-term credit facilities with various prime brokers and other financial institutions in an aggregate amount of $645.6 million under which we had $203.8 million in borrowings outstanding at December 31, 2025.</w:t>
      </w:r>
    </w:p>
    <w:p>
      <w:pPr>
        <w:spacing w:after="0" w:line="157" w:lineRule="exact"/>
        <w:rPr>
          <w:sz w:val="20"/>
          <w:szCs w:val="20"/>
          <w:color w:val="auto"/>
        </w:rPr>
      </w:pPr>
    </w:p>
    <w:p>
      <w:pPr>
        <w:ind w:right="140" w:firstLine="139"/>
        <w:spacing w:after="0" w:line="254" w:lineRule="auto"/>
        <w:rPr>
          <w:sz w:val="20"/>
          <w:szCs w:val="20"/>
          <w:color w:val="auto"/>
        </w:rPr>
      </w:pPr>
      <w:r>
        <w:rPr>
          <w:rFonts w:ascii="Times New Roman" w:cs="Times New Roman" w:eastAsia="Times New Roman" w:hAnsi="Times New Roman"/>
          <w:sz w:val="14"/>
          <w:szCs w:val="14"/>
          <w:color w:val="auto"/>
        </w:rPr>
        <w:t>The credit agreement entered into on January 13, 2022 by and among VFH, the lenders party thereto and JPMorgan Chase Bank, N.A., as administrative agent and subsequently amended on June 21, 2024, February 19, 2025, and September 23, 2025 (the “Credit Agreement”), and any other existing or future indebtedness of ours may contain, a number of covenants that impose significant operating and financial restrictions on us, including restrictions on our and our restricted subsidiaries’ ability to, among other things:</w:t>
      </w:r>
    </w:p>
    <w:p>
      <w:pPr>
        <w:spacing w:after="0" w:line="168" w:lineRule="exact"/>
        <w:rPr>
          <w:sz w:val="20"/>
          <w:szCs w:val="20"/>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debt, guarantee indebtedness or issue certain preferred equity interests;</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on or make distributions in respect of, or repurchase or redeem, our equity interests or make other restricted payments;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debt;</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loans or certain investments;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certain assets;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on our assets;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merge or sell or otherwise dispose of all or substantially all of our assets;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our affiliates;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restricting our subsidiaries’ ability to pay dividends;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 our subsidiaries as unrestricted subsidiaries.</w:t>
      </w:r>
    </w:p>
    <w:p>
      <w:pPr>
        <w:spacing w:after="0" w:line="185"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As a result of these covenants, we are limited in the manner in which we conduct our business, and we may be unable to successfully execute our strategy, engage in favorable business activities or finance future operations or capital needs. In addition, the revolving credit facility under the Credit Agreement is subject to a springing financial covenant which, if in effect, may require us to take action to reduce our debt or to act in a manner contrary to our business objectives.</w:t>
      </w:r>
    </w:p>
    <w:p>
      <w:pPr>
        <w:spacing w:after="0" w:line="15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may be unable to remain in compliance with covenants contained in the Credit Agreement, and our obligation to comply with these covenants may adversely affect our ability to operate our business. A failure to comply with the covenants under the Credit Agreement or any of our other future indebtedness could result in an event of default, which, if not cured or waived, could have a material adverse effect on our business, financial condition, results of operations and cash flows. If any such event of default has occurred and is continuing, the lenders under our Credit Agreement, among other things:</w:t>
      </w:r>
    </w:p>
    <w:p>
      <w:pPr>
        <w:spacing w:after="0" w:line="162" w:lineRule="exact"/>
        <w:rPr>
          <w:sz w:val="20"/>
          <w:szCs w:val="20"/>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required to lend any additional amounts to us; or</w:t>
      </w:r>
    </w:p>
    <w:p>
      <w:pPr>
        <w:spacing w:after="0" w:line="23" w:lineRule="exact"/>
        <w:rPr>
          <w:rFonts w:ascii="Times New Roman" w:cs="Times New Roman" w:eastAsia="Times New Roman" w:hAnsi="Times New Roman"/>
          <w:sz w:val="14"/>
          <w:szCs w:val="14"/>
          <w:color w:val="auto"/>
        </w:rPr>
      </w:pPr>
    </w:p>
    <w:p>
      <w:pPr>
        <w:ind w:left="760" w:right="40" w:hanging="246"/>
        <w:spacing w:after="0" w:line="266"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could elect to declare all borrowings outstanding, together with accrued and unpaid interest and fees, to be immediately due and payable and terminate all commitments to extend further credit;</w:t>
      </w:r>
    </w:p>
    <w:p>
      <w:pPr>
        <w:spacing w:after="0" w:line="15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any of which could result in cross defaults under our other indebtedness. If we default on our indebtedness, our business, financial condition and results of operation could suffer a material adverse effect.</w:t>
      </w:r>
    </w:p>
    <w:p>
      <w:pPr>
        <w:spacing w:after="0" w:line="145"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We pledge substantially all of our and our guarantor subsidiaries’ assets as collateral under the Credit Agreement. If we were unable to repay such indebtedness, the lenders under the Credit Agreement could proceed to exercise remedies against the collateral granted to them to secure that indebtedness. If any of our outstanding indebtedness under the Credit Agreement or our other indebtedness were to be accelerated, there can be no assurance that our assets would be sufficient to repay such indebtedness in full. We do not have sufficient working capital to satisfy our debt obligations in the event of an acceleration of all or a significant part of our outstanding indebtedness.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Despite our substantial indebtedness, we may still be able to incur significantly more debt, which could intensify the risks associated with our substantial indebtedness.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2" w:name="page23"/>
    <w:bookmarkEnd w:id="22"/>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Borrowings under the Credit Agreement, the Uncommitted Facility and the Committed Facility are at variable rates of interest and expose us to interest rate risk. If interest rates increase, our debt service obligations on certain of our variable rate indebtedness will increase even though the amount borrowed remained the same, and our net income and cash flows, including cash available for servicing our indebtedness, will correspondingly decrease. We have entered into, and may enter into additional,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may prove disadvantageous or may create additional risks. Rising interest rates could also limit our ability to refinance existing debt when it matures or cause us to pay higher interest rates upon refinancing.</w:t>
      </w:r>
    </w:p>
    <w:p>
      <w:pPr>
        <w:spacing w:after="0" w:line="165"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pursuing a growth strategy which involves increased investment in employee related expenses and technical infrastructure, and our ability to realize benefits from these investments is uncertain.</w:t>
      </w:r>
    </w:p>
    <w:p>
      <w:pPr>
        <w:spacing w:after="0" w:line="143"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We are making, and intend to continue making, significant investments to pursue growth opportunities across our business. These investments include increases in headcount and other employee-related expenditures, as well as technology and infrastructure investments. These investments are expected to increase our capital expenditures and our operating expenses. The anticipated benefits from these investments are uncertain and may not be realized for an extended period of time, if at all. To the extent these investments do not yield the anticipated benefits or do not yield such benefits on our anticipated timeline, this could materially adversely affect our business, financial condition, results of operations, all of which may negatively impact our stock price. Additionally, if we determine that these investments are impaired or that our strategy should change, we may need to recognize significant charges or write-downs, restructure our operations, or reduce our workforce, any of which could harm our business and reputation.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technology, and our future results may be negatively impacted if we cannot remain technologically competitive.</w:t>
      </w:r>
    </w:p>
    <w:p>
      <w:pPr>
        <w:spacing w:after="0" w:line="202" w:lineRule="exact"/>
        <w:rPr>
          <w:sz w:val="20"/>
          <w:szCs w:val="20"/>
          <w:color w:val="auto"/>
        </w:rPr>
      </w:pPr>
    </w:p>
    <w:p>
      <w:pPr>
        <w:ind w:firstLine="509"/>
        <w:spacing w:after="0" w:line="172" w:lineRule="exact"/>
        <w:rPr>
          <w:sz w:val="20"/>
          <w:szCs w:val="20"/>
          <w:color w:val="auto"/>
        </w:rPr>
      </w:pPr>
      <w:r>
        <w:rPr>
          <w:rFonts w:ascii="Times New Roman" w:cs="Times New Roman" w:eastAsia="Times New Roman" w:hAnsi="Times New Roman"/>
          <w:sz w:val="14"/>
          <w:szCs w:val="14"/>
          <w:color w:val="auto"/>
        </w:rPr>
        <w:t>We believe that our success in the past has largely been attributable to our technology, which has taken many years and significant capital expenditures to develop. If technology equivalent to ours becomes more widely available for any reason, our operating results may be negatively impacted. Additionally, adoption or development of similar or more advanced technologies by our competitors, including but not limited to artificial intelligence and related technologies, may require that we devote substantial resources to the development of more advanced technology to remain competitive. Regulators and exchanges may also introduce risk control and other technological requirements on our business that could result in 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We may not be able to anticipate or respond adequately or in a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efficient and competitive manner to technological advancements (including advancements related to 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latency technologies, execution and messaging speeds) or changing industry standards. If any of these risks materialize, it could have a material adverse effect on our business, financial condition, results of operations and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Cryptocurrency and other digital assets are an emerging asset class that carries unique risk, including the risk of financial loss.</w:t>
      </w:r>
    </w:p>
    <w:p>
      <w:pPr>
        <w:spacing w:after="0" w:line="2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value of cryptocurrencies and other digital assets, whether traded in spot, ETP/ETF, or other form, is based in part on market adoption and future expectations, which may or may not be realized. As a result, the prices of cryptocurrencies and other digital assets are highly speculative. Due to this highly volatile nature, prices of cryptocurrencies and other digital assets have been subject to dramatic fluctuations which may impact our balance sheet. For example, if the price of the cryptocurrencies we hold in inventory drops below the price we paid to acquire this inventory, we could incur a loss. Moreover, if our systems fail at managing our inventory or customer orders, we could be left with excess inventory that increases our exposure to the volatility of the price of cryptocurrencies.</w:t>
      </w:r>
    </w:p>
    <w:p>
      <w:pPr>
        <w:spacing w:after="0" w:line="164"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Further, because of its unique electronic exposure, there may be heightened risk of fraud, theft, cyberattacks and other forms of risk in the digital asset space. While the Company employs a variety of controls to mitigate risk of loss and theft in the cryptocurrency positions we maintain, it is possible, for example, for electronic wallet keys to become lost or stolen, for blockchains to experience detrimental changes, such as forks, or for our cryptocurrency exchange and custodian partners to experience cybersecurity incidents. In the event of such events, we could experience financial loss, we could lose customers and clients as a result of reputational damage, and we may face regulatory or legal consequences. Although we maintain insurance,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there can be no assurance that liabilities or losses we may incur will be covered under such policies or that the amount of insurance will be adequate.</w:t>
      </w:r>
    </w:p>
    <w:p>
      <w:pPr>
        <w:spacing w:after="0" w:line="200"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Legal, regulatory and market standards around market conduct, transparency, custody, segregation of client assets, clearing and settlement for these assets, including when traded in spot, ETP/ETF, or other form, are all evolving or unsettled, which can increase risks for us and other market participants. The implementation of the GENIUS Act in the United States and MiCAR in the EU, as well as the adoption of other crypto focused legislation in the United States or other jurisdictions, and other potential new rules or regulations or the application of existing rules or regulations related to cryptocurrency and digital assets could also increase the costs and risks associated with participating in these markets.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Artificial intelligence and machine learning are new and emerging technologies and could ultimately cause harm to our business.</w:t>
      </w:r>
    </w:p>
    <w:p>
      <w:pPr>
        <w:spacing w:after="0" w:line="20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We currently and in the future may leverage internally developed and third-party developed artificial intelligence in certain limited aspects of our business and internal processes. Third parties with whom we interact and on whom we rely for services may also utilize these emerging technologies. We believe these technologies have the potential to improve efficiency, accuracy and scalability of certain business and technological processes but they also present potential risks and liabilities, including the potential for enhanced governmental or regulatory regulation and scrutiny, litigation, compliance issues, ethical concerns, confidentiality or security risks, errors, artificial intelligence hallucinations, as well as other factors that could adversely affect our reputation, business, operating results, and financial condition. There can be no assurance that we will realize any potential improvements or enhancements in our business from these technologies.</w:t>
      </w:r>
    </w:p>
    <w:p>
      <w:pPr>
        <w:spacing w:after="0" w:line="162"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reliance on our computer systems and software could expose us to material financial and reputational harm if any of our computer systems or software were subject to any material disruption or corruption.</w:t>
      </w:r>
    </w:p>
    <w:p>
      <w:pPr>
        <w:spacing w:after="0" w:line="14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or result in other negative circumstances, which could result in material losses or reputational harm. We cannot guarantee that our efforts to maintain competitive computer systems and software will be successful. Our computer systems and software may fail or be subject to bugs or other errors, including human error, resulting in service interruptions or other unintended consequences. If any of these risks materialize, they could have a material adverse effect on our business, financial condition, results of operations and cash flows.</w:t>
      </w:r>
    </w:p>
    <w:p>
      <w:pPr>
        <w:spacing w:after="0" w:line="162"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could be the target of a significant cyber-attack, threat or incident that impairs internal systems, results in adverse consequences to information our system process, store or transmit or causes reputation or monetary damages as a consequence.</w:t>
      </w:r>
    </w:p>
    <w:p>
      <w:pPr>
        <w:spacing w:after="0" w:line="133" w:lineRule="exact"/>
        <w:rPr>
          <w:sz w:val="20"/>
          <w:szCs w:val="20"/>
          <w:color w:val="auto"/>
        </w:rPr>
      </w:pPr>
    </w:p>
    <w:p>
      <w:pPr>
        <w:ind w:firstLine="509"/>
        <w:spacing w:after="0" w:line="160" w:lineRule="exact"/>
        <w:rPr>
          <w:sz w:val="20"/>
          <w:szCs w:val="20"/>
          <w:color w:val="auto"/>
        </w:rPr>
      </w:pPr>
      <w:r>
        <w:rPr>
          <w:rFonts w:ascii="Times New Roman" w:cs="Times New Roman" w:eastAsia="Times New Roman" w:hAnsi="Times New Roman"/>
          <w:sz w:val="14"/>
          <w:szCs w:val="14"/>
          <w:color w:val="auto"/>
        </w:rPr>
        <w:t>Our business relies on technology and automation to perform significant functions within our firm. Because of our reliance on technology, we may be susceptible to various forms of cyber-attacks by third parties or insiders. Like other financial services firms, we and our third-party service providers have been in the past and may in the future be the target of cyber-attacks. Though we take steps to mitigate the various cyber threats and devote significant resources to maintain and update our systems and networks, we may be unable to anticipate attacks or to implement adequate preventative measures. We are not aware of any material losses we have incurred relating to cyber-attacks or other information security breaches, though we may experience such material losses in the future. Our cybersecurity measures may not detect or prevent all attempts to compromise our systems, including denial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service attacks, viruses, malicious software, attacks leveraging artificial intelligence tools or methods, ransomware, break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ins, phishing attacks, social engineering, security breaches or other attacks and similar disruptions that may jeopardize the security of information stored in and transmitted by our systems or that we otherwise maintain or otherwise result in financial losses or damages to our firm. Furthermore, security measures employed by third-party service providers may ultimately prove to be ineffective at countering threats and therefore could result in adverse impacts to our business, operations, or confidential information, depending upon our relationship with and exposure to a given services provider and the nature of the services provided. Although we maintain insurance coverage that may, subject to policy terms and conditions, cover certain aspects of cyber risks, such insurance coverage may be insufficient to cover all losses or may not cover any losses. Breaches of our cybersecurity measures or those of our third-party service providers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ransomware, or other malware being placed in our systems and intellectual property; deletion or modification of client information; or a denial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service or other interruptions to our business operations.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results of operations and cash flows.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harmed by computer and communication systems malfunctions, human error, failures and delays.</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economic or political developments, pandemics, weather events, power loss, utility or internet outages, computer viruses, intentional acts of vandalism, terrorism, geopolitical and/or global conflict, war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results of operations and cash flows.</w:t>
      </w:r>
    </w:p>
    <w:p>
      <w:pPr>
        <w:spacing w:after="0" w:line="168" w:lineRule="exact"/>
        <w:rPr>
          <w:sz w:val="20"/>
          <w:szCs w:val="20"/>
          <w:color w:val="auto"/>
        </w:rPr>
      </w:pPr>
    </w:p>
    <w:p>
      <w:pPr>
        <w:jc w:val="both"/>
        <w:ind w:right="520" w:firstLine="509"/>
        <w:spacing w:after="0" w:line="270" w:lineRule="auto"/>
        <w:rPr>
          <w:sz w:val="20"/>
          <w:szCs w:val="20"/>
          <w:color w:val="auto"/>
        </w:rPr>
      </w:pPr>
      <w:r>
        <w:rPr>
          <w:rFonts w:ascii="Times New Roman" w:cs="Times New Roman" w:eastAsia="Times New Roman" w:hAnsi="Times New Roman"/>
          <w:sz w:val="14"/>
          <w:szCs w:val="14"/>
          <w:color w:val="auto"/>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results of operations and cash flows.</w:t>
      </w:r>
    </w:p>
    <w:p>
      <w:pPr>
        <w:spacing w:after="0" w:line="15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Since the timing and impact of disasters and disruptions are unpredictable, we may not be able to respond to actual events as they occur. Business disruptions can vary in their scope and significance and can affect one or more of our facilities. These disruptions may occur as a result of events that affect only our buildings or systems or those of such third parties, or as a result of events with a broader impact globally, regionally or in the cities where those buildings or systems are located, including, but not limited to, natural disasters, economic or political developments, pandemics, weather events, terrorism, geopolitical and/or global conflict, war and other similar events.</w:t>
      </w:r>
    </w:p>
    <w:p>
      <w:pPr>
        <w:spacing w:after="0" w:line="16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Further, the severity of the disruption can also vary from minimal to severe. 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136"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Failure or poor performance of third</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party software, infrastructure or systems on which we rely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-36195</wp:posOffset>
            </wp:positionV>
            <wp:extent cx="55880"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211"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spacing w:after="0" w:line="130" w:lineRule="exact"/>
        <w:rPr>
          <w:sz w:val="20"/>
          <w:szCs w:val="20"/>
          <w:color w:val="auto"/>
        </w:rPr>
      </w:pPr>
    </w:p>
    <w:p>
      <w:pPr>
        <w:ind w:right="120" w:firstLine="509"/>
        <w:spacing w:after="0" w:line="179" w:lineRule="exact"/>
        <w:rPr>
          <w:sz w:val="20"/>
          <w:szCs w:val="20"/>
          <w:color w:val="auto"/>
        </w:rPr>
      </w:pPr>
      <w:r>
        <w:rPr>
          <w:rFonts w:ascii="Times New Roman" w:cs="Times New Roman" w:eastAsia="Times New Roman" w:hAnsi="Times New Roman"/>
          <w:sz w:val="14"/>
          <w:szCs w:val="14"/>
          <w:color w:val="auto"/>
        </w:rPr>
        <w:t>We also rely on certain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software,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computer systems and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service providers, including clearing systems, exchange systems, alternate trading systems, order routing systems, internet service providers, communications facilities and other facilities. Any interruption in these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The use of open source software may expose us to additional risks.</w:t>
      </w:r>
    </w:p>
    <w:p>
      <w:pPr>
        <w:spacing w:after="0" w:line="202" w:lineRule="exact"/>
        <w:rPr>
          <w:sz w:val="20"/>
          <w:szCs w:val="20"/>
          <w:color w:val="auto"/>
        </w:rPr>
      </w:pPr>
    </w:p>
    <w:p>
      <w:pPr>
        <w:ind w:firstLine="139"/>
        <w:spacing w:after="0" w:line="172" w:lineRule="exact"/>
        <w:rPr>
          <w:sz w:val="20"/>
          <w:szCs w:val="20"/>
          <w:color w:val="auto"/>
        </w:rPr>
      </w:pPr>
      <w:r>
        <w:rPr>
          <w:rFonts w:ascii="Times New Roman" w:cs="Times New Roman" w:eastAsia="Times New Roman" w:hAnsi="Times New Roman"/>
          <w:sz w:val="14"/>
          <w:szCs w:val="14"/>
          <w:color w:val="auto"/>
        </w:rPr>
        <w:t>We use software development tools covered by open source licenses and may incorporate such open source software into our proprietary software from time to time. “Open source software” refers to any code, shareware or other software that is made generally available to the public without requiring payment of fees or royalties and/or that may require disclosure or licensing of any software that incorporates such source code, shareware or other software. Given the nature of open source software, third parties might assert contractual or copyright and other intellectual property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 continue to use such tools and software or to continue to operate certain elements of our technology, (ii) release certain proprietary software code comprising our modifications to such open source software, (iii) make our software available under the terms of an open source license, (iv)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engineer all, or a portion of, that software, any of which could materially and adversely affect our business, financial condition, results of operations and cash flows or (v) be required to pay significant damages as a result of substantiated unauthorized use.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our software or technology, such use may have inadvertently occurred in deploying our proprietary solutions. If a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results of operations and cash flows.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or may be prevented from using intellectual property necessary for our business.</w:t>
      </w:r>
    </w:p>
    <w:p>
      <w:pPr>
        <w:spacing w:after="0" w:line="202" w:lineRule="exact"/>
        <w:rPr>
          <w:sz w:val="20"/>
          <w:szCs w:val="20"/>
          <w:color w:val="auto"/>
        </w:rPr>
      </w:pPr>
    </w:p>
    <w:p>
      <w:pPr>
        <w:ind w:firstLine="509"/>
        <w:spacing w:after="0" w:line="172" w:lineRule="exact"/>
        <w:rPr>
          <w:sz w:val="20"/>
          <w:szCs w:val="20"/>
          <w:color w:val="auto"/>
        </w:rPr>
      </w:pPr>
      <w:r>
        <w:rPr>
          <w:rFonts w:ascii="Times New Roman" w:cs="Times New Roman" w:eastAsia="Times New Roman" w:hAnsi="Times New Roman"/>
          <w:sz w:val="14"/>
          <w:szCs w:val="14"/>
          <w:color w:val="auto"/>
        </w:rPr>
        <w:t>We rely on federal and state law, trade secrets, trademarks, domain names, copyrights and contract law to protect our intellectual property and proprietary technology.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competition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The promulgation of laws or rules which require the maintenance of source code or other intellectual property in a repository subject to certain requirements and/or which enhance or facilitate access to such source code by regulatory authorities could inhibit our ability to protect against unauthorized dissemination or use of our intellectual property. 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337"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At times we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Fluctuations in currency exchange rates could negatively impact our earnings.</w:t>
      </w:r>
    </w:p>
    <w:p>
      <w:pPr>
        <w:spacing w:after="0" w:line="202" w:lineRule="exact"/>
        <w:rPr>
          <w:sz w:val="20"/>
          <w:szCs w:val="20"/>
          <w:color w:val="auto"/>
        </w:rPr>
      </w:pPr>
    </w:p>
    <w:p>
      <w:pPr>
        <w:ind w:right="40" w:firstLine="509"/>
        <w:spacing w:after="0" w:line="172" w:lineRule="exact"/>
        <w:rPr>
          <w:sz w:val="20"/>
          <w:szCs w:val="20"/>
          <w:color w:val="auto"/>
        </w:rPr>
      </w:pPr>
      <w:r>
        <w:rPr>
          <w:rFonts w:ascii="Times New Roman" w:cs="Times New Roman" w:eastAsia="Times New Roman" w:hAnsi="Times New Roman"/>
          <w:sz w:val="14"/>
          <w:szCs w:val="14"/>
          <w:color w:val="auto"/>
        </w:rPr>
        <w:t>A significant portion of our international business is conducted in currencies other than the U.S. dollar, and therefore changes in foreign exchange rates relative to the U.S. dollar have in the past and can in the future affect the value of our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dollar net assets, revenues and expenses. Although we closely monitor potential exposures as a result of these fluctuations in currencies, and where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justified we adopt strategies that are designed to reduce the impact of these fluctuations on our financial performance, including the financing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dollar assets with borrowings in the same currency and the use of various hedging transactions related to net assets, revenues, expenses or cash flows, there can be no assurance that we will be successful in managing our foreign exchange risk.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material losses on foreign exchange transactions entered into on behalf of clients and be exposed to material liquidity risk due to counterparty defaults or errors.</w:t>
      </w:r>
    </w:p>
    <w:p>
      <w:pPr>
        <w:spacing w:after="0" w:line="171" w:lineRule="exact"/>
        <w:rPr>
          <w:sz w:val="20"/>
          <w:szCs w:val="20"/>
          <w:color w:val="auto"/>
        </w:rPr>
      </w:pPr>
    </w:p>
    <w:p>
      <w:pPr>
        <w:ind w:right="60" w:firstLine="509"/>
        <w:spacing w:after="0" w:line="182" w:lineRule="exact"/>
        <w:rPr>
          <w:sz w:val="20"/>
          <w:szCs w:val="20"/>
          <w:color w:val="auto"/>
        </w:rPr>
      </w:pPr>
      <w:r>
        <w:rPr>
          <w:rFonts w:ascii="Times New Roman" w:cs="Times New Roman" w:eastAsia="Times New Roman" w:hAnsi="Times New Roman"/>
          <w:sz w:val="14"/>
          <w:szCs w:val="14"/>
          <w:color w:val="auto"/>
        </w:rPr>
        <w:t>We enable clients to settle cross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border equity transactions in their local currency through the use of foreign exchange contracts. These arrangements typically involve the delivery of securities or cash to a counterparty that is not processed through a central clearing facility in exchange for a simultaneous receipt of cash or securities. We may operate as either a principal or agent in these transactions. As a result, a default by one of our counterparties prior to the settlement of their obligation could materially impact our liquidity and have a material adverse effect on our financial condition and results of operations.</w:t>
      </w:r>
    </w:p>
    <w:p>
      <w:pPr>
        <w:spacing w:after="0" w:line="177"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In addition, we are exposed to operational risk. Employee and technological errors in executing, recording or reporting foreign exchange transactions may result in material losses due to the large size of such transactions and the underlying market risk in correcting such errors.</w:t>
      </w:r>
    </w:p>
    <w:p>
      <w:pPr>
        <w:spacing w:after="0" w:line="143" w:lineRule="exact"/>
        <w:rPr>
          <w:sz w:val="20"/>
          <w:szCs w:val="20"/>
          <w:color w:val="auto"/>
        </w:rPr>
      </w:pPr>
    </w:p>
    <w:p>
      <w:pPr>
        <w:ind w:right="6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experience risks associated with future growth or expansion of our operations or acquisitions, strategic investments or dispositions of businesses, and we may never realize the anticipated benefits of such activities.</w:t>
      </w:r>
    </w:p>
    <w:p>
      <w:pPr>
        <w:spacing w:after="0" w:line="143" w:lineRule="exact"/>
        <w:rPr>
          <w:sz w:val="20"/>
          <w:szCs w:val="20"/>
          <w:color w:val="auto"/>
        </w:rPr>
      </w:pPr>
    </w:p>
    <w:p>
      <w:pPr>
        <w:ind w:firstLine="509"/>
        <w:spacing w:after="0" w:line="172" w:lineRule="exact"/>
        <w:rPr>
          <w:sz w:val="20"/>
          <w:szCs w:val="20"/>
          <w:color w:val="auto"/>
        </w:rPr>
      </w:pPr>
      <w:r>
        <w:rPr>
          <w:rFonts w:ascii="Times New Roman" w:cs="Times New Roman" w:eastAsia="Times New Roman" w:hAnsi="Times New Roman"/>
          <w:sz w:val="14"/>
          <w:szCs w:val="14"/>
          <w:color w:val="auto"/>
        </w:rPr>
        <w:t>As a part of our business strategy, we may make acquisitions or significant investments in and/or disposals of businesses. Any such future acquisitions, investments and/or dispositions would be accompanied by risks such as assessment of values for acquired businesses, intangible assets and technologies,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 employees, contractors, suppliers and customers as a result of the integration of new management personnel and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saving initiatives. We cannot guarantee that we will be able to successfully integrate any company or business that we might acquire in the future, and our failure to do so could harm our current business.</w:t>
      </w:r>
    </w:p>
    <w:p>
      <w:pPr>
        <w:spacing w:after="0" w:line="169"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4"/>
          <w:szCs w:val="14"/>
          <w:color w:val="auto"/>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 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results of operations and cash flows. Finally, strategic investments may involve additional risks associated with holding a minority or noncontrolling position in an illiquid business or asset, including losses on investment along with failures to realize anticipated strategic benefits associated with an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efforts to sell shares of our common stock or raise additional capital may be inhibited by regulations.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As certain of our subsidiaries are members of FINRA and other SROs, we are subject to certain regulations regarding changes in ownership or control and material changes in operations. For example, FINRA Rule 1017 generally provides that FINRA approval must be obtained in connection with certain change of ownership or control transactions, such as a transaction that results in a single entity or person owning 25% or more our equity. Similarly, VFIL, VETL and VIUK, our regulated subsidiaries in Ireland and the U.K., are subject to change in control regulations promulgated by the CBI and/or the FCA, and other registered or regulated foreign subsidiaries may be subject to similar regulations in applicable jurisdictions. As a result of these regulations, our future efforts to sell shares of our common stock or raise additional capital may be delayed or prohibited. We may be subject to similar restrictions in other jurisdictions in which we operate.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w:t>
      </w:r>
    </w:p>
    <w:p>
      <w:pPr>
        <w:spacing w:after="0" w:line="133"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Our performance is substantially dependent on the performance of our senior management, including Aaron Simons, our Chief Executive Officer, Joseph Molluso, our Co-President and Co-Chief Operating Officer, Brett Fairclough, our Co-President and Co-Chief Operating Officer, Cindy Lee, our Chief Financial Officer and Stephen Cavoli, our Executive Vice President, Global Head of Execution Services. In connection with and subsequent to the IPO, we have entered into employment and other related agreements with certain members of our senior management team that restrict their ability to compete with us should they decide to leave our Company. Even though we have entered into these agreements, we cannot be sure that any member of our senior management will remain with us or that they will not compete with us in the future. The loss of any member of our senior management team could impair our ability to execute our business plan and growth strategy and have a negative impact on our revenues, in addition to potentially causing employee morale problems and/or the loss of key employees.</w:t>
      </w:r>
    </w:p>
    <w:p>
      <w:pPr>
        <w:spacing w:after="0" w:line="17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increased risks or business disruption, incur losses or suffer reputational harm in relation to or as a result of climate change.</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Climate change could manifest as a financial risk to us either through changes in the physical climate or from the process of transitioning to a low-carbon economy, including changes in climate policy or in the regulation of financial institutions with respect to risks posed by climate change. Potential events or disruptions of this nature include significant rainfall, flooding, increased frequency or intensity of wildfires, prolonged drought, rising sea levels and rising heat index, any of which could result in operational risk to our Company or could cause broader market wide disruptions. Additionally, our reputation and client relationships may be damaged as a result of our involvement, or our clients’ involvement, in certain industries or projects associated with causing or exacerbating climate change, as well as any decisions we make to continue to conduct or change our activities in response to considerations relating to climate change. New regulations or guidance relating to climate change, as well as the perspectives of shareholders, employees and other stakeholders regarding climate change, may affect whether and on what terms and conditions we engage in certain activities or offer certain products.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Regulatory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and legal uncertainties could harm our business.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Securities and derivatives businesses are heavily regulated. Firms in the financial services industry have been subject to an increasingly regulated environment over recent years, and penalties and fines sought by regulatory authorities have increased considerably. In addition, following recent congressional, regulatory and news media attention to U.S. equities market structure, the regulatory and enforcement environment has created uncertainty with respect to various types of transactions that historically had been entered into by financial services firms and that were generally believed to be permissible and appropriate. The retail trading environment in the U.S., relationships between broker-dealers and market making firms, short selling and “high frequency” and other forms of low latency or electronic trading strategies have continued to be the focus of extensive regulatory scrutiny by federal, state and foreign regulators and SROs, and such scrutiny may continue. Our market making and trading activities are characterized by substantial volumes, an emphasis on technology and certain other characteristics that are also commonly associated with high frequency trading and we engage in direct-to-client market making services across multiple asset classes primarily to sell-side clients including global, national and regional broker-dealers and banks and in the context of our market making and trading activities, we are party to various remuneration and rebate arrangements, including payment for order flow, profit-sharing relationships, and exchange fee and rebate structures.</w:t>
      </w:r>
    </w:p>
    <w:p>
      <w:pPr>
        <w:spacing w:after="0" w:line="15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Additionally, the regulatory and legal status and classification of various cryptocurrencies and other digital assets is subject to substantial uncertainty. For example, a given digital asset could be considered a security, a commodity or currency, 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19" w:right="339" w:bottom="1440" w:gutter="0" w:footer="0" w:header="0"/>
        </w:sectPr>
      </w:pPr>
    </w:p>
    <w:bookmarkStart w:id="28" w:name="page29"/>
    <w:bookmarkEnd w:id="28"/>
    <w:p>
      <w:pPr>
        <w:ind w:right="140"/>
        <w:spacing w:after="0" w:line="248" w:lineRule="auto"/>
        <w:rPr>
          <w:sz w:val="20"/>
          <w:szCs w:val="20"/>
          <w:color w:val="auto"/>
        </w:rPr>
      </w:pPr>
      <w:r>
        <w:rPr>
          <w:rFonts w:ascii="Times New Roman" w:cs="Times New Roman" w:eastAsia="Times New Roman" w:hAnsi="Times New Roman"/>
          <w:sz w:val="14"/>
          <w:szCs w:val="14"/>
          <w:color w:val="auto"/>
        </w:rPr>
        <w:t>some combination thereof, and therefore may be subject to rules and regulations promulgated by federal regulators, including but not limited to the SEC, the CFTC, the Department of Treasury, in addition to state regulators. Changes in this regulatory environment, including changing interpretations and the implementation of new or varying regulatory requirements by the government, may significantly affect or change the manner in which we currently conduct some aspects of our business or may significantly impact or limit our ability to increase our participation or could otherwise expose us to potential liability or losses.</w:t>
      </w:r>
    </w:p>
    <w:p>
      <w:pPr>
        <w:spacing w:after="0" w:line="162" w:lineRule="exact"/>
        <w:rPr>
          <w:sz w:val="20"/>
          <w:szCs w:val="20"/>
          <w:color w:val="auto"/>
        </w:rPr>
      </w:pPr>
    </w:p>
    <w:p>
      <w:pPr>
        <w:ind w:firstLine="509"/>
        <w:spacing w:after="0" w:line="160" w:lineRule="exact"/>
        <w:rPr>
          <w:sz w:val="20"/>
          <w:szCs w:val="20"/>
          <w:color w:val="auto"/>
        </w:rPr>
      </w:pPr>
      <w:r>
        <w:rPr>
          <w:rFonts w:ascii="Times New Roman" w:cs="Times New Roman" w:eastAsia="Times New Roman" w:hAnsi="Times New Roman"/>
          <w:sz w:val="14"/>
          <w:szCs w:val="14"/>
          <w:color w:val="auto"/>
        </w:rPr>
        <w:t>In addition, the financial services industry is heavily regulated in many foreign countries. The varying compliance requirements of these different regulatory jurisdictions and other factors may limit our ability to conduct business or expand internationally. For example, MiFID, which was implemented in November 2007, has been replaced by MiFID II/MiFIR, which was adopted by the European Parliament on April 15, 2014 and by the Council on May 13, 2014, entered into force on July 2, 2014, and became effective on January 3, 2018. MiFID II requires certain types of firms, including VFIL, to post firm quotes at competitive prices and supplements previous requirements with regard to investment firms’ risk controls related to the safe operation of electronic systems. MiFID II also imposed additional requirements on market structure, such as the introduction of a harmonized tick size regime, the introduction of trading venues known as Organized Trading Facilities, and the promulgation of a bilateral trading arrangement called the Systematic Internaliser regime, new open access provisions, market making requirements and various other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and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trade risk management requirements. The MiFID II regime has been under review, with European Union authorities making further changes to the regime. On February 28, 2024, the MiFID Amending Directive (Directive (EU) 2024/790) and the MiFIR Amending Regulation (Regulation (EU) 2024/791) were each adopted. The two acts entered into force on March 28, 2024, with the MiFIR Amending Regulation applying from that date, and the MiFID Amending Directive requiring adoption by Member States by September 29, 2025. These changes at the ‘Level 1’ legislative level include a substantial number of ‘Level 2’ measures, including by means of regulatory technical standards and implementing technical standards, several of which remain outstanding. Each of these and other proposals may impose technological and compliance costs on us. Any of these laws, rules or regulations, as well as changes in legislation or regulation and changes in market customs and practices could have a material adverse effect on our business, financial condition, results of operations and cash flows. These risks may be enhanced by recent scrutiny of electronic trading and market structure from regulators, lawmakers and the financial news media.</w:t>
      </w:r>
    </w:p>
    <w:p>
      <w:pPr>
        <w:spacing w:after="0" w:line="17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In addition, we maintain borrowing facilities with banks, prime brokers and Futures Commission Merchants (“FCMs”), and we obtain uncommitted margin financing from our prime brokers and FCMs, which are in many cases affiliated with banks. In response to the 2008 financial crisis, the Basel Committee on Banking Supervision issued a new, more stringent capital and liquidity framework known as Basel III, which national banking regulators have been implementing in the various jurisdictions in which our lenders may be incorporated. In the E.U., on December 24, 2019, a Regulation on the prudential requirements for Investment Firms (“IFR”) and a Directive on the prudential supervision of Investments Firms (“IFD”) entered into force. The IFR and IFD introduced new prudential requirements for investment firms, classifying them into different categories depending on the Company’s balance-sheet size and types of activity. The main provisions of the IFR and IFD were applicable from the end of June 2021. Article 60 of the IFR and Article 66 of the IFD mandate that the European Commission submit a report to the Council and the Parliament regarding multiple aspects of the IFR and IFD, which may include a legislative proposal to amend the prudential framework applicable to investment firms. On October 15, 2025, in response to the European Commission’s Call for Advice on the IFR and IFD, the European Banking Authority (“EBA”) and ESMA issued their technical advice proposing certain changes. Developments in prudential rules could in certain cases lead to more stringent capital and liquidity requirements, which could also result in certain of our lenders revising the terms of our borrowing facilities or margin financing arrangements, reducing the amount of financing they provide, or ceasing to provide us financing, each of which could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Pending, proposed and other potential changes in laws and rules may adversely impact our business.</w:t>
      </w:r>
    </w:p>
    <w:p>
      <w:pPr>
        <w:spacing w:after="0" w:line="191" w:lineRule="exact"/>
        <w:rPr>
          <w:sz w:val="20"/>
          <w:szCs w:val="20"/>
          <w:color w:val="auto"/>
        </w:rPr>
      </w:pPr>
    </w:p>
    <w:p>
      <w:pPr>
        <w:ind w:firstLine="509"/>
        <w:spacing w:after="0" w:line="160" w:lineRule="exact"/>
        <w:rPr>
          <w:sz w:val="20"/>
          <w:szCs w:val="20"/>
          <w:color w:val="auto"/>
        </w:rPr>
      </w:pPr>
      <w:r>
        <w:rPr>
          <w:rFonts w:ascii="Times New Roman" w:cs="Times New Roman" w:eastAsia="Times New Roman" w:hAnsi="Times New Roman"/>
          <w:sz w:val="14"/>
          <w:szCs w:val="14"/>
          <w:color w:val="auto"/>
        </w:rPr>
        <w:t>Certain market participants, SROs, government officials and regulators have requested that the U.S. Congress, the SEC, and the CFTC propose and adopt additional laws and rules, including rules relating to payment for order flow, off-exchange trading, additional registration requirements, restrictions on co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location, order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execution ratios, minimum quote life for orders, incremental messaging fees to be imposed by exchanges for “excessive” order placements and/or cancellations, further transaction taxes, tick sizes, changes to maker/taker rebates programs, and other market structure proposals. For example, the prior SEC administration proposed several rule changes focused on equity market structure reform, some of which have been adopted. Specifically, the SEC under the previous administration (i) adopted rule amendments to minimum pricing increments under Rule 612 of Regulation NMS, access fee caps under Rule 610 of Regulation NMS, acceleration of the implementation of certain Market Data Infrastructure Rules, and an amendment to the odd-lot information definition adopted under the MDI rules (collectively referred to as the “tick size, access fees and infrastructure rule proposals”) which had a compliance date commencing in November 2025 which has now been postponed to November 2026, (ii) adopted amendments to Rule 605 of Regulation NMS, which had an initial compliance date on or about December 15, 2025 that has now been postponed until August 1, 2026 , (iii) approved a funding model submitted by several exchanges in relation to the Consolidated Audit Trail (CAT) which provides for fee collection commencing November 2024 but was vacated by the 11th Circuit Court of Appeals in July 2025, and</w:t>
      </w:r>
    </w:p>
    <w:p>
      <w:pPr>
        <w:spacing w:after="0" w:line="1" w:lineRule="exact"/>
        <w:rPr>
          <w:sz w:val="20"/>
          <w:szCs w:val="20"/>
          <w:color w:val="auto"/>
        </w:rPr>
      </w:pPr>
    </w:p>
    <w:p>
      <w:pPr>
        <w:ind w:right="80" w:firstLine="5"/>
        <w:spacing w:after="0" w:line="247" w:lineRule="auto"/>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adopted rules to amend the definitions of “dealer” and “government securities dealer” within the Exchange Act, which would have broadened the scope of these registrant categories, though this rule was recently vacated by the United States District Court. Regulators may propose other market structure changes, particularly considering the continued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29" w:name="page30"/>
    <w:bookmarkEnd w:id="29"/>
    <w:p>
      <w:pPr>
        <w:ind w:right="60"/>
        <w:spacing w:after="0" w:line="254" w:lineRule="auto"/>
        <w:rPr>
          <w:sz w:val="20"/>
          <w:szCs w:val="20"/>
          <w:color w:val="auto"/>
        </w:rPr>
      </w:pPr>
      <w:r>
        <w:rPr>
          <w:rFonts w:ascii="Times New Roman" w:cs="Times New Roman" w:eastAsia="Times New Roman" w:hAnsi="Times New Roman"/>
          <w:sz w:val="14"/>
          <w:szCs w:val="14"/>
          <w:color w:val="auto"/>
        </w:rPr>
        <w:t>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ATSs and off-exchange trading more generally, high frequency trading, short selling, market fragmentation, colocation, and access to market data feeds.</w:t>
      </w:r>
    </w:p>
    <w:p>
      <w:pPr>
        <w:spacing w:after="0" w:line="157"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color w:val="auto"/>
        </w:rPr>
        <w:t>Any or all of these proposals or additional proposals may be adopted by the SEC, CFTC or other U.S. or foreign legislative or regulatory bodies, and news media attention to electronic trading and market structure could increase the likelihood of adoption. These potential market structure and regulatory changes could cause a change in the manner in which we make markets, limit, restrict or otherwise adversely affect our ability to interact with certain order flow, impose additional costs and expenses on our business or otherwise have a material adverse effect on our business, financial condition, results of operations and cash flows.</w:t>
      </w:r>
    </w:p>
    <w:p>
      <w:pPr>
        <w:spacing w:after="0" w:line="13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Non</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compliance with applicable laws or regulatory requirements could subject us to sanctions and could negatively impact our reputation, prospects, revenues and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-36195</wp:posOffset>
            </wp:positionV>
            <wp:extent cx="55880"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21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Chicago Mercantile Exchange, the Intercontinental Exchange, the CFTC, the NFA Exchanges and the various state securities regulators; in the European Union, ESMA; in Ireland, the CBI; in Switzerland, the Swiss Financial Market Supervisory Authority; in France, the Autorité des Marchés Financiers (“AMF”); in the United Kingdom, the FCA; in Hong Kong, the SFC; in Australia, the ASIC; in Canada, the CIRO and various Canadian provincial securities commissions; in Singapore, the MAS; in India, the Securities and Exchange Board of India; and in Japan, the Financial Services Agency and the Japan Securities Dealers Association. Our mode of operation and profitability may be directly affected by additional legislation and changes in rules promulgated by various domestic and foreign government agencies and SROs that oversee our businesses, as well as by changes in the interpretation or enforcement of existing laws and rules, including the potential imposition of additional capital and margin requirements and/or transaction taxes. While we endeavor to deliver required annual filings in all jurisdictions in a timely manner, we cannot guarantee that we will meet every applicable filing deadline globally. Noncompliance with applicable laws or regulations could result in sanctions being levied against us, including fines, penalties, judgments, disgorgement, restitution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spacing w:after="0" w:line="138" w:lineRule="exact"/>
        <w:rPr>
          <w:sz w:val="20"/>
          <w:szCs w:val="20"/>
          <w:color w:val="auto"/>
        </w:rPr>
      </w:pPr>
    </w:p>
    <w:p>
      <w:pPr>
        <w:ind w:firstLine="509"/>
        <w:spacing w:after="0" w:line="174" w:lineRule="exact"/>
        <w:rPr>
          <w:sz w:val="20"/>
          <w:szCs w:val="20"/>
          <w:color w:val="auto"/>
        </w:rPr>
      </w:pPr>
      <w:r>
        <w:rPr>
          <w:rFonts w:ascii="Times New Roman" w:cs="Times New Roman" w:eastAsia="Times New Roman" w:hAnsi="Times New Roman"/>
          <w:sz w:val="14"/>
          <w:szCs w:val="14"/>
          <w:color w:val="auto"/>
        </w:rPr>
        <w:t>Domestic and foreign stock exchanges, other SROs and state and foreign securities commissions can censure, fine, impose undertakings, issue cease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desist orders and suspend or expel a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or other market participant or any of its officers or employees. Our ability to comply with all applicable laws and rules is largely dependent on our internal systems to endeavor to ensure compliance, as well as our ability to attract and retain qualified compliance personnel. We could be subject to disciplinary or other actions in the future due to claimed noncompliance, which could have a material adverse effect on our business, financial condition, results of operations and cash flows. We have been, are currently, and may in the future be, the subject of one or more regulatory or SRO enforcement actions, including but not limited to targeted and routine regulatory inquiries and investigations involving Best Execution, Regulation NMS, Regulation SHO, Regulation SCI, market access rules, capital requirements and other domestic and foreign securities rules and regulations. We and other broker-dealers and trading firms have also been the subject of requests for information and documents from the SEC and other regulators. We have cooperated and complied with these requests for information and documents. Our business or reputation could be negatively impacted if it were determined that disciplinary or other enforcement actions were required.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0" w:name="page31"/>
    <w:bookmarkEnd w:id="30"/>
    <w:p>
      <w:pPr>
        <w:ind w:right="20" w:firstLine="509"/>
        <w:spacing w:after="0" w:line="177" w:lineRule="exact"/>
        <w:rPr>
          <w:sz w:val="20"/>
          <w:szCs w:val="20"/>
          <w:color w:val="auto"/>
        </w:rPr>
      </w:pPr>
      <w:r>
        <w:rPr>
          <w:rFonts w:ascii="Times New Roman" w:cs="Times New Roman" w:eastAsia="Times New Roman" w:hAnsi="Times New Roman"/>
          <w:sz w:val="14"/>
          <w:szCs w:val="14"/>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allowable assets.</w:t>
      </w:r>
    </w:p>
    <w:p>
      <w:pPr>
        <w:spacing w:after="0" w:line="15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Failure to maintain the required minimum capital may subject our regulated subsidiaries to a fine, the requirement to cease conducting business, suspension, revocation of registration or expulsion by the applicable regulatory authorities, reputational harm,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Company’s net capital below required levels. Similar issues and risks arise in connection with the capital adequacy requirements of foreign regulators.</w:t>
      </w:r>
    </w:p>
    <w:p>
      <w:pPr>
        <w:spacing w:after="0" w:line="164" w:lineRule="exact"/>
        <w:rPr>
          <w:sz w:val="20"/>
          <w:szCs w:val="20"/>
          <w:color w:val="auto"/>
        </w:rPr>
      </w:pPr>
    </w:p>
    <w:p>
      <w:pPr>
        <w:ind w:right="160" w:firstLine="509"/>
        <w:spacing w:after="0" w:line="174" w:lineRule="exact"/>
        <w:rPr>
          <w:sz w:val="20"/>
          <w:szCs w:val="20"/>
          <w:color w:val="auto"/>
        </w:rPr>
      </w:pPr>
      <w:r>
        <w:rPr>
          <w:rFonts w:ascii="Times New Roman" w:cs="Times New Roman" w:eastAsia="Times New Roman" w:hAnsi="Times New Roman"/>
          <w:sz w:val="14"/>
          <w:szCs w:val="14"/>
          <w:color w:val="auto"/>
        </w:rPr>
        <w:t>A change in the net capital rules, the imposition of new rules or any unusually large charges against net capital could limit our operations that require the intensive use of capital and also could restrict our ability to withdraw capital from our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subsidiaries. A significant operating loss or any unusually large charge against net capital could negatively impact our ability to expand or even maintain our present levels of business. Similar issues and risks arise in connection with the capital adequacy requirements of foreign regulators. Any of these results could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relating to litigation and potential securities law liability.</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We are exposed to substantial risks of liability under federal and state securities laws and other federal and state laws and court decisions, as well as rules and regulations promulgated by the SEC, the CFTC, state securities regulators, SROs and foreign regulatory agencies. These risks may be enhanced by recent scrutiny of electronic trading and market structure from regulators, lawmakers and the financial news media. We are also subject to the risk of litigation and claims that may be without merit. At present and from time to time, we, our past and present officers, directors and employees are and may be named in legal actions, regulatory investigations and proceedings, arbitrations and administrative claims and may be subject to claims alleging the violations of laws, rules and regulations, some of which may ultimately result in the payment of fines, awards, judgments and settlements. We could incur significant legal expenses in defending ourselves against and resolving lawsuits or claims even if we believe them to be meritless. An adverse resolution of any current or future lawsuits or claims against us could result in a negative perception of our Company and cause the market price of our common stock to decline or otherwise have a material adverse effect on our business, financial condition, results of operations and cash flows.</w:t>
      </w:r>
    </w:p>
    <w:p>
      <w:pPr>
        <w:spacing w:after="0" w:line="16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Proposed legislation in the European Union, the U.S. and other jurisdictions that would impose taxes on certain financial transactions could have a material adverse effect on our business and financial results.</w:t>
      </w:r>
    </w:p>
    <w:p>
      <w:pPr>
        <w:spacing w:after="0" w:line="14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On September 28, 2011, the former president of the European Commission officially presented a plan to create a new financial transactions tax which in February 2013 was formally presented for consideration by the European Commission under an enhanced cooperation procedure among 11 European Union Member States (Belgium, Germany, Estonia, Greece, Spain, France, Italy, Austria, Portugal, Slovenia and Slovakia) for the purposes of a financial transaction tax among those Member States (the “EU Financial Transaction Tax”). The EU Financial Transaction Tax was initially intended to be implemented within those 11 European Union Member States in January 2014. In 2016, Estonia, one of the original members, withdrew its support for the proposal. As of December 31, 2025, such tax has not yet been implemented. On October 15, 2020, the Spanish Government published Law 5/2020 on the Spanish Financial Transaction Tax (“Spanish FTT”). The Spanish FTT constitutes a tax to be applied to acquisitions of equity shares in Spanish companies having a market capitalization greater than EUR1bn (as of 1st December the previous year), that are admitted to trading on a Spanish market or a market based in another E.U. member state. The Spanish FTT was applied to transactions from trade date of January 14, 2020, although it does contain certain exemptions, including in relation to market making activity.</w:t>
      </w:r>
    </w:p>
    <w:p>
      <w:pPr>
        <w:spacing w:after="0" w:line="170"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 2013, former U.S. Representative Peter DeFazio and former Senator Thomas Harkin introduced proposed legislation, a bill entitled the “Wall Street Trading and Speculators Tax Act,” which would have, subject to certain exceptions, imposed an excise tax on the purchase of a security, including equities, bonds, debentures, other debt and interests in derivative financial instruments, if the purchase occurred or was cleared on a trading facility in the U.S. and the purchaser or seller is a</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31" w:name="page32"/>
    <w:bookmarkEnd w:id="31"/>
    <w:p>
      <w:pPr>
        <w:ind w:right="80"/>
        <w:spacing w:after="0" w:line="264" w:lineRule="auto"/>
        <w:rPr>
          <w:sz w:val="20"/>
          <w:szCs w:val="20"/>
          <w:color w:val="auto"/>
        </w:rPr>
      </w:pPr>
      <w:r>
        <w:rPr>
          <w:rFonts w:ascii="Times New Roman" w:cs="Times New Roman" w:eastAsia="Times New Roman" w:hAnsi="Times New Roman"/>
          <w:sz w:val="14"/>
          <w:szCs w:val="14"/>
          <w:color w:val="auto"/>
        </w:rPr>
        <w:t>U.S. person. More recently, in late 2018 and 2019 U.S. legislators, including U.S. Senators Kirsten Gillibrand and Brian Schatz, announced proposals or plans that include a financial transaction fee. At the state level, the state of New Jersey considered a bill in the state legislature providing for a financial transaction tax on trades processed on any server located in New Jersey, with other states, including New York, discussing similar measures. Discussions in New York have included a proposed bill which would reestablish a stock transfer tax by repealing a rebate previously implemented and applied to such tax since 1981. Additional legislation may be proposed at the federal and state levels from time to time.</w:t>
      </w:r>
    </w:p>
    <w:p>
      <w:pPr>
        <w:spacing w:after="0" w:line="16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that is broad enough to cover our activities or (iii) 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financial condition, results of operations and cash flows could suffer a material adverse effect, and could be impacted to a greater degree than other market participants.</w:t>
      </w:r>
    </w:p>
    <w:p>
      <w:pPr>
        <w:spacing w:after="0" w:line="165"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exposed to risks associated with our international operations and expansion and failure to comply with laws and regulations applicable to our international operations may increase costs, reduce profits, limit growth or subject us to liability.</w:t>
      </w:r>
    </w:p>
    <w:p>
      <w:pPr>
        <w:spacing w:after="0" w:line="112" w:lineRule="exact"/>
        <w:rPr>
          <w:sz w:val="20"/>
          <w:szCs w:val="20"/>
          <w:color w:val="auto"/>
        </w:rPr>
      </w:pPr>
    </w:p>
    <w:p>
      <w:pPr>
        <w:ind w:firstLine="509"/>
        <w:spacing w:after="0" w:line="175" w:lineRule="exact"/>
        <w:rPr>
          <w:sz w:val="20"/>
          <w:szCs w:val="20"/>
          <w:color w:val="auto"/>
        </w:rPr>
      </w:pPr>
      <w:r>
        <w:rPr>
          <w:rFonts w:ascii="Times New Roman" w:cs="Times New Roman" w:eastAsia="Times New Roman" w:hAnsi="Times New Roman"/>
          <w:sz w:val="14"/>
          <w:szCs w:val="14"/>
          <w:color w:val="auto"/>
        </w:rPr>
        <w:t>We are exposed to risks and uncertainties inherent in doing business in international markets, particularly in the heavily regulated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earnings in a tax efficient manner and difficulties in staffing and managing foreign operations, including reliance on local experts. Such restrictions generally include those by imposed by the Foreign Corrupt Practices Act (the “FCPA”) and trade sanctions administered by the Office of Foreign Assets Control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if we fail to comply with these laws and regulations, we could be exposed to claims for damages, financial penalties, reputational harm, incarceration of employees and restrictions on our operations and cash flows.</w:t>
      </w:r>
    </w:p>
    <w:p>
      <w:pPr>
        <w:spacing w:after="0" w:line="180"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In addition, the varying compliance requirements of these different regulatory jurisdictions and other factors may limit our ability to successfully conduct or expand our business internationally and may increase our costs of investment. Expansion into international locations involves substantial operational and execution risk. We may not be able to manage these costs or risks effectively.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Brexit continues to pose a risk of negatively impacting the global economy, financial markets and our business.</w:t>
      </w:r>
    </w:p>
    <w:p>
      <w:pPr>
        <w:spacing w:after="0" w:line="191"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color w:val="auto"/>
        </w:rPr>
        <w:t>Following the UK’s withdrawal of its membership from the EU in 2020, an event commonly referred to as “Brexit” and the conclusion of a subsequent transition period in 2021, U.K. investment firms which had previously used passporting permissions under MiFID II to provide services to clients in the E.U., ceased to subject to the E.U.’s MiFID II regime, and E.U. investment firms could no longer automatically access U.K. markets on the basis of MiFID passporting rights. Following Brexit, Virtu services its UK client-base via various means, including a UK authorized third-country branch of VETL, and by its UK investment firm, VIUK, which is authorized and regulated by the FCA with permission to operate an MTF.</w:t>
      </w:r>
    </w:p>
    <w:p>
      <w:pPr>
        <w:spacing w:after="0" w:line="162" w:lineRule="exact"/>
        <w:rPr>
          <w:sz w:val="20"/>
          <w:szCs w:val="20"/>
          <w:color w:val="auto"/>
        </w:rPr>
      </w:pPr>
    </w:p>
    <w:p>
      <w:pPr>
        <w:ind w:right="100" w:firstLine="509"/>
        <w:spacing w:after="0" w:line="241" w:lineRule="auto"/>
        <w:rPr>
          <w:sz w:val="20"/>
          <w:szCs w:val="20"/>
          <w:color w:val="auto"/>
        </w:rPr>
      </w:pPr>
      <w:r>
        <w:rPr>
          <w:rFonts w:ascii="Times New Roman" w:cs="Times New Roman" w:eastAsia="Times New Roman" w:hAnsi="Times New Roman"/>
          <w:sz w:val="14"/>
          <w:szCs w:val="14"/>
          <w:color w:val="auto"/>
        </w:rPr>
        <w:t>Poor future relations between the U.K. and E.U., however, could adversely affect European or worldwide political, fiscal, regulatory, economic or market conditions and could contribute to instability in global political institutions, regulatory agencies and financial markets. Disruptions and uncertainty caused by these events may also cause our clients to closely monitor their costs and reduce their spending budget on our services. Potential regulatory divergence between the U.K. and E.U. could cause disruption to our business in EMEA, through incurring implementation costs and/or other operational uplift required to comply with the distinct legal regimes. Any of these effects of the U.K.’s departure from the E.U., and others we cannot anticipate or that may evolve over time,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In connection with our historical acquisitions, the Company is subject to potential liabilities that could materially and adversely affect our business.</w:t>
      </w:r>
    </w:p>
    <w:p>
      <w:pPr>
        <w:spacing w:after="0" w:line="191"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In connection with the Acquisition of KCG and the ITG Acquisition, we assumed potential liabilities, indemnification obligations, and other risks relating to KCG’s and ITG’s business, including but not limited to those liabilities and risks arising from or related to pending, threatened or potential litigation or regulatory matters. In some instances, these matters may ultimately result in a disciplinary action and/or a civil or administrative action, penalties, fines, judgments, censures and settlements. To the extent we have not identified such liabilities or miscalculated their potential financial impact, these liabilities could have a material adverse effect on our business, prospects, results of operations, financial condition and/or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Organization and Structure</w:t>
      </w:r>
    </w:p>
    <w:p>
      <w:pPr>
        <w:spacing w:after="0" w:line="200"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holding company and our principal asset is our 57.2% of equity interest in Virtu Financial, and we are accordingly dependent upon distributions from Virtu Financial to pay dividends, if any, taxes and other expenses.</w:t>
      </w:r>
    </w:p>
    <w:p>
      <w:pPr>
        <w:spacing w:after="0" w:line="14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We are a holding company and our principal asset is our direct and indirect ownership of 57.2% of the Virtu Financial Units as of December 31, 2025. We have no independent means of generating revenue. As the sole managing member of Virtu Financial, we cause Virtu Financial to make distributions to its equity holders, including the Founder Post-IPO Member, Virtu Employee Holdco, certain current and former members of management of the Company and their affiliates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entered into as part of the Reorganization Transactions, but we are limited in our ability to cause Virtu Financial to make these and other distributions to us (including for purposes of paying corporate and other overhead expenses and dividends) under our Credit Agreement governing our $1,545.0 million in aggregate principal amount of Senior Secured First Lien Term B-2 Loans due 2031 (“First Lien Term B-2 Loan Facility”). In addition, certain laws and regulations may result in restrictions on Virtu Financial’s ability to make distributions to its equity holders (including us), or the ability of its subsidiaries to make distributions to it. These include:</w:t>
      </w:r>
    </w:p>
    <w:p>
      <w:pPr>
        <w:spacing w:after="0" w:line="139" w:lineRule="exact"/>
        <w:rPr>
          <w:sz w:val="20"/>
          <w:szCs w:val="20"/>
          <w:color w:val="auto"/>
        </w:rPr>
      </w:pPr>
    </w:p>
    <w:p>
      <w:pPr>
        <w:ind w:left="760" w:hanging="246"/>
        <w:spacing w:after="0" w:line="161" w:lineRule="exact"/>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 Uniform Net Capital Rule (Rule 15c3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which requires Virtu Financial’s registered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subsidiary to maintain specified levels of net capital;</w:t>
      </w:r>
    </w:p>
    <w:p>
      <w:pPr>
        <w:spacing w:after="0" w:line="56" w:lineRule="exact"/>
        <w:rPr>
          <w:rFonts w:ascii="Times New Roman" w:cs="Times New Roman" w:eastAsia="Times New Roman" w:hAnsi="Times New Roman"/>
          <w:sz w:val="14"/>
          <w:szCs w:val="14"/>
          <w:color w:val="auto"/>
        </w:rPr>
      </w:pPr>
    </w:p>
    <w:p>
      <w:pPr>
        <w:ind w:left="760" w:right="40" w:hanging="246"/>
        <w:spacing w:after="0" w:line="169" w:lineRule="exact"/>
        <w:tabs>
          <w:tab w:leader="none" w:pos="7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FINRA Rule 4110, which imposes a requirement of prior FINRA approval for any distribution by Virtu Financial’s FINRA member registered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subsidiary in excess of 10% of its excess net capital; and</w:t>
      </w:r>
    </w:p>
    <w:p>
      <w:pPr>
        <w:spacing w:after="0" w:line="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prior approval from the CBI before Virtu Financial’s regulated Irish subsidiary completes any distribution or dividend.</w:t>
      </w:r>
    </w:p>
    <w:p>
      <w:pPr>
        <w:spacing w:after="0" w:line="185"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To the extent that we need funds and Virtu Financial is restricted from making such distributions to us, under applicable law or regulation, as a result of covenants in our Credit Agreement, we may not be able to obtain such funds on terms acceptable to us or at all and as a result could suffer a material adverse effect on our liquidity and financial condition.</w:t>
      </w:r>
    </w:p>
    <w:p>
      <w:pPr>
        <w:spacing w:after="0" w:line="135" w:lineRule="exact"/>
        <w:rPr>
          <w:sz w:val="20"/>
          <w:szCs w:val="20"/>
          <w:color w:val="auto"/>
        </w:rPr>
      </w:pPr>
    </w:p>
    <w:p>
      <w:pPr>
        <w:ind w:firstLine="509"/>
        <w:spacing w:after="0" w:line="160" w:lineRule="exact"/>
        <w:rPr>
          <w:sz w:val="20"/>
          <w:szCs w:val="20"/>
          <w:color w:val="auto"/>
        </w:rPr>
      </w:pPr>
      <w:r>
        <w:rPr>
          <w:rFonts w:ascii="Times New Roman" w:cs="Times New Roman" w:eastAsia="Times New Roman" w:hAnsi="Times New Roman"/>
          <w:sz w:val="14"/>
          <w:szCs w:val="14"/>
          <w:color w:val="auto"/>
        </w:rPr>
        <w:t>Under the Third Amended and Restated Limited Liability Company Agreement of Virtu Financial (as amended, the “Amended and Restated Virtu Financial LLC Agreement”), Virtu Financial from time to time makes distributions in cash to its equity holders, including the Founder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 the trust that holds equity interests in Virtu Financial on behalf of certain employees of ours based outside the United States, which we refer to as the “Employee Trust”, Virtu Employee Holdco and us, in amounts sufficient to cover the taxes on their allocable share of the taxable income of Virtu Financial. These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 As a result of (i) potential differences in the amount of net taxable income allocable to us and to Virtu Financial’s other equity holders, (ii) the lower tax rate applicable to corporations than individuals, (iii) the favorable tax benefits that we anticipate from (a) the exchange of Virtu Financial Units and corresponding shares of Class C Common Stock or Class D Common Stock, (b) payments under the tax receivable agreements and (c) future deductions attributable to the prior acquisition of interests in Virtu Financial by certain affiliates of Silver Lake Partners and Temasek, and (vi) additional distributions of profits which may be generated by Virtu Financial and its subsidiaries to equity holders, we expect that the distributions we receive may exceed our tax liabilities, regular dividend and other obligations. Our Board of Directors will determine the appropriate uses for any excess cash so accumulated, which may include, among other uses, the payment of obligations under the tax receivable agreements, the payment of other expenses or the repurchase of shares of common stock or Virtu Financial Units. We will have no obligation to distribute such cash (or other available cash) to our shareholders. No adjustments to the exchange ratio for Virtu Financial Units and corresponding shares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3" w:name="page34"/>
    <w:bookmarkEnd w:id="33"/>
    <w:p>
      <w:pPr>
        <w:spacing w:after="0" w:line="161" w:lineRule="exact"/>
        <w:rPr>
          <w:sz w:val="20"/>
          <w:szCs w:val="20"/>
          <w:color w:val="auto"/>
        </w:rPr>
      </w:pPr>
      <w:r>
        <w:rPr>
          <w:rFonts w:ascii="Times New Roman" w:cs="Times New Roman" w:eastAsia="Times New Roman" w:hAnsi="Times New Roman"/>
          <w:sz w:val="14"/>
          <w:szCs w:val="14"/>
          <w:color w:val="auto"/>
        </w:rPr>
        <w:t>common stock will be made as a result of any cash distribution by us or any retention of cash by us, and in any event the ratio will remain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one.</w:t>
      </w:r>
    </w:p>
    <w:p>
      <w:pPr>
        <w:spacing w:after="0" w:line="200" w:lineRule="exact"/>
        <w:rPr>
          <w:sz w:val="20"/>
          <w:szCs w:val="20"/>
          <w:color w:val="auto"/>
        </w:rPr>
      </w:pPr>
    </w:p>
    <w:p>
      <w:pPr>
        <w:ind w:right="120"/>
        <w:spacing w:after="0" w:line="192" w:lineRule="exact"/>
        <w:rPr>
          <w:sz w:val="20"/>
          <w:szCs w:val="20"/>
          <w:color w:val="auto"/>
        </w:rPr>
      </w:pPr>
      <w:r>
        <w:rPr>
          <w:rFonts w:ascii="Times New Roman" w:cs="Times New Roman" w:eastAsia="Times New Roman" w:hAnsi="Times New Roman"/>
          <w:sz w:val="14"/>
          <w:szCs w:val="14"/>
          <w:b w:val="1"/>
          <w:bCs w:val="1"/>
          <w:i w:val="1"/>
          <w:iCs w:val="1"/>
          <w:color w:val="auto"/>
        </w:rPr>
        <w:t>We are controlled by the Founder Post</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IPO Member, whose interests in our business may be different than yours, and certain statutory provisions afforded to stockholders are not applicable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-177800</wp:posOffset>
            </wp:positionV>
            <wp:extent cx="55880"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27" w:lineRule="exact"/>
        <w:rPr>
          <w:sz w:val="20"/>
          <w:szCs w:val="20"/>
          <w:color w:val="auto"/>
        </w:rPr>
      </w:pPr>
    </w:p>
    <w:p>
      <w:pPr>
        <w:ind w:right="180" w:firstLine="509"/>
        <w:spacing w:after="0" w:line="192" w:lineRule="exact"/>
        <w:rPr>
          <w:sz w:val="20"/>
          <w:szCs w:val="20"/>
          <w:color w:val="auto"/>
        </w:rPr>
      </w:pPr>
      <w:r>
        <w:rPr>
          <w:rFonts w:ascii="Times New Roman" w:cs="Times New Roman" w:eastAsia="Times New Roman" w:hAnsi="Times New Roman"/>
          <w:sz w:val="14"/>
          <w:szCs w:val="14"/>
          <w:color w:val="auto"/>
        </w:rPr>
        <w:t>The Founder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 controls approximately 87.1% of the combined voting power of our common stock as a result of its ownership of our Class C and Class D Common Stock, each share of which is entitled to 1 vote and 10 votes, respectively, on all matters submitted to a vote of our stockholders.</w:t>
      </w:r>
    </w:p>
    <w:p>
      <w:pPr>
        <w:spacing w:after="0" w:line="147" w:lineRule="exact"/>
        <w:rPr>
          <w:sz w:val="20"/>
          <w:szCs w:val="20"/>
          <w:color w:val="auto"/>
        </w:rPr>
      </w:pPr>
    </w:p>
    <w:p>
      <w:pPr>
        <w:ind w:right="40" w:firstLine="509"/>
        <w:spacing w:after="0" w:line="176" w:lineRule="exact"/>
        <w:rPr>
          <w:sz w:val="20"/>
          <w:szCs w:val="20"/>
          <w:color w:val="auto"/>
        </w:rPr>
      </w:pPr>
      <w:r>
        <w:rPr>
          <w:rFonts w:ascii="Times New Roman" w:cs="Times New Roman" w:eastAsia="Times New Roman" w:hAnsi="Times New Roman"/>
          <w:sz w:val="14"/>
          <w:szCs w:val="14"/>
          <w:color w:val="auto"/>
        </w:rPr>
        <w:t>The Founder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 has the ability to substantially control our Company, including the ability to control any action requiring the general approval of our stockholders, including the election of our Board of Directors, the adoption of amendments to our certificate of incorporation and by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 even if such events are in the best interests of minority stockholders. This concentration of voting power with the Founder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 may have a negative impact on the price of our Class A Common Stock. In addition, because shares of our Class B Common Stock and Class D Common Stock each have 10 votes per share on matters submitted to a vote of our stockholders, the Founder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 is able to control our Company as long as it owns at least 25% of our issued and outstanding Common Stock.</w:t>
      </w:r>
    </w:p>
    <w:p>
      <w:pPr>
        <w:spacing w:after="0" w:line="180" w:lineRule="exact"/>
        <w:rPr>
          <w:sz w:val="20"/>
          <w:szCs w:val="20"/>
          <w:color w:val="auto"/>
        </w:rPr>
      </w:pPr>
    </w:p>
    <w:p>
      <w:pPr>
        <w:ind w:right="40" w:firstLine="509"/>
        <w:spacing w:after="0" w:line="173" w:lineRule="exact"/>
        <w:rPr>
          <w:sz w:val="20"/>
          <w:szCs w:val="20"/>
          <w:color w:val="auto"/>
        </w:rPr>
      </w:pPr>
      <w:r>
        <w:rPr>
          <w:rFonts w:ascii="Times New Roman" w:cs="Times New Roman" w:eastAsia="Times New Roman" w:hAnsi="Times New Roman"/>
          <w:sz w:val="14"/>
          <w:szCs w:val="14"/>
          <w:color w:val="auto"/>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a different tax position from us, which could influence its decisions regarding whether and when we should dispose of assets or incur new or refinance existing indebtedness, especially in light of the existence of the tax receivable agreements that we entered into in connection with the IPO,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“Item 1A. Risk Factors - Risks Related to Our Organizational Structure - We are required to pay the Virtu Post-IPO Members and the Investor Post-IPO Stockholders for certain tax benefits we may claim, and the amounts we may pay could be significant.” In addition, pursuant to an exchange agreement, the holders of Virtu Financial Units and shares of our Class C Common Stock or Class D Common Stock are not required to participate in a proposed sale of our Company that is tax</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free for our stockholders unless the transaction is also tax</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free for such holders of Virtu Financial Units and shares of our Class C Common Stock or Class D Common Stock. This requirement could limit structural alternatives available to us in any such proposed transaction and could have the effect of discouraging transactions that might benefit you as a holder of shares of our Class A Common Stock. In addition, the Founder Post-IPO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market price.</w:t>
      </w:r>
    </w:p>
    <w:p>
      <w:pPr>
        <w:spacing w:after="0" w:line="157" w:lineRule="exact"/>
        <w:rPr>
          <w:sz w:val="20"/>
          <w:szCs w:val="20"/>
          <w:color w:val="auto"/>
        </w:rPr>
      </w:pPr>
    </w:p>
    <w:p>
      <w:pPr>
        <w:ind w:firstLine="509"/>
        <w:spacing w:after="0" w:line="173" w:lineRule="exact"/>
        <w:rPr>
          <w:sz w:val="20"/>
          <w:szCs w:val="20"/>
          <w:color w:val="auto"/>
        </w:rPr>
      </w:pPr>
      <w:r>
        <w:rPr>
          <w:rFonts w:ascii="Times New Roman" w:cs="Times New Roman" w:eastAsia="Times New Roman" w:hAnsi="Times New Roman"/>
          <w:sz w:val="14"/>
          <w:szCs w:val="14"/>
          <w:color w:val="auto"/>
        </w:rPr>
        <w:t>We have opted out of Section 203 of the General Corporation Law of the State of Delaware (the “Delaware General Corporation Law”),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the Founder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 is able to transfer control of us to a third party by transferring its shares of our common stock (subject to certain restrictions and limitations), which would not require the approval of our Board of Directors or our other stockholders.</w:t>
      </w:r>
    </w:p>
    <w:p>
      <w:pPr>
        <w:spacing w:after="0" w:line="178" w:lineRule="exact"/>
        <w:rPr>
          <w:sz w:val="20"/>
          <w:szCs w:val="20"/>
          <w:color w:val="auto"/>
        </w:rPr>
      </w:pPr>
    </w:p>
    <w:p>
      <w:pPr>
        <w:ind w:right="120" w:firstLine="509"/>
        <w:spacing w:after="0" w:line="172" w:lineRule="exact"/>
        <w:rPr>
          <w:sz w:val="20"/>
          <w:szCs w:val="20"/>
          <w:color w:val="auto"/>
        </w:rPr>
      </w:pPr>
      <w:r>
        <w:rPr>
          <w:rFonts w:ascii="Times New Roman" w:cs="Times New Roman" w:eastAsia="Times New Roman" w:hAnsi="Times New Roman"/>
          <w:sz w:val="14"/>
          <w:szCs w:val="14"/>
          <w:color w:val="auto"/>
        </w:rPr>
        <w:t>Our amended and restated certificate of incorporation provides that, to the fullest extent permitted by law, the doctrine of “corporate opportunity” does not apply against the Founder Post-IPO Member, Mr. Viola, any of our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employee directors or any of their respective affiliates in a manner that would prohibit them from investing in competing businesses or doing business with our clients or customers. The Amended and Restated Virtu Financial LLC Agreement provides that Mr. Viola, in addition to our executive officers and our employees that are Virtu Post-IPO Members, including Mr. Simons, may not directly or indirectly engage in certain competitive activities until the third anniversary of the date on which such person ceases to be an officer, director or employee of ours. Our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employee directors are not subject to any such restriction. To the extent that the Founder Post-IPO Member, Mr. Viola, our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employee directors or any of their respective affiliates invests in other businesses, they may have differing interests than our other stockholders.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88" w:right="319" w:bottom="1440" w:gutter="0" w:footer="0" w:header="0"/>
        </w:sectPr>
      </w:pPr>
    </w:p>
    <w:bookmarkStart w:id="34" w:name="page35"/>
    <w:bookmarkEnd w:id="34"/>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remain in compliance with the covenants contained in our Credit Agreement and our obligation to comply with these covenants may adversely affect our ability to operate our business.</w:t>
      </w:r>
    </w:p>
    <w:p>
      <w:pPr>
        <w:spacing w:after="0" w:line="143" w:lineRule="exact"/>
        <w:rPr>
          <w:sz w:val="20"/>
          <w:szCs w:val="20"/>
          <w:color w:val="auto"/>
        </w:rPr>
      </w:pPr>
    </w:p>
    <w:p>
      <w:pPr>
        <w:ind w:right="320" w:firstLine="509"/>
        <w:spacing w:after="0" w:line="270" w:lineRule="auto"/>
        <w:rPr>
          <w:sz w:val="20"/>
          <w:szCs w:val="20"/>
          <w:color w:val="auto"/>
        </w:rPr>
      </w:pPr>
      <w:r>
        <w:rPr>
          <w:rFonts w:ascii="Times New Roman" w:cs="Times New Roman" w:eastAsia="Times New Roman" w:hAnsi="Times New Roman"/>
          <w:sz w:val="14"/>
          <w:szCs w:val="14"/>
          <w:color w:val="auto"/>
        </w:rPr>
        <w:t>The covenants in our Credit Agreement may negatively impact our ability to finance future operations or capital needs or to engage in other business activities. Our Credit Agreement restricts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w:t>
      </w:r>
    </w:p>
    <w:p>
      <w:pPr>
        <w:spacing w:after="0" w:line="157"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A failure to comply with the restrictions contained in our Credit Agreement could lead to an event of default, which could result in an acceleration of our indebtedness. Our future operating results may not be sufficient to enable compliance with the covenants in our Credit Agreement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160"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exempt from certain corporate governance requirements since we are a “controlled company” within the meaning of the NYSE rules, and as a result our stockholders do not have the protections afforded by these corporate governance requirements.</w:t>
      </w:r>
    </w:p>
    <w:p>
      <w:pPr>
        <w:spacing w:after="0" w:line="112" w:lineRule="exact"/>
        <w:rPr>
          <w:sz w:val="20"/>
          <w:szCs w:val="20"/>
          <w:color w:val="auto"/>
        </w:rPr>
      </w:pPr>
    </w:p>
    <w:p>
      <w:pPr>
        <w:ind w:right="60" w:firstLine="509"/>
        <w:spacing w:after="0" w:line="178" w:lineRule="exact"/>
        <w:rPr>
          <w:sz w:val="20"/>
          <w:szCs w:val="20"/>
          <w:color w:val="auto"/>
        </w:rPr>
      </w:pPr>
      <w:r>
        <w:rPr>
          <w:rFonts w:ascii="Times New Roman" w:cs="Times New Roman" w:eastAsia="Times New Roman" w:hAnsi="Times New Roman"/>
          <w:sz w:val="14"/>
          <w:szCs w:val="14"/>
          <w:color w:val="auto"/>
        </w:rPr>
        <w:t>The Founder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 controls more than 50% of our combined voting power. As a result, we are considered a “controlled company” for purposes of the NYSE rules and corporate governance standards, and therefore we are permitted and may elect not to or may have elected not to, comply with certain NYSE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NYSE rules and corporate governance standards, and the ability of our independent directors to influence our business policies and affairs may be reduced.</w:t>
      </w:r>
    </w:p>
    <w:p>
      <w:pPr>
        <w:spacing w:after="0" w:line="14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We are required to pay the Virtu Post</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IPO Members and the Investor Post</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IPO Stockholders for certain tax benefits we may claim, and the amounts we may pay could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-36195</wp:posOffset>
            </wp:positionV>
            <wp:extent cx="55880"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-36195</wp:posOffset>
            </wp:positionV>
            <wp:extent cx="55880"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21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In connection with the Reorganization Transactions, we acquired equity interests in Virtu Financial from an affiliate of Silver Lake Partners (which, following a secondary offering completed in November 2015, no longer holds any equity interest in us) and the Temasek Pre-IPO Member in the Mergers. In addition, we used a portion of the net proceeds from our IPO and our Secondary Offerings (as defined below) to purchase Virtu Financial Units and corresponding shares of Class C Common Stock from certain Virtu Post-IPO Members, including affiliates of Silver Lake Partners (the “Silver Lake Post-IPO Members”), the Founder Post-IPO Member, and certain employees. These acquisitions of interests in Virtu Financial, along with certain subsequent exchanges of interests in Virtu Financial by current and former employees, resulted in tax basis adjustments to the assets of Virtu Financial that were allocated to us and our subsidiaries. Future acquisitions of interests in Virtu Financial are expected to produce favorable tax attributes.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such transactions. Both the existing and anticipated tax basis adjustments are expected to reduce the amount of tax that we would otherwise be required to pay in the future.</w:t>
      </w:r>
    </w:p>
    <w:p>
      <w:pPr>
        <w:spacing w:after="0" w:line="167" w:lineRule="exact"/>
        <w:rPr>
          <w:sz w:val="20"/>
          <w:szCs w:val="20"/>
          <w:color w:val="auto"/>
        </w:rPr>
      </w:pPr>
    </w:p>
    <w:p>
      <w:pPr>
        <w:ind w:right="220" w:firstLine="509"/>
        <w:spacing w:after="0" w:line="259" w:lineRule="auto"/>
        <w:rPr>
          <w:sz w:val="20"/>
          <w:szCs w:val="20"/>
          <w:color w:val="auto"/>
        </w:rPr>
      </w:pPr>
      <w:r>
        <w:rPr>
          <w:rFonts w:ascii="Times New Roman" w:cs="Times New Roman" w:eastAsia="Times New Roman" w:hAnsi="Times New Roman"/>
          <w:sz w:val="14"/>
          <w:szCs w:val="14"/>
          <w:color w:val="auto"/>
        </w:rPr>
        <w:t>We entered into three tax receivable agreements with the Virtu Post-IPO Members and the Investor Post-IPO Stockholders (one with the Founder Post-IPO Member, the Employee Trust, Virtu Employee Holdco and other post IPO investors, other than affiliates of Silver Lake Partners and affiliates of Temasek, another with the Investor Post-IPO Stockholders and the other with the Silver Lake Post-IPO Members) that provide for the payment by us to the Virtu Post-IPO Members and the Investor Post-IPO Stockholders (or their transferees of Virtu Financial Units or other assignees) of 85% of the amount of actual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Temasek, and the Temasek Pre-IPO Member in the Reorganization Transactions (which represents the unamortized portion of the increase in tax basis in Virtu Financial’s assets resulting from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35" w:name="page36"/>
    <w:bookmarkEnd w:id="35"/>
    <w:p>
      <w:pPr>
        <w:spacing w:after="0" w:line="261" w:lineRule="auto"/>
        <w:rPr>
          <w:sz w:val="20"/>
          <w:szCs w:val="20"/>
          <w:color w:val="auto"/>
        </w:rPr>
      </w:pPr>
      <w:r>
        <w:rPr>
          <w:rFonts w:ascii="Times New Roman" w:cs="Times New Roman" w:eastAsia="Times New Roman" w:hAnsi="Times New Roman"/>
          <w:sz w:val="14"/>
          <w:szCs w:val="14"/>
          <w:color w:val="auto"/>
        </w:rPr>
        <w:t>prior acquisition of interests in Virtu Financial by an affiliate of Silver Lake Partners and Temasek, and the Temasek Pre-IPO Member), (b) the purchases of Virtu Financial Units (along with the corresponding shares of our Class C Common Stock or Class D Common Stock, as applicable) from certain of the Virtu Post-IPO Members using a portion of the net proceeds from the IPO or in any subsequent offering (including, without limitation, the Secondary Offerings), (c) exchanges by the Virtu Post-IPO Members of Virtu Financial Units (along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164" w:lineRule="exact"/>
        <w:rPr>
          <w:sz w:val="20"/>
          <w:szCs w:val="20"/>
          <w:color w:val="auto"/>
        </w:rPr>
      </w:pPr>
    </w:p>
    <w:p>
      <w:pPr>
        <w:ind w:right="20" w:firstLine="509"/>
        <w:spacing w:after="0" w:line="175" w:lineRule="exact"/>
        <w:rPr>
          <w:sz w:val="20"/>
          <w:szCs w:val="20"/>
          <w:color w:val="auto"/>
        </w:rPr>
      </w:pPr>
      <w:r>
        <w:rPr>
          <w:rFonts w:ascii="Times New Roman" w:cs="Times New Roman" w:eastAsia="Times New Roman" w:hAnsi="Times New Roman"/>
          <w:sz w:val="14"/>
          <w:szCs w:val="14"/>
          <w:color w:val="auto"/>
        </w:rPr>
        <w:t>The actual increase in tax basis, as well as the amount and timing of any payments under these tax receivable agreements, will vary depending upon a number of factors, including the timing of exchanges by the Virtu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177" w:lineRule="exact"/>
        <w:rPr>
          <w:sz w:val="20"/>
          <w:szCs w:val="20"/>
          <w:color w:val="auto"/>
        </w:rPr>
      </w:pPr>
    </w:p>
    <w:p>
      <w:pPr>
        <w:ind w:right="40" w:firstLine="509"/>
        <w:spacing w:after="0" w:line="175" w:lineRule="exact"/>
        <w:rPr>
          <w:sz w:val="20"/>
          <w:szCs w:val="20"/>
          <w:color w:val="auto"/>
        </w:rPr>
      </w:pPr>
      <w:r>
        <w:rPr>
          <w:rFonts w:ascii="Times New Roman" w:cs="Times New Roman" w:eastAsia="Times New Roman" w:hAnsi="Times New Roman"/>
          <w:sz w:val="14"/>
          <w:szCs w:val="14"/>
          <w:color w:val="auto"/>
        </w:rPr>
        <w:t>The payments we are required to make under the tax receivable agreements, which represent 85% of the amount of actual cash savings, if any, in U.S. federal, state and local income tax or franchise tax that we actually realize,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Members and the Investor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Stockholders in respect of the purchases, the exchanges and the Mergers in connection with the IPO, the purchases and exchanges completed in connection with our subsequent public offerings, the Secondary Offerings, and exchanges by employees and other Virtu Post-IPO Members will range from approximately $0.3 million to $22.5 million per year over the next 15 years. Future payments under the tax receivable agreements in respect of subsequent exchanges would be in addition to these amounts. The payments under the tax receivable agreements are not conditioned upon the Virtu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Members’ or the Investor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Stockholders’ continued ownership of us.</w:t>
      </w:r>
    </w:p>
    <w:p>
      <w:pPr>
        <w:spacing w:after="0" w:line="158" w:lineRule="exact"/>
        <w:rPr>
          <w:sz w:val="20"/>
          <w:szCs w:val="20"/>
          <w:color w:val="auto"/>
        </w:rPr>
      </w:pPr>
    </w:p>
    <w:p>
      <w:pPr>
        <w:ind w:right="80" w:firstLine="509"/>
        <w:spacing w:after="0" w:line="172" w:lineRule="exact"/>
        <w:rPr>
          <w:sz w:val="20"/>
          <w:szCs w:val="20"/>
          <w:color w:val="auto"/>
        </w:rPr>
      </w:pPr>
      <w:r>
        <w:rPr>
          <w:rFonts w:ascii="Times New Roman" w:cs="Times New Roman" w:eastAsia="Times New Roman" w:hAnsi="Times New Roman"/>
          <w:sz w:val="14"/>
          <w:szCs w:val="14"/>
          <w:color w:val="auto"/>
        </w:rPr>
        <w:t>In addition, although we are not aware of any issue that would cause the Internal Revenue Service (the “IRS”) to challenge the tax basis increases or other benefits arising under the tax receivable agreements, the Virtu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Members and the Investor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Stockholders (or their transferees or other assignees) will not reimburse us for any payments previously made if such tax basis increases or other tax benefits are subsequently disallowed, except that any excess payments made to the Virtu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Members and the Investor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Stockholders will be netted against future payments otherwise to be made under the tax receivable agreements, if any, after our determination of such excess. As a result, in such circumstances we could make payments to the Virtu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Members and the Investor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Stockholders under the tax receivable agreements that are greater than our actual cash tax savings and may not be able to recoup those payments, which could negatively impact our liquidity.</w:t>
      </w:r>
    </w:p>
    <w:p>
      <w:pPr>
        <w:spacing w:after="0" w:line="179"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spacing w:after="0" w:line="130" w:lineRule="exact"/>
        <w:rPr>
          <w:sz w:val="20"/>
          <w:szCs w:val="20"/>
          <w:color w:val="auto"/>
        </w:rPr>
      </w:pPr>
    </w:p>
    <w:p>
      <w:pPr>
        <w:ind w:firstLine="509"/>
        <w:spacing w:after="0" w:line="176" w:lineRule="exact"/>
        <w:rPr>
          <w:sz w:val="20"/>
          <w:szCs w:val="20"/>
          <w:color w:val="auto"/>
        </w:rPr>
      </w:pPr>
      <w:r>
        <w:rPr>
          <w:rFonts w:ascii="Times New Roman" w:cs="Times New Roman" w:eastAsia="Times New Roman" w:hAnsi="Times New Roman"/>
          <w:sz w:val="14"/>
          <w:szCs w:val="14"/>
          <w:color w:val="auto"/>
        </w:rPr>
        <w:t>In addition, the tax receivable agreements provide that in the case of a change in control of the Company, the Virtu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Members and the Investor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Stockholders have the option to terminate the applicable tax receivable agreement, and we are required to make a payment to such electing party in an amount equal to the present value of future payments (calculated using a discount rate equal to the lesser of 6.5% or LIBOR plus 100 basis points, which may differ from our, or a potential acquirer’s, then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the Virtu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Members and the Investor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IPO Stockholders have interests that differ from or are in addition to those of our other shareholders. In addition, we could be required to make payments under the tax receivable agreements that are substantial and in excess of our, or a potential acquirer’s, actual cash savings in income tax.</w:t>
      </w:r>
    </w:p>
    <w:p>
      <w:pPr>
        <w:spacing w:after="0" w:line="180"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Finally, because we are a holding company with no operations of our own, our ability to make payments under the tax receivable agreements are dependent on the ability of our subsidiaries to make distributions to us. Our Credit Agreement</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36" w:name="page37"/>
    <w:bookmarkEnd w:id="36"/>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 which could negatively impact our results of operations and cash flows and could also affect our liquidity in periods in which such payments are made.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Class A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Substantial future sales of shares of our Class A common stock in the public market could cause our stock price to fall.</w:t>
      </w:r>
    </w:p>
    <w:p>
      <w:pPr>
        <w:spacing w:after="0" w:line="20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As of December 31, 2025, we had 84,919,931 shares of Class A Common Stock outstanding and 5,876,036 shares of Class A Common Stock issuable pursuant to the Second Amended and Restated 2015 Management Incentive Plan (as defined below) upon the vesting of granted but unvested restricted stock units, excluding shares of Class A Common Stock issuable pursuant to the Second Amended and Restated 2015 Management Incentive Plan but not yet granted, and 68,061,925 shares of Class A Common Stock issuable upon potential exchanges and/or conversions. Of these shares, 79,041,198 shares sold in the IPO and the Secondary Offerings are freely tradable without further restriction under the Securities Act. The remaining balance of 79,816,694 shares of Class A Common Stock outstanding as of December 31, 2025 (including shares issuable upon exchange and/or conversion, or vesting) are “restricted securities,” as that term is defined under Rule 144 of the Securities Act. The holders of these 79,816,694 shares of our Class A Common Stock, including shares issuable upon exchange, conversion or vesting as described above,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w:t>
      </w:r>
    </w:p>
    <w:p>
      <w:pPr>
        <w:spacing w:after="0" w:line="16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have filed registration statements under the Securities Act registering an aggregate of 33,500,000 shares of our Class A Common Stock reserved for issuance under our Second Amended and Restated 2015 Management Incentive Plan, 7,625,526 of which are issuable, and we entered into the Registration Rights Agreement (as defined below) pursuant to which we granted demand and piggyback registration rights to the Founder Post-IPO Member, Temasek, another former stockholder, and piggyback registration rights to certain of the other Virtu Post-IPO Members.</w:t>
      </w:r>
    </w:p>
    <w:p>
      <w:pPr>
        <w:spacing w:after="0" w:line="155"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establish and maintain effective internal control over financial reporting could have a material adverse effect on our business, financial condition, results of operations and cash flows, and stock price.</w:t>
      </w:r>
    </w:p>
    <w:p>
      <w:pPr>
        <w:spacing w:after="0" w:line="1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Maintaining effective internal control over financial reporting is necessary for us to produce reliable financial reports and is important in helping to prevent financial fraud. If we are unable to maintain adequate internal controls over financial reporting, our business and operating results could be harmed. Under applicable SEC rules we must maintain internal controls over financial reporting to satisfy the requirements of Section 404 of the Sarbanes-Oxley Act of 2002 (“Sarbanes-Oxley”) and the related rules of the SEC, which require, among other things, our management to assess annually the effectiveness of our internal control over financial reporting and our independent registered public accounting firm to issue a report on the effectiveness of internal control over financial reporting with our Annual Report on Form 10-K. The internal control assessment required by Section 404 of Sarbanes-Oxley may divert internal resources and we may experience higher operating expenses, higher independent auditor and consulting fees during the implementation of these changes. Any material weaknesses or any failure to implement required new or improved controls or difficulties encountered in their implementation could cause us to fail to meet our reporting obligations or result in material misstatements in our consolidated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Class A Common Stock could drop significantly. Failure to comply with Section 404 of Sarbanes-Oxley could potentially subject us to sanctions or investigations by the SEC, FINRA or other regulatory authorities, as well as increase the risk of liability arising from litigation based on securities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intend to pay regular dividends to our stockholders, but our ability to do so may be limited by our holding company structure, contractual restrictions and regulatory requirements.</w:t>
      </w:r>
    </w:p>
    <w:p>
      <w:pPr>
        <w:spacing w:after="0" w:line="191" w:lineRule="exact"/>
        <w:rPr>
          <w:sz w:val="20"/>
          <w:szCs w:val="20"/>
          <w:color w:val="auto"/>
        </w:rPr>
      </w:pPr>
    </w:p>
    <w:p>
      <w:pPr>
        <w:ind w:right="260" w:firstLine="509"/>
        <w:spacing w:after="0" w:line="245" w:lineRule="auto"/>
        <w:rPr>
          <w:sz w:val="20"/>
          <w:szCs w:val="20"/>
          <w:color w:val="auto"/>
        </w:rPr>
      </w:pPr>
      <w:r>
        <w:rPr>
          <w:rFonts w:ascii="Times New Roman" w:cs="Times New Roman" w:eastAsia="Times New Roman" w:hAnsi="Times New Roman"/>
          <w:sz w:val="14"/>
          <w:szCs w:val="14"/>
          <w:color w:val="auto"/>
        </w:rPr>
        <w:t>We intend to pay cash dividends on a quarterly basis. See Item 5, “Market for Registrant’s Common Equity, Related Stockholder Matters and Issuer Purchases of Equity Securities.” However, we are a holding company, with our principal asset being our direct and indirect equity interests in Virtu Financial, and we will have no independent means of generating revenue. Accordingly, as the sole managing member of Virtu Financial, we intend to cause, and will rely on, Virtu Financial to make distributions to its equity holders, including the Founder Post-IPO Member, the Employee Trust, Virtu Employee Holdco and us, to fund our dividends. When Virtu Financial makes such distributions, the other equity holders of Virtu Financial will be entitled to receive equivalent distributions pro rata based on their economic interests in Virtu Financial. In order for Virtu</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37" w:name="page38"/>
    <w:bookmarkEnd w:id="37"/>
    <w:p>
      <w:pPr>
        <w:ind w:right="40"/>
        <w:spacing w:after="0" w:line="248" w:lineRule="auto"/>
        <w:rPr>
          <w:sz w:val="20"/>
          <w:szCs w:val="20"/>
          <w:color w:val="auto"/>
        </w:rPr>
      </w:pPr>
      <w:r>
        <w:rPr>
          <w:rFonts w:ascii="Times New Roman" w:cs="Times New Roman" w:eastAsia="Times New Roman" w:hAnsi="Times New Roman"/>
          <w:sz w:val="14"/>
          <w:szCs w:val="14"/>
          <w:color w:val="auto"/>
        </w:rPr>
        <w:t>Financial to make distributions, it may need to receive distributions from its subsidiaries. Certain of these subsidiaries are or may in the future be subject to regulatory capital requirements that limit the size or frequency of distributions. See “Item 1A. Risk Factors - Risks Related to Our Business - Non-compliance with applicable laws or regulatory requirements could subject us to sanctions and could negatively impact our reputation, prospects, revenues and earnings.” If Virtu Financial is unable to cause these subsidiaries to make distributions, we may not receive adequate distributions from Virtu Financial in order to fund our dividends.</w:t>
      </w:r>
    </w:p>
    <w:p>
      <w:pPr>
        <w:spacing w:after="0" w:line="17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results of operations and cash flows, capital requirements, contractual restrictions, including restrictions contained in our Credit Agreement, business prospects and other factors that our Board of Directors considers relevant. There can be no assurance that our Board of Directors will not reduce the amount of regular cash dividends or cause us to cease paying dividends altogether. In addition, our Credit Agreement limits the amount of distributions our subsidiaries, including Virtu Financial, can make to us and the purposes for which distributions could be made. Accordingly, we may not be able to pay dividends even if our Board of Directors would otherwise deem it appropriate. See “Item 7. Management’s Discussion and Analysis of Financial Condition and Results of Operations - Liquidity and Capital Resources.”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in our charter documents and certain rules imposed by regulatory authorities may delay or prevent our acquisition by a third party.</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Our amended and restated certificate of incorporation and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spacing w:after="0" w:line="162" w:lineRule="exact"/>
        <w:rPr>
          <w:sz w:val="20"/>
          <w:szCs w:val="20"/>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10 vote per share feature of our Class B Common Stock and Class D Common Stock;</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division of our Board of Directors into three classes and the election of each class for three-year terms;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ability of the Board of Directors to fill a vacancy created by the expansion of the Board of Directors;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stockholder proposals and director nominations;</w:t>
      </w:r>
    </w:p>
    <w:p>
      <w:pPr>
        <w:spacing w:after="0" w:line="8" w:lineRule="exact"/>
        <w:rPr>
          <w:rFonts w:ascii="Times New Roman" w:cs="Times New Roman" w:eastAsia="Times New Roman" w:hAnsi="Times New Roman"/>
          <w:sz w:val="14"/>
          <w:szCs w:val="14"/>
          <w:color w:val="auto"/>
        </w:rPr>
      </w:pPr>
    </w:p>
    <w:p>
      <w:pPr>
        <w:ind w:left="760" w:right="60" w:hanging="246"/>
        <w:spacing w:after="0" w:line="253" w:lineRule="auto"/>
        <w:tabs>
          <w:tab w:leader="none" w:pos="7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Triggering Event, provisions limiting stockholders’ ability to call special meetings of stockholders, to require special meetings of stockholders to be called and to take action by written consent;</w:t>
      </w:r>
    </w:p>
    <w:p>
      <w:pPr>
        <w:ind w:left="760" w:right="560" w:hanging="246"/>
        <w:spacing w:after="0" w:line="253" w:lineRule="auto"/>
        <w:tabs>
          <w:tab w:leader="none" w:pos="7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Triggering Event, in certain cases, the approval of holders of at least 75% of the shares entitled to vote generally on the making, alteration, amendment or repeal of our certificate of incorporation or by-laws will be required to adopt, amend or repeal our by-laws, or amend or repeal certain provisions of our certificate of incorporation;</w:t>
      </w:r>
    </w:p>
    <w:p>
      <w:pPr>
        <w:ind w:left="760" w:right="180" w:hanging="246"/>
        <w:spacing w:after="0" w:line="253" w:lineRule="auto"/>
        <w:tabs>
          <w:tab w:leader="none" w:pos="7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Triggering Event, the required approval of holders of at least 75% of the shares entitled to vote at an election of the directors to remove directors, which removal may only be for cause; and</w:t>
      </w:r>
    </w:p>
    <w:p>
      <w:pPr>
        <w:ind w:left="760" w:right="60" w:hanging="246"/>
        <w:spacing w:after="0" w:line="259" w:lineRule="auto"/>
        <w:tabs>
          <w:tab w:leader="none" w:pos="7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spacing w:after="0" w:line="16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w:t>
      </w:r>
    </w:p>
    <w:p>
      <w:pPr>
        <w:spacing w:after="0" w:line="145"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FINRA Rule 1017 generally provides that FINRA approval must be obtained in connection with any transaction resulting in a single person or entity owning, directly or indirectly, 25% or more of a member firm’s equity and would include a change in control of a parent company. Similarly, VFIL, VETL and VIUK are subject to change in control regulations promulgated by the CBI and/or the FCA. We may also be subject to similar restrictions in other jurisdictions in which we operate. These regulations could discourage potential takeover attempts and reduce the price that investors might be willing to pay for shares of our Class A Common Stock in the future, which could reduce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General Risks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be volatile.</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The market price of our Class A Common Stock is subject to significant fluctuations in response to, among other factors, variations in our operating results and market conditions specific to our business. Furthermore, in recent years the stock market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increased costs as a result of being a public company.</w:t>
      </w:r>
    </w:p>
    <w:p>
      <w:pPr>
        <w:spacing w:after="0" w:line="20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As a public company, we incur significant levels of legal, accounting and other expenses. Sarbanes-Oxley and related rules of the SEC, together with the listing requirements of NYSE, impose significant requirements relating to disclosure controls and procedures and internal control over financial reporting. We have incurred costs as a result of compliance with these public company requirements, and we may need to hire additional qualified personnel in order to continue to satisfy these public company requirements. We are required to expend considerable time and resources complying with public company regulations. Furthermore, if we are unable to satisfy our obligations as a public company, we could be subject to delisting of our Class A Common Stock, fines, sanctions and other regulatory action.</w:t>
      </w:r>
    </w:p>
    <w:p>
      <w:pPr>
        <w:spacing w:after="0" w:line="162"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stock price and trading volume could decline as a result of inaccurate or unfavorable research, or the cessation of research cover, about our business published by securities or industry analysts.</w:t>
      </w:r>
    </w:p>
    <w:p>
      <w:pPr>
        <w:spacing w:after="0" w:line="143"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trading market for our Class A Common Stock may be affected by the research and reports that securities or industry analysts publish about us or our business. If one or more of the analysts who covers us downgrades our Class A Common Stock or publishes inaccurate or unfavorable research about our business, our stock price could decline. In addition, the analysts’ projections may have little or no relationship to the results we actually achieve and could cause our stock price to decline if we fail to meet their projections. If one or more of these analysts ceases coverage of us or fails to publish reports on us regularly, our stock price or trading volume could decline.</w:t>
      </w:r>
    </w:p>
    <w:p>
      <w:pPr>
        <w:spacing w:after="0" w:line="160"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incur losses as a result of unforeseen or catastrophic events, including the emergence of another pandemic, terrorist attacks, geopolitical and/or global conflict, war, extreme weather events or other natural disasters.</w:t>
      </w:r>
    </w:p>
    <w:p>
      <w:pPr>
        <w:spacing w:after="0" w:line="143"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occurrence of unforeseen or catastrophic events, including the emergence of a pandemic or other widespread health emergency (or concerns over the possibility of such an emergency), vandalism, terrorist attacks, geopolitical and/or global conflict, war, extreme terrestrial or solar weather events or other natural disasters, could create economic and financial disruptions, and could lead to operational difficulties (including travel limitations) that could impair our ability to manage our businesses.</w:t>
      </w:r>
    </w:p>
    <w:p>
      <w:pPr>
        <w:spacing w:after="0" w:line="15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Virtu has established a Global Security team that, together with the Company’s Chief Information Security Officer (“CISO”), is responsible for the strategic planning, execution, and enforcement of security initiatives and policies for the Company’s business units (the “Security Program”). The CISO reports directly to the Chief Executive Officer, and together with the Global Security team, possesses significant experience in various roles involving managing information security, developing cybersecurity strategy, and implementing effective information and cybersecurity programs. Specifically, the CISO holds a degree in computer engineering and possesses over 25 years of relevant technical experience, having held roles of increasing seniority across development, infrastructure, IT and cybersecurity functions at the Company, a predecessor, and other organizations. As part of its Security Program, the Company has developed policies and procedures governing cybersecurity (the “Cybersecurity Program”).</w:t>
      </w:r>
    </w:p>
    <w:p>
      <w:pPr>
        <w:spacing w:after="0" w:line="157"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4"/>
          <w:szCs w:val="14"/>
          <w:color w:val="auto"/>
        </w:rPr>
        <w:t>Virtu’s Cybersecurity Program is driven by a threat analysis, laying out standards and requirements pertaining to, but not limited to, penetration testing, endpoint protection, incident management, access controls, mobile security, data classification, third-party access, encryption, system hardening and patching, vulnerability management, passwords, data destruction, physical security, and vendor risk assessment. We also conduct training and awareness exercises to mitigate employee-related cyber risks. In addition to these elements of the Cybersecurity Program aimed at mitigating risk, the Company has developed an Incident Management procedure that addresses escalation and reporting of security incidents in the event that they do occur and has conducted various cross-functional table top exercises to develop and refine a coordinated response plan. The Company also maintains insurance coverage that, subject to its terms and conditions, is intended to address costs associated with certain aspects of cyber-related incidents. These processes are intended to identify and remediate cybersecurity incidents, and also provide the framework for our proactive identification, assessment, and management of potentially material risks from a wide range of cybersecurity threats. Risks identified through these processes are identified to and evaluated by our CISO, who periodically reports to our Board and Risk Committee as described below on any such risks determined by the Global Security team to be potentially material.</w:t>
      </w:r>
    </w:p>
    <w:p>
      <w:pPr>
        <w:spacing w:after="0" w:line="18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Our Cybersecurity Program is periodically evaluated by internal and external experts through penetration and vulnerability testing and other exercises which help us identify and assess material risks, evaluate the effectiveness of our Security Program in mitigating and managing these risks, and improve our security measures and planning, including by comparison to other companies and to industry standards. The results of these assessments are reviewed by our CISO and other members of management and are shared with the Risk Committee of our Board of Directors (the “Risk Committee”).</w:t>
      </w:r>
    </w:p>
    <w:p>
      <w:pPr>
        <w:spacing w:after="0" w:line="162"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Our Risk Committee assists our Board of Directors (the “Board”) in its oversight of cybersecurity risk in accordance with its charter. The Risk Committee receives at least annually, and the Board receives periodically, reports from our CISO and other members of senior management, which include updates on the Company’s cyber risks and threats, its Cybersecurity Program, the status of projects to augment our information security systems, assessments of the Security Program, and the emerging threat landscape.</w:t>
      </w:r>
    </w:p>
    <w:p>
      <w:pPr>
        <w:spacing w:after="0" w:line="15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We face a number of cybersecurity risks in connection with our business. Although we maintain and enforce our Cybersecurity Program, we may not detect or prevent all attempts to compromise our systems or otherwise cause breaches or disruptions, which could result in material impacts to our operations or financial condition. As of the date of the filing of this Annual Report on Form 10-K, we are not aware of any material impact to our results of operations or financial conditions resulting from cyberattacks or other information security breaches. For more information about the cybersecurity risks we face, see the risk factor entitled “We could be the target of a significant cyber-attack, threat or incident that impairs internal systems, results in adverse consequences to information our system process, store or transmit or causes reputation or monetary damages as a consequence” in Item 1A - Risk Factors.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9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Our headquarters are located in leased office space at 1633 Broadway, New York, NY 10019. We also lease space for our offices in the U.S., Canada, Europe, and Asia-Pacific, and services in all segments are performed in each of these locations. We believe that our existing facilities are adequate to meet our current requirements.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set forth in the “Legal Proceedings” section in Note 16 “Commitments, Contingencies and Guarantees” to the Company’s Consolidated Financial Statements included in Part II, Item 8 “Financial Statements and Supplementary Data”, which is incorporated by reference herein.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28" w:right="41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II</w:t>
      </w:r>
    </w:p>
    <w:p>
      <w:pPr>
        <w:sectPr>
          <w:pgSz w:w="11900" w:h="16838" w:orient="portrait"/>
          <w:cols w:equalWidth="0" w:num="1">
            <w:col w:w="9019"/>
          </w:cols>
          <w:pgMar w:left="1440" w:top="7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728"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202"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Class A Common Stock trade on NYSE under the ticker symbol “VIRT.” There is no established public trading market for Class B Common Stock, Class C Common Stock or Class D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Based on information made available to us by the transfer agent, as of February 13, 2026, there are forty-four stockholders of record of our Class A Common Stock, one of which was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Cede &amp; Co., a nominee for The Depository Trust Company, zero stockholders of record of our Class B Common Stock, six stockholders of record of our Class C Common Stock and one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record of our Class D Common Stock. All of our Class A Common Stock held by brokerage firms, banks and other financial institutions as nominees for beneficial owners is considered to be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record by Cede &amp; Co., who is considered to be one stockholder of record. A substantially greater number of holders of our Class A Common Stock are “street name” or beneficial holders, whose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Class A Common Stock are held of record by banks, brokers and other financial institutions. Because such shares of Class A Common Stock are held on behalf of stockholders, and not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stockholders directly, and because a stockholder can have multiple positions with different brokerage firms, banks and other financial institutions, we are unable to determine the total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we have.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and Capital Return Policy</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Our Board of Directors has adopted a policy of returning excess cash to our stockholders. The Board of Directors declared and we paid quarterly cash dividends of $0.24 during the years ended December 31, 2025, 2024, and 2023. The Company intends to continue paying regular quarterly dividends to holders of our Class A Common Stock and Class B Common Stock and to holders of RSUs and RSAs (each as defined below); however, the payment of dividends will be subject to general economic and business conditions, including the Company’s financial condition, results of operations and cash flows, capital requirements, contractual restrictions, including restrictions contained in our Credit Agreement, regulatory restrictions, business prospects and other factors that the Company’s Board of Directors considers relevant. The terms of the Credit Agreement contain a number of covenants, including a restriction on our and our restricted subsidiaries’ ability to pay dividends on, or make distributions in respect of, our equity interests. See “Item 7. Management’s Discussion and Analysis of Financial Condition and Results of Operations - Liquidity and Capital Resources - Long-Term Borrowings.”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w:t>
      </w:r>
    </w:p>
    <w:p>
      <w:pPr>
        <w:spacing w:after="0" w:line="20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157"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stock performance graph below compares the performance of an investment in our Class A Common Stock, from December 31, 2020 through December 31, 2025, with the S&amp;P 500 Index and the NYSE Arca Securities Broker/Dealer Index. The graph assumes $100 was invested in our Class A Common Stock, the S&amp;P 500 Index and the NYSE Arca Securities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1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Broker/Dealer Index. It assumes that dividends were reinvested on the date of payment without payment of any commissions or consideration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257175</wp:posOffset>
            </wp:positionV>
            <wp:extent cx="4594860" cy="32340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9486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Index</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12/31/2020</w:t>
            </w:r>
          </w:p>
        </w:tc>
        <w:tc>
          <w:tcPr>
            <w:tcW w:w="100" w:type="dxa"/>
            <w:vAlign w:val="bottom"/>
          </w:tcPr>
          <w:p>
            <w:pPr>
              <w:spacing w:after="0"/>
              <w:rPr>
                <w:sz w:val="11"/>
                <w:szCs w:val="11"/>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6/30/2021</w:t>
            </w:r>
          </w:p>
        </w:tc>
        <w:tc>
          <w:tcPr>
            <w:tcW w:w="100" w:type="dxa"/>
            <w:vAlign w:val="bottom"/>
          </w:tcPr>
          <w:p>
            <w:pPr>
              <w:spacing w:after="0"/>
              <w:rPr>
                <w:sz w:val="11"/>
                <w:szCs w:val="11"/>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12/31/2021</w:t>
            </w:r>
          </w:p>
        </w:tc>
        <w:tc>
          <w:tcPr>
            <w:tcW w:w="100" w:type="dxa"/>
            <w:vAlign w:val="bottom"/>
          </w:tcPr>
          <w:p>
            <w:pPr>
              <w:spacing w:after="0"/>
              <w:rPr>
                <w:sz w:val="11"/>
                <w:szCs w:val="11"/>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6/30/2022</w:t>
            </w:r>
          </w:p>
        </w:tc>
        <w:tc>
          <w:tcPr>
            <w:tcW w:w="100" w:type="dxa"/>
            <w:vAlign w:val="bottom"/>
          </w:tcPr>
          <w:p>
            <w:pPr>
              <w:spacing w:after="0"/>
              <w:rPr>
                <w:sz w:val="11"/>
                <w:szCs w:val="11"/>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12/30/2022</w:t>
            </w:r>
          </w:p>
        </w:tc>
        <w:tc>
          <w:tcPr>
            <w:tcW w:w="80" w:type="dxa"/>
            <w:vAlign w:val="bottom"/>
          </w:tcPr>
          <w:p>
            <w:pPr>
              <w:spacing w:after="0"/>
              <w:rPr>
                <w:sz w:val="11"/>
                <w:szCs w:val="11"/>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6/30/2023</w:t>
            </w:r>
          </w:p>
        </w:tc>
        <w:tc>
          <w:tcPr>
            <w:tcW w:w="100" w:type="dxa"/>
            <w:vAlign w:val="bottom"/>
          </w:tcPr>
          <w:p>
            <w:pPr>
              <w:spacing w:after="0"/>
              <w:rPr>
                <w:sz w:val="11"/>
                <w:szCs w:val="11"/>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12/29/2023</w:t>
            </w:r>
          </w:p>
        </w:tc>
        <w:tc>
          <w:tcPr>
            <w:tcW w:w="100" w:type="dxa"/>
            <w:vAlign w:val="bottom"/>
          </w:tcPr>
          <w:p>
            <w:pPr>
              <w:spacing w:after="0"/>
              <w:rPr>
                <w:sz w:val="11"/>
                <w:szCs w:val="11"/>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6/28/2024</w:t>
            </w:r>
          </w:p>
        </w:tc>
        <w:tc>
          <w:tcPr>
            <w:tcW w:w="100" w:type="dxa"/>
            <w:vAlign w:val="bottom"/>
          </w:tcPr>
          <w:p>
            <w:pPr>
              <w:spacing w:after="0"/>
              <w:rPr>
                <w:sz w:val="11"/>
                <w:szCs w:val="11"/>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12/30/2024</w:t>
            </w:r>
          </w:p>
        </w:tc>
        <w:tc>
          <w:tcPr>
            <w:tcW w:w="100" w:type="dxa"/>
            <w:vAlign w:val="bottom"/>
          </w:tcPr>
          <w:p>
            <w:pPr>
              <w:spacing w:after="0"/>
              <w:rPr>
                <w:sz w:val="11"/>
                <w:szCs w:val="11"/>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06/30/2025</w:t>
            </w:r>
          </w:p>
        </w:tc>
        <w:tc>
          <w:tcPr>
            <w:tcW w:w="100" w:type="dxa"/>
            <w:vAlign w:val="bottom"/>
          </w:tcPr>
          <w:p>
            <w:pPr>
              <w:spacing w:after="0"/>
              <w:rPr>
                <w:sz w:val="11"/>
                <w:szCs w:val="11"/>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12/31/2025</w:t>
            </w:r>
          </w:p>
        </w:tc>
      </w:tr>
      <w:tr>
        <w:trPr>
          <w:trHeight w:val="135"/>
        </w:trPr>
        <w:tc>
          <w:tcPr>
            <w:tcW w:w="1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Virtu Financial Inc.</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107.81</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114.54</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91.04</w:t>
            </w: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81.09</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66.15</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80.49</w:t>
            </w: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87.92</w:t>
            </w: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142.79</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175.76</w:t>
            </w: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132.38</w:t>
            </w:r>
          </w:p>
        </w:tc>
      </w:tr>
      <w:tr>
        <w:trPr>
          <w:trHeight w:val="13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S&amp;P 500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114.41</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126.89</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100.78</w:t>
            </w:r>
          </w:p>
        </w:tc>
        <w:tc>
          <w:tcPr>
            <w:tcW w:w="10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102.22</w:t>
            </w:r>
          </w:p>
        </w:tc>
        <w:tc>
          <w:tcPr>
            <w:tcW w:w="8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118.49</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126.99</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145.38</w:t>
            </w:r>
          </w:p>
        </w:tc>
        <w:tc>
          <w:tcPr>
            <w:tcW w:w="10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157.26</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165.20</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182.25</w:t>
            </w:r>
          </w:p>
        </w:tc>
      </w:tr>
      <w:tr>
        <w:trPr>
          <w:trHeight w:val="100"/>
        </w:trPr>
        <w:tc>
          <w:tcPr>
            <w:tcW w:w="1180" w:type="dxa"/>
            <w:vAlign w:val="bottom"/>
            <w:gridSpan w:val="2"/>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NYSE Arca Securities</w:t>
            </w: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149"/>
        </w:trPr>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Broker/Dealer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124.24</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128.94</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100.98</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118.95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124.92</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147.59</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167.24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213.95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262.98</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271.54</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and Common Units Repurchases</w:t>
      </w:r>
    </w:p>
    <w:p>
      <w:pPr>
        <w:spacing w:after="0" w:line="202" w:lineRule="exact"/>
        <w:rPr>
          <w:sz w:val="20"/>
          <w:szCs w:val="20"/>
          <w:color w:val="auto"/>
        </w:rPr>
      </w:pPr>
    </w:p>
    <w:p>
      <w:pPr>
        <w:jc w:val="both"/>
        <w:ind w:right="320" w:firstLine="509"/>
        <w:spacing w:after="0" w:line="270" w:lineRule="auto"/>
        <w:rPr>
          <w:sz w:val="20"/>
          <w:szCs w:val="20"/>
          <w:color w:val="auto"/>
        </w:rPr>
      </w:pPr>
      <w:r>
        <w:rPr>
          <w:rFonts w:ascii="Times New Roman" w:cs="Times New Roman" w:eastAsia="Times New Roman" w:hAnsi="Times New Roman"/>
          <w:sz w:val="14"/>
          <w:szCs w:val="14"/>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57"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4"/>
          <w:szCs w:val="14"/>
          <w:color w:val="auto"/>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to $170 million. On May 4, 2021 the Company’s Board of directors authorized the expansion of the program, increasing the total authorized to $470 million and extending the duration of the program through May 4, 2022. On November 3, 2021 the Company’s Board of Directors authorized the expansion of the program by an additional $750 million to $1,220 million total and extending the duration of the program through November 3, 2023, which was subsequently extended through December 31, 2024. On April 24, 2024, the Company’s Board of Directors authorized the expansion of the program by an additional $500 million to $1,720 million and extended the duration through</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spacing w:after="0" w:line="259" w:lineRule="auto"/>
        <w:rPr>
          <w:sz w:val="20"/>
          <w:szCs w:val="20"/>
          <w:color w:val="auto"/>
        </w:rPr>
      </w:pPr>
      <w:r>
        <w:rPr>
          <w:rFonts w:ascii="Times New Roman" w:cs="Times New Roman" w:eastAsia="Times New Roman" w:hAnsi="Times New Roman"/>
          <w:sz w:val="14"/>
          <w:szCs w:val="14"/>
          <w:color w:val="auto"/>
        </w:rPr>
        <w:t>April 24, 2026. The share repurchase program authorizes the Company to repurchase shares from time to time in open market transactions, privately negotiated transactions or by other means. Repurchases may also be made under Rule 10b5-1 plans. The timing and amount of repurchase transactions are determined by the Company’s management based on its evaluation of market conditions, share price, cash sources, legal requirements and other factors. The program may be suspended, modified or discontinued at any time without prior notice. There are no assurances that any further repurchases will actually occur. From the inception of the program through December 31, 2025, the Company has repurchased approximately 53.8 million shares of Class A Common Stock and Virtu Financial Units for approximately $1,417.2 million. The Company has approximately $302.8 million of remaining capacity for future purchases of shares of Class A Common Stock and Virtu Financial Units under the program.</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contains information about the Company’s purchases of its Class A Common Stock during the three months ended December 31, 2025:</w:t>
      </w:r>
    </w:p>
    <w:p>
      <w:pPr>
        <w:sectPr>
          <w:pgSz w:w="11900" w:h="16838" w:orient="portrait"/>
          <w:cols w:equalWidth="0" w:num="1">
            <w:col w:w="11280"/>
          </w:cols>
          <w:pgMar w:left="300" w:top="730" w:right="31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1"/>
          <w:szCs w:val="11"/>
          <w:b w:val="1"/>
          <w:bCs w:val="1"/>
          <w:color w:val="auto"/>
        </w:rPr>
        <w:t>Period</w:t>
      </w:r>
    </w:p>
    <w:p>
      <w:pPr>
        <w:spacing w:after="0" w:line="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1"/>
          <w:szCs w:val="11"/>
          <w:color w:val="auto"/>
        </w:rPr>
        <w:t>October 1, 2025 - October 31, 2025</w:t>
      </w: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uto"/>
        </w:rPr>
        <w:t>Class A Common Stock repurchases</w:t>
      </w:r>
    </w:p>
    <w:p>
      <w:pPr>
        <w:spacing w:after="0" w:line="20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1"/>
          <w:szCs w:val="11"/>
          <w:color w:val="auto"/>
        </w:rPr>
        <w:t>November 1, 2025 - November 30, 2025</w:t>
      </w:r>
    </w:p>
    <w:p>
      <w:pPr>
        <w:spacing w:after="0" w:line="3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1"/>
          <w:szCs w:val="11"/>
          <w:color w:val="auto"/>
        </w:rPr>
        <w:t>Class A Common Stock repurchases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1"/>
          <w:szCs w:val="11"/>
          <w:color w:val="auto"/>
        </w:rPr>
        <w:t>December 1, 2025 - December 31, 2025</w:t>
      </w: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uto"/>
        </w:rPr>
        <w:t>Class A Common Stock repurchases</w:t>
      </w:r>
    </w:p>
    <w:p>
      <w:pPr>
        <w:spacing w:after="0" w:line="2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1"/>
          <w:szCs w:val="11"/>
          <w:color w:val="auto"/>
        </w:rPr>
        <w:t>Total Common Stock repurchases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80" w:type="dxa"/>
            <w:vAlign w:val="bottom"/>
          </w:tcPr>
          <w:p>
            <w:pPr>
              <w:spacing w:after="0"/>
              <w:rPr>
                <w:sz w:val="11"/>
                <w:szCs w:val="11"/>
                <w:color w:val="auto"/>
              </w:rPr>
            </w:pPr>
          </w:p>
        </w:tc>
        <w:tc>
          <w:tcPr>
            <w:tcW w:w="11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5"/>
        </w:trPr>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8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Average Price Paid per</w:t>
            </w:r>
          </w:p>
        </w:tc>
        <w:tc>
          <w:tcPr>
            <w:tcW w:w="136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Purchased as Part of</w:t>
            </w:r>
          </w:p>
        </w:tc>
        <w:tc>
          <w:tcPr>
            <w:tcW w:w="12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Value of Shares that May</w:t>
            </w:r>
          </w:p>
        </w:tc>
        <w:tc>
          <w:tcPr>
            <w:tcW w:w="0" w:type="dxa"/>
            <w:vAlign w:val="bottom"/>
          </w:tcPr>
          <w:p>
            <w:pPr>
              <w:spacing w:after="0"/>
              <w:rPr>
                <w:sz w:val="1"/>
                <w:szCs w:val="1"/>
                <w:color w:val="auto"/>
              </w:rPr>
            </w:pPr>
          </w:p>
        </w:tc>
      </w:tr>
      <w:tr>
        <w:trPr>
          <w:trHeight w:val="117"/>
        </w:trPr>
        <w:tc>
          <w:tcPr>
            <w:tcW w:w="13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Publicly Announced</w:t>
            </w:r>
          </w:p>
        </w:tc>
        <w:tc>
          <w:tcPr>
            <w:tcW w:w="124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Yet Be Purchased Under</w:t>
            </w:r>
          </w:p>
        </w:tc>
        <w:tc>
          <w:tcPr>
            <w:tcW w:w="0" w:type="dxa"/>
            <w:vAlign w:val="bottom"/>
          </w:tcPr>
          <w:p>
            <w:pPr>
              <w:spacing w:after="0"/>
              <w:rPr>
                <w:sz w:val="1"/>
                <w:szCs w:val="1"/>
                <w:color w:val="auto"/>
              </w:rPr>
            </w:pPr>
          </w:p>
        </w:tc>
      </w:tr>
      <w:tr>
        <w:trPr>
          <w:trHeight w:val="155"/>
        </w:trPr>
        <w:tc>
          <w:tcPr>
            <w:tcW w:w="12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Purchased (1)</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Share</w:t>
            </w:r>
          </w:p>
        </w:tc>
        <w:tc>
          <w:tcPr>
            <w:tcW w:w="8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Plans or Programs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the Plans or Programs</w:t>
            </w:r>
          </w:p>
        </w:tc>
        <w:tc>
          <w:tcPr>
            <w:tcW w:w="0" w:type="dxa"/>
            <w:vAlign w:val="bottom"/>
          </w:tcPr>
          <w:p>
            <w:pPr>
              <w:spacing w:after="0"/>
              <w:rPr>
                <w:sz w:val="1"/>
                <w:szCs w:val="1"/>
                <w:color w:val="auto"/>
              </w:rPr>
            </w:pPr>
          </w:p>
        </w:tc>
      </w:tr>
      <w:tr>
        <w:trPr>
          <w:trHeight w:val="294"/>
        </w:trPr>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302,812,949</w:t>
            </w:r>
          </w:p>
        </w:tc>
        <w:tc>
          <w:tcPr>
            <w:tcW w:w="0" w:type="dxa"/>
            <w:vAlign w:val="bottom"/>
          </w:tcPr>
          <w:p>
            <w:pPr>
              <w:spacing w:after="0"/>
              <w:rPr>
                <w:sz w:val="1"/>
                <w:szCs w:val="1"/>
                <w:color w:val="auto"/>
              </w:rPr>
            </w:pPr>
          </w:p>
        </w:tc>
      </w:tr>
      <w:tr>
        <w:trPr>
          <w:trHeight w:val="488"/>
        </w:trPr>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302,812,949</w:t>
            </w:r>
          </w:p>
        </w:tc>
        <w:tc>
          <w:tcPr>
            <w:tcW w:w="0" w:type="dxa"/>
            <w:vAlign w:val="bottom"/>
          </w:tcPr>
          <w:p>
            <w:pPr>
              <w:spacing w:after="0"/>
              <w:rPr>
                <w:sz w:val="1"/>
                <w:szCs w:val="1"/>
                <w:color w:val="auto"/>
              </w:rPr>
            </w:pPr>
          </w:p>
        </w:tc>
      </w:tr>
      <w:tr>
        <w:trPr>
          <w:trHeight w:val="488"/>
        </w:trPr>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13,838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33.97</w:t>
            </w:r>
          </w:p>
        </w:tc>
        <w:tc>
          <w:tcPr>
            <w:tcW w:w="8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302,812,949</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13,838</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33.97</w:t>
            </w:r>
          </w:p>
        </w:tc>
        <w:tc>
          <w:tcPr>
            <w:tcW w:w="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302,812,949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-2792730</wp:posOffset>
            </wp:positionH>
            <wp:positionV relativeFrom="paragraph">
              <wp:posOffset>-861695</wp:posOffset>
            </wp:positionV>
            <wp:extent cx="6151245" cy="107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1245" cy="107950"/>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-652780</wp:posOffset>
            </wp:positionV>
            <wp:extent cx="6151245" cy="100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1245" cy="10096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-443865</wp:posOffset>
            </wp:positionV>
            <wp:extent cx="6151245" cy="1009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1245" cy="10096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-241935</wp:posOffset>
            </wp:positionV>
            <wp:extent cx="6151245" cy="107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1245" cy="107950"/>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-1070610</wp:posOffset>
            </wp:positionV>
            <wp:extent cx="6151245" cy="107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1245" cy="10795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4480" w:space="720"/>
            <w:col w:w="6080"/>
          </w:cols>
          <w:pgMar w:left="300" w:top="730"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1"/>
          <w:szCs w:val="11"/>
          <w:color w:val="auto"/>
        </w:rPr>
        <w:t>(1) Includes the repurchase of 13,838 shares from employees in order to satisfy statutory tax withholding requirements upon the net settlement of equity awards for the three months ended December 31, 2025</w:t>
      </w:r>
    </w:p>
    <w:p>
      <w:pPr>
        <w:spacing w:after="0" w:line="184"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pursuant to the Exchange Agreement, certain current and former employees elected to exchange 566,924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table provides information about shares of common stock available for future awards under all of the Company’s equity compensation plans as of December 31, 2025:</w:t>
      </w:r>
    </w:p>
    <w:p>
      <w:pPr>
        <w:spacing w:after="0" w:line="24" w:lineRule="exact"/>
        <w:rPr>
          <w:sz w:val="20"/>
          <w:szCs w:val="20"/>
          <w:color w:val="auto"/>
        </w:rPr>
      </w:pPr>
    </w:p>
    <w:tbl>
      <w:tblPr>
        <w:tblLayout w:type="fixed"/>
        <w:tblInd w:w="740" w:type="dxa"/>
        <w:tblCellMar>
          <w:top w:w="0" w:type="dxa"/>
          <w:left w:w="0" w:type="dxa"/>
          <w:bottom w:w="0" w:type="dxa"/>
          <w:right w:w="0" w:type="dxa"/>
        </w:tblCellMar>
      </w:tblPr>
      <w:tr>
        <w:trPr>
          <w:trHeight w:val="126"/>
        </w:trPr>
        <w:tc>
          <w:tcPr>
            <w:tcW w:w="24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 securities to be</w:t>
            </w: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 remaining</w:t>
            </w:r>
          </w:p>
        </w:tc>
        <w:tc>
          <w:tcPr>
            <w:tcW w:w="0" w:type="dxa"/>
            <w:vAlign w:val="bottom"/>
          </w:tcPr>
          <w:p>
            <w:pPr>
              <w:spacing w:after="0"/>
              <w:rPr>
                <w:sz w:val="1"/>
                <w:szCs w:val="1"/>
                <w:color w:val="auto"/>
              </w:rPr>
            </w:pPr>
          </w:p>
        </w:tc>
      </w:tr>
      <w:tr>
        <w:trPr>
          <w:trHeight w:val="106"/>
        </w:trPr>
        <w:tc>
          <w:tcPr>
            <w:tcW w:w="2420" w:type="dxa"/>
            <w:vAlign w:val="bottom"/>
            <w:shd w:val="clear" w:color="auto" w:fill="CCEEFF"/>
          </w:tcPr>
          <w:p>
            <w:pPr>
              <w:spacing w:after="0"/>
              <w:rPr>
                <w:sz w:val="9"/>
                <w:szCs w:val="9"/>
                <w:color w:val="auto"/>
              </w:rPr>
            </w:pPr>
          </w:p>
        </w:tc>
        <w:tc>
          <w:tcPr>
            <w:tcW w:w="2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82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available for future issuance under</w:t>
            </w:r>
          </w:p>
        </w:tc>
        <w:tc>
          <w:tcPr>
            <w:tcW w:w="0" w:type="dxa"/>
            <w:vAlign w:val="bottom"/>
          </w:tcPr>
          <w:p>
            <w:pPr>
              <w:spacing w:after="0"/>
              <w:rPr>
                <w:sz w:val="1"/>
                <w:szCs w:val="1"/>
                <w:color w:val="auto"/>
              </w:rPr>
            </w:pPr>
          </w:p>
        </w:tc>
      </w:tr>
      <w:tr>
        <w:trPr>
          <w:trHeight w:val="117"/>
        </w:trPr>
        <w:tc>
          <w:tcPr>
            <w:tcW w:w="242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issued upon exercise of</w:t>
            </w:r>
          </w:p>
        </w:tc>
        <w:tc>
          <w:tcPr>
            <w:tcW w:w="80" w:type="dxa"/>
            <w:vAlign w:val="bottom"/>
            <w:shd w:val="clear" w:color="auto" w:fill="CCEEFF"/>
          </w:tcPr>
          <w:p>
            <w:pPr>
              <w:spacing w:after="0"/>
              <w:rPr>
                <w:sz w:val="10"/>
                <w:szCs w:val="10"/>
                <w:color w:val="auto"/>
              </w:rPr>
            </w:pPr>
          </w:p>
        </w:tc>
        <w:tc>
          <w:tcPr>
            <w:tcW w:w="1500" w:type="dxa"/>
            <w:vAlign w:val="bottom"/>
            <w:gridSpan w:val="2"/>
            <w:vMerge w:val="continue"/>
            <w:shd w:val="clear" w:color="auto" w:fill="CCEEFF"/>
          </w:tcPr>
          <w:p>
            <w:pPr>
              <w:spacing w:after="0"/>
              <w:rPr>
                <w:sz w:val="10"/>
                <w:szCs w:val="10"/>
                <w:color w:val="auto"/>
              </w:rPr>
            </w:pPr>
          </w:p>
        </w:tc>
        <w:tc>
          <w:tcPr>
            <w:tcW w:w="18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equity compensation plans</w:t>
            </w:r>
          </w:p>
        </w:tc>
        <w:tc>
          <w:tcPr>
            <w:tcW w:w="0" w:type="dxa"/>
            <w:vAlign w:val="bottom"/>
          </w:tcPr>
          <w:p>
            <w:pPr>
              <w:spacing w:after="0"/>
              <w:rPr>
                <w:sz w:val="1"/>
                <w:szCs w:val="1"/>
                <w:color w:val="auto"/>
              </w:rPr>
            </w:pPr>
          </w:p>
        </w:tc>
      </w:tr>
      <w:tr>
        <w:trPr>
          <w:trHeight w:val="117"/>
        </w:trPr>
        <w:tc>
          <w:tcPr>
            <w:tcW w:w="2420" w:type="dxa"/>
            <w:vAlign w:val="bottom"/>
            <w:shd w:val="clear" w:color="auto" w:fill="CCEEFF"/>
          </w:tcPr>
          <w:p>
            <w:pPr>
              <w:spacing w:after="0"/>
              <w:rPr>
                <w:sz w:val="10"/>
                <w:szCs w:val="10"/>
                <w:color w:val="auto"/>
              </w:rPr>
            </w:pPr>
          </w:p>
        </w:tc>
        <w:tc>
          <w:tcPr>
            <w:tcW w:w="236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80" w:type="dxa"/>
            <w:vAlign w:val="bottom"/>
            <w:vMerge w:val="restart"/>
            <w:shd w:val="clear" w:color="auto" w:fill="CCEEFF"/>
          </w:tcPr>
          <w:p>
            <w:pPr>
              <w:spacing w:after="0"/>
              <w:rPr>
                <w:sz w:val="10"/>
                <w:szCs w:val="10"/>
                <w:color w:val="auto"/>
              </w:rPr>
            </w:pPr>
          </w:p>
        </w:tc>
        <w:tc>
          <w:tcPr>
            <w:tcW w:w="156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 options,</w:t>
            </w:r>
          </w:p>
        </w:tc>
        <w:tc>
          <w:tcPr>
            <w:tcW w:w="1580" w:type="dxa"/>
            <w:vAlign w:val="bottom"/>
            <w:gridSpan w:val="3"/>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price of outstanding options,</w:t>
            </w:r>
          </w:p>
        </w:tc>
        <w:tc>
          <w:tcPr>
            <w:tcW w:w="18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(excluding securities reflected in first</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spacing w:after="0"/>
              <w:rPr>
                <w:sz w:val="13"/>
                <w:szCs w:val="13"/>
                <w:color w:val="auto"/>
              </w:rPr>
            </w:pPr>
          </w:p>
        </w:tc>
        <w:tc>
          <w:tcPr>
            <w:tcW w:w="23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warrants and rights</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warrants and rights</w:t>
            </w:r>
          </w:p>
        </w:tc>
        <w:tc>
          <w:tcPr>
            <w:tcW w:w="100" w:type="dxa"/>
            <w:vAlign w:val="bottom"/>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column)</w:t>
            </w:r>
          </w:p>
        </w:tc>
        <w:tc>
          <w:tcPr>
            <w:tcW w:w="0" w:type="dxa"/>
            <w:vAlign w:val="bottom"/>
          </w:tcPr>
          <w:p>
            <w:pPr>
              <w:spacing w:after="0"/>
              <w:rPr>
                <w:sz w:val="1"/>
                <w:szCs w:val="1"/>
                <w:color w:val="auto"/>
              </w:rPr>
            </w:pPr>
          </w:p>
        </w:tc>
      </w:tr>
      <w:tr>
        <w:trPr>
          <w:trHeight w:val="97"/>
        </w:trPr>
        <w:tc>
          <w:tcPr>
            <w:tcW w:w="242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Equity compensation plans approved by security</w:t>
            </w:r>
          </w:p>
        </w:tc>
        <w:tc>
          <w:tcPr>
            <w:tcW w:w="236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Second Amended and Restated 2015 Management</w:t>
            </w:r>
          </w:p>
        </w:tc>
        <w:tc>
          <w:tcPr>
            <w:tcW w:w="80" w:type="dxa"/>
            <w:vAlign w:val="bottom"/>
          </w:tcPr>
          <w:p>
            <w:pPr>
              <w:spacing w:after="0"/>
              <w:rPr>
                <w:sz w:val="8"/>
                <w:szCs w:val="8"/>
                <w:color w:val="auto"/>
              </w:rPr>
            </w:pPr>
          </w:p>
        </w:tc>
        <w:tc>
          <w:tcPr>
            <w:tcW w:w="156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7,625,526</w:t>
            </w:r>
          </w:p>
        </w:tc>
        <w:tc>
          <w:tcPr>
            <w:tcW w:w="0" w:type="dxa"/>
            <w:vAlign w:val="bottom"/>
          </w:tcPr>
          <w:p>
            <w:pPr>
              <w:spacing w:after="0"/>
              <w:rPr>
                <w:sz w:val="1"/>
                <w:szCs w:val="1"/>
                <w:color w:val="auto"/>
              </w:rPr>
            </w:pPr>
          </w:p>
        </w:tc>
      </w:tr>
      <w:tr>
        <w:trPr>
          <w:trHeight w:val="153"/>
        </w:trPr>
        <w:tc>
          <w:tcPr>
            <w:tcW w:w="2420" w:type="dxa"/>
            <w:vAlign w:val="bottom"/>
          </w:tcPr>
          <w:p>
            <w:pPr>
              <w:spacing w:after="0"/>
              <w:rPr>
                <w:sz w:val="20"/>
                <w:szCs w:val="20"/>
                <w:color w:val="auto"/>
              </w:rPr>
            </w:pPr>
            <w:r>
              <w:rPr>
                <w:rFonts w:ascii="Times New Roman" w:cs="Times New Roman" w:eastAsia="Times New Roman" w:hAnsi="Times New Roman"/>
                <w:sz w:val="11"/>
                <w:szCs w:val="11"/>
                <w:color w:val="auto"/>
              </w:rPr>
              <w:t>holders</w:t>
            </w:r>
          </w:p>
        </w:tc>
        <w:tc>
          <w:tcPr>
            <w:tcW w:w="2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Incentive Plan</w:t>
            </w:r>
          </w:p>
        </w:tc>
        <w:tc>
          <w:tcPr>
            <w:tcW w:w="156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7,625,526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4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4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management’s discussion and analysis covers the years ended December 31, 2025 and 2024 should be read in conjunction with the audited Consolidated Financial Statements and accompanying notes for the year ended December 31, 2025, which are included in Item 8 of this Annual Report on Form 10-K.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15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i w:val="1"/>
          <w:iCs w:val="1"/>
          <w:color w:val="auto"/>
        </w:rPr>
        <w:t>For discussion around our results of operations for the year ended December 31, 2024 and for a comparison of our results of operations for the year ended December 31, 2024 and year ended December 31, 2023, see Item 7, Management’s Discussion and Analysis of Financial Condition and Results of Operations, of our Annual Report on Form 10-K for fiscal year ended December 31, 2024, filed with the SEC on February 21,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our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61" w:lineRule="exact"/>
        <w:rPr>
          <w:sz w:val="20"/>
          <w:szCs w:val="20"/>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levels of overall trading activity;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upon trading counterparties, clients and clearing houses performing their obligations to us;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failures of our customized trading platform;</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inherent to the electronic market making business and trading generally;</w:t>
      </w:r>
    </w:p>
    <w:p>
      <w:pPr>
        <w:spacing w:after="0" w:line="93" w:lineRule="exact"/>
        <w:rPr>
          <w:rFonts w:ascii="Times New Roman" w:cs="Times New Roman" w:eastAsia="Times New Roman" w:hAnsi="Times New Roman"/>
          <w:sz w:val="14"/>
          <w:szCs w:val="14"/>
          <w:color w:val="auto"/>
        </w:rPr>
      </w:pPr>
    </w:p>
    <w:p>
      <w:pPr>
        <w:ind w:left="760" w:right="20" w:hanging="119"/>
        <w:spacing w:after="0" w:line="269" w:lineRule="auto"/>
        <w:tabs>
          <w:tab w:leader="none" w:pos="756"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4"/>
          <w:szCs w:val="14"/>
          <w:color w:val="auto"/>
        </w:rPr>
        <w:t>enhanced regulatory and media scrutiny, including attention to electronic trading, wholesale market making and off-exchange trading, payment for order flow, and other market structure topics and both the impact of additional potential changes in regulation or law as well as the potential impact upon public perception of us or of companies in our industry could also have an adverse effect on our business;</w:t>
      </w:r>
    </w:p>
    <w:p>
      <w:pPr>
        <w:spacing w:after="0" w:line="52" w:lineRule="exact"/>
        <w:rPr>
          <w:rFonts w:ascii="Arial" w:cs="Arial" w:eastAsia="Arial" w:hAnsi="Arial"/>
          <w:sz w:val="14"/>
          <w:szCs w:val="14"/>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in market making activities and execution services;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continued access to sources of liquidity;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self-clearing and other operational elements of our business, including but not limited to risks related to funding and liquidity;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comply with applicable regulatory capital requirements;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legal and regulatory-based liabilities;</w:t>
      </w:r>
    </w:p>
    <w:p>
      <w:pPr>
        <w:spacing w:after="0" w:line="93" w:lineRule="exact"/>
        <w:rPr>
          <w:rFonts w:ascii="Times New Roman" w:cs="Times New Roman" w:eastAsia="Times New Roman" w:hAnsi="Times New Roman"/>
          <w:sz w:val="14"/>
          <w:szCs w:val="14"/>
          <w:color w:val="auto"/>
        </w:rPr>
      </w:pPr>
    </w:p>
    <w:p>
      <w:pPr>
        <w:ind w:left="760" w:right="20" w:hanging="119"/>
        <w:spacing w:after="0" w:line="287" w:lineRule="auto"/>
        <w:tabs>
          <w:tab w:leader="none" w:pos="7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39"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comply with laws and regulations applicable to our operations in the U.S. and abroad;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7" w:right="339" w:bottom="1440" w:gutter="0" w:footer="0" w:header="0"/>
        </w:sectPr>
      </w:pPr>
    </w:p>
    <w:bookmarkStart w:id="48" w:name="page49"/>
    <w:bookmarkEnd w:id="48"/>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need to maintain and continue developing proprietary technologies;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constraints, system failures, and delays;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third-party infrastructure or systems;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open source software;</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or enforce our intellectual property rights in our proprietary technology;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confidential and proprietary information;</w:t>
      </w:r>
    </w:p>
    <w:p>
      <w:pPr>
        <w:spacing w:after="0" w:line="93" w:lineRule="exact"/>
        <w:rPr>
          <w:rFonts w:ascii="Times New Roman" w:cs="Times New Roman" w:eastAsia="Times New Roman" w:hAnsi="Times New Roman"/>
          <w:sz w:val="14"/>
          <w:szCs w:val="14"/>
          <w:color w:val="auto"/>
        </w:rPr>
      </w:pPr>
    </w:p>
    <w:p>
      <w:pPr>
        <w:ind w:left="760" w:right="40" w:hanging="119"/>
        <w:spacing w:after="0" w:line="287" w:lineRule="auto"/>
        <w:tabs>
          <w:tab w:leader="none" w:pos="7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our systems from internal or external cyber threats that could result in damage to our computer systems, business interruption, loss of data, monetary payment demands or other consequences;</w:t>
      </w:r>
    </w:p>
    <w:p>
      <w:pPr>
        <w:spacing w:after="0" w:line="39" w:lineRule="exact"/>
        <w:rPr>
          <w:rFonts w:ascii="Times New Roman" w:cs="Times New Roman" w:eastAsia="Times New Roman" w:hAnsi="Times New Roman"/>
          <w:sz w:val="14"/>
          <w:szCs w:val="14"/>
          <w:color w:val="auto"/>
        </w:rPr>
      </w:pPr>
    </w:p>
    <w:p>
      <w:pPr>
        <w:ind w:left="760" w:right="260" w:hanging="119"/>
        <w:spacing w:after="0" w:line="287" w:lineRule="auto"/>
        <w:tabs>
          <w:tab w:leader="none" w:pos="7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investments in our growth strategy which increase our capital expenditures and operating expenses and which may not ultimately yield returns that justify these increases;</w:t>
      </w:r>
    </w:p>
    <w:p>
      <w:pPr>
        <w:spacing w:after="0" w:line="39"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international operations and expansion, including failed acquisitions or dispositions;</w:t>
      </w:r>
    </w:p>
    <w:p>
      <w:pPr>
        <w:spacing w:after="0" w:line="93" w:lineRule="exact"/>
        <w:rPr>
          <w:rFonts w:ascii="Times New Roman" w:cs="Times New Roman" w:eastAsia="Times New Roman" w:hAnsi="Times New Roman"/>
          <w:sz w:val="14"/>
          <w:szCs w:val="14"/>
          <w:color w:val="auto"/>
        </w:rPr>
      </w:pPr>
    </w:p>
    <w:p>
      <w:pPr>
        <w:ind w:left="760" w:hanging="119"/>
        <w:spacing w:after="0" w:line="270" w:lineRule="auto"/>
        <w:tabs>
          <w:tab w:leader="none" w:pos="7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tariff, monetary, fiscal and tax policies in international markets), political conditions (such as military actions and terrorist activities), and other global events such as fires, natural disasters, pandemics or extreme weather;</w:t>
      </w:r>
    </w:p>
    <w:p>
      <w:pPr>
        <w:spacing w:after="0" w:line="50"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potential growth and associated corporate actions;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access, or delay in accessing, the capital markets to sell shares or raise additional capital;</w:t>
      </w:r>
    </w:p>
    <w:p>
      <w:pPr>
        <w:spacing w:after="0" w:line="93" w:lineRule="exact"/>
        <w:rPr>
          <w:rFonts w:ascii="Times New Roman" w:cs="Times New Roman" w:eastAsia="Times New Roman" w:hAnsi="Times New Roman"/>
          <w:sz w:val="14"/>
          <w:szCs w:val="14"/>
          <w:color w:val="auto"/>
        </w:rPr>
      </w:pPr>
    </w:p>
    <w:p>
      <w:pPr>
        <w:ind w:left="760" w:right="120" w:hanging="119"/>
        <w:spacing w:after="0" w:line="287" w:lineRule="auto"/>
        <w:tabs>
          <w:tab w:leader="none" w:pos="7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spacing w:after="0" w:line="39"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executives and failure to recruit and retain qualified personnel;</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losing access to a significant exchange or other trading venue; and</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changes in governmental administrations and agencies.</w:t>
      </w:r>
    </w:p>
    <w:p>
      <w:pPr>
        <w:spacing w:after="0" w:line="285"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Our forward-looking statements made herein are made only as of the date of this Annual Report on Form 10-K.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Annual Report on Form 10-K.</w:t>
      </w:r>
    </w:p>
    <w:p>
      <w:pPr>
        <w:spacing w:after="0" w:line="16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Preparation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Consolidated Financial Statements for the years ended December 31, 2025 and 2024 reflect our operations and those of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168" w:lineRule="exact"/>
        <w:rPr>
          <w:sz w:val="20"/>
          <w:szCs w:val="20"/>
          <w:color w:val="auto"/>
        </w:rPr>
      </w:pPr>
    </w:p>
    <w:p>
      <w:pPr>
        <w:jc w:val="both"/>
        <w:ind w:right="300" w:firstLine="509"/>
        <w:spacing w:after="0" w:line="264" w:lineRule="auto"/>
        <w:rPr>
          <w:sz w:val="20"/>
          <w:szCs w:val="20"/>
          <w:color w:val="auto"/>
        </w:rPr>
      </w:pPr>
      <w:r>
        <w:rPr>
          <w:rFonts w:ascii="Times New Roman" w:cs="Times New Roman" w:eastAsia="Times New Roman" w:hAnsi="Times New Roman"/>
          <w:sz w:val="14"/>
          <w:szCs w:val="14"/>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62" w:lineRule="exact"/>
        <w:rPr>
          <w:sz w:val="20"/>
          <w:szCs w:val="20"/>
          <w:color w:val="auto"/>
        </w:rPr>
      </w:pPr>
    </w:p>
    <w:p>
      <w:pPr>
        <w:jc w:val="both"/>
        <w:ind w:right="140" w:firstLine="509"/>
        <w:spacing w:after="0" w:line="270" w:lineRule="auto"/>
        <w:rPr>
          <w:sz w:val="20"/>
          <w:szCs w:val="20"/>
          <w:color w:val="auto"/>
        </w:rPr>
      </w:pPr>
      <w:r>
        <w:rPr>
          <w:rFonts w:ascii="Times New Roman" w:cs="Times New Roman" w:eastAsia="Times New Roman" w:hAnsi="Times New Roman"/>
          <w:sz w:val="14"/>
          <w:szCs w:val="14"/>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15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57"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We have two operating segments: Market Making and Execution Services, and one non-operating segment: Corporate. Our management allocates resources, assesses performance and manages our business according to these segments.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Making</w:t>
      </w:r>
    </w:p>
    <w:p>
      <w:pPr>
        <w:spacing w:after="0" w:line="20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4"/>
          <w:szCs w:val="14"/>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50,000 securities and other financial instruments, on over 150 venues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338"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auto"/>
        </w:rPr>
        <w:t>Execution Services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Agreement</w:t>
      </w:r>
    </w:p>
    <w:p>
      <w:pPr>
        <w:spacing w:after="0" w:line="202"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4"/>
          <w:szCs w:val="14"/>
          <w:color w:val="auto"/>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16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4"/>
          <w:szCs w:val="14"/>
          <w:color w:val="auto"/>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spacing w:after="0" w:line="16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spacing w:after="0" w:line="164"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On February 19, 2025 (the “Amendment No. 2 Effective Date”), the Company entered into Amendment No. 2 to the First Amended Credit Agreement (“Amendment No. 2”). Amendment No. 2 amended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“Original Term B-2 Loans”), the proceeds of which were used to repay in full the Term B-1 Loans on the Amendment No. 2 Effective Date.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On September 23, 2025 (the “Amendment No. 3 Effective Date”), the Company entered into Amendment No. 3 to the First Amended Credit Agreement (“Amendment No. 3”). Amendment No. 3 amended the Credit Agreement to effect the issuance of incremental Senior Secured First Lien Term B-2 Loans in the amount of $300.0 million, the proceeds of which were used for general corporate purposes, for a total Term B-2 Loan balance of $1,545.0 million (collectively, the “Term B-2 Loans”).</w:t>
      </w:r>
    </w:p>
    <w:p>
      <w:pPr>
        <w:spacing w:after="0" w:line="15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spacing w:after="0" w:line="164"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 interest rate swap effectively fixed interest payment obligations on $1,075.0 million of principal of the Term B-2 Loans at a rate of 6.92% through November 2025, based on the interest rates set forth in the Credit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202" w:lineRule="exact"/>
        <w:rPr>
          <w:sz w:val="20"/>
          <w:szCs w:val="20"/>
          <w:color w:val="auto"/>
        </w:rPr>
      </w:pPr>
    </w:p>
    <w:p>
      <w:pPr>
        <w:ind w:right="260" w:firstLine="509"/>
        <w:spacing w:after="0" w:line="264" w:lineRule="auto"/>
        <w:rPr>
          <w:sz w:val="20"/>
          <w:szCs w:val="20"/>
          <w:color w:val="auto"/>
        </w:rPr>
      </w:pPr>
      <w:r>
        <w:rPr>
          <w:rFonts w:ascii="Times New Roman" w:cs="Times New Roman" w:eastAsia="Times New Roman" w:hAnsi="Times New Roman"/>
          <w:sz w:val="14"/>
          <w:szCs w:val="14"/>
          <w:color w:val="auto"/>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Second Amended and Restated 2015 Management Incentive Plan</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and June 2, 2025 (as amended and restated, the “Second Amended and Restated 2015 Management Incentive Plan”). On April 23, 2025, the Company’s Board of Directors adopted the Second Amended and Restated 2015 Management Incentive Plan to increase the number of shares, to extend the expiration date to June 2, 2035 and to remove certain provisions related to Section 162(m) of the Code that are no longer applicable. The Second Amended and Restated 2015 Management Incentive Plan provides for the grant of stock options, restricted stock units, and other awards based on an aggregate of 33,500,000 shares of Class A Common Stock, par value $0.00001 per share (the “Class A Common Stock”), subject to additional sublimits, including limits on the total option grant to any one participant in a single year and the total performance award to any one participant in a single year. The Second Amended and Restated 2015 Management Incentive Plan was approved by the Company’s shareholders at the Company’s annual meeting of shareholders on June 2, 2025.</w:t>
      </w:r>
    </w:p>
    <w:p>
      <w:pPr>
        <w:spacing w:after="0" w:line="338"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December 31, 2025, options to purchase 1,646,500 shares in the aggregate were forfeited and 7,581,500 options were exercised. The fair value of the stock option grants was determined through the application of the Black-Scholes-Merton model and was recognized on a straight-line basis over the vesting period.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shows our i) Total revenue, ii) Total operating expenses, and iii) Income before income taxes and noncontrolling interest by segment for the years ended December 31, 2025, 2024, and 2023:</w:t>
      </w:r>
    </w:p>
    <w:p>
      <w:pPr>
        <w:spacing w:after="0" w:line="173" w:lineRule="exact"/>
        <w:rPr>
          <w:sz w:val="20"/>
          <w:szCs w:val="20"/>
          <w:color w:val="auto"/>
        </w:rPr>
      </w:pPr>
    </w:p>
    <w:tbl>
      <w:tblPr>
        <w:tblLayout w:type="fixed"/>
        <w:tblInd w:w="820" w:type="dxa"/>
        <w:tblCellMar>
          <w:top w:w="0" w:type="dxa"/>
          <w:left w:w="0" w:type="dxa"/>
          <w:bottom w:w="0" w:type="dxa"/>
          <w:right w:w="0" w:type="dxa"/>
        </w:tblCellMar>
      </w:tblPr>
      <w:tr>
        <w:trPr>
          <w:trHeight w:val="158"/>
        </w:trPr>
        <w:tc>
          <w:tcPr>
            <w:tcW w:w="5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4"/>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revenue</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2,949,221</w:t>
            </w:r>
          </w:p>
        </w:tc>
        <w:tc>
          <w:tcPr>
            <w:tcW w:w="100" w:type="dxa"/>
            <w:vAlign w:val="bottom"/>
          </w:tcPr>
          <w:p>
            <w:pPr>
              <w:spacing w:after="0"/>
              <w:rPr>
                <w:sz w:val="12"/>
                <w:szCs w:val="12"/>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2,374,096</w:t>
            </w:r>
          </w:p>
        </w:tc>
        <w:tc>
          <w:tcPr>
            <w:tcW w:w="100" w:type="dxa"/>
            <w:vAlign w:val="bottom"/>
          </w:tcPr>
          <w:p>
            <w:pPr>
              <w:spacing w:after="0"/>
              <w:rPr>
                <w:sz w:val="12"/>
                <w:szCs w:val="12"/>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1,843,523</w:t>
            </w:r>
          </w:p>
        </w:tc>
      </w:tr>
      <w:tr>
        <w:trPr>
          <w:trHeight w:val="165"/>
        </w:trPr>
        <w:tc>
          <w:tcPr>
            <w:tcW w:w="5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2,058,627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1,783,044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1,527,921</w:t>
            </w:r>
          </w:p>
        </w:tc>
      </w:tr>
      <w:tr>
        <w:trPr>
          <w:trHeight w:val="144"/>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Income (loss) before income taxes and noncontrolling interest</w:t>
            </w:r>
          </w:p>
        </w:tc>
        <w:tc>
          <w:tcPr>
            <w:tcW w:w="32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890,594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591,052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315,602</w:t>
            </w:r>
          </w:p>
        </w:tc>
      </w:tr>
      <w:tr>
        <w:trPr>
          <w:trHeight w:val="165"/>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53"/>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revenue</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668,192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507,230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446,542</w:t>
            </w:r>
          </w:p>
        </w:tc>
      </w:tr>
      <w:tr>
        <w:trPr>
          <w:trHeight w:val="165"/>
        </w:trPr>
        <w:tc>
          <w:tcPr>
            <w:tcW w:w="5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477,630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445,470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436,102</w:t>
            </w:r>
          </w:p>
        </w:tc>
      </w:tr>
      <w:tr>
        <w:trPr>
          <w:trHeight w:val="144"/>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Income (loss) before income taxes and noncontrolling interest</w:t>
            </w:r>
          </w:p>
        </w:tc>
        <w:tc>
          <w:tcPr>
            <w:tcW w:w="32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190,562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61,760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10,440</w:t>
            </w:r>
          </w:p>
        </w:tc>
      </w:tr>
      <w:tr>
        <w:trPr>
          <w:trHeight w:val="165"/>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53"/>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revenue</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3,308</w:t>
            </w:r>
          </w:p>
        </w:tc>
      </w:tr>
      <w:tr>
        <w:trPr>
          <w:trHeight w:val="165"/>
        </w:trPr>
        <w:tc>
          <w:tcPr>
            <w:tcW w:w="5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3,465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4,219</w:t>
            </w:r>
          </w:p>
        </w:tc>
      </w:tr>
      <w:tr>
        <w:trPr>
          <w:trHeight w:val="144"/>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Income (loss) before income taxes and noncontrolling interest</w:t>
            </w:r>
          </w:p>
        </w:tc>
        <w:tc>
          <w:tcPr>
            <w:tcW w:w="32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13,173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(911)</w:t>
            </w:r>
          </w:p>
        </w:tc>
      </w:tr>
      <w:tr>
        <w:trPr>
          <w:trHeight w:val="165"/>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53"/>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revenue</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3,632,118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2,876,949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2,293,373</w:t>
            </w:r>
          </w:p>
        </w:tc>
      </w:tr>
      <w:tr>
        <w:trPr>
          <w:trHeight w:val="159"/>
        </w:trPr>
        <w:tc>
          <w:tcPr>
            <w:tcW w:w="5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2,537,789</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2,231,979</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1,968,242</w:t>
            </w:r>
          </w:p>
        </w:tc>
      </w:tr>
      <w:tr>
        <w:trPr>
          <w:trHeight w:val="156"/>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Income (loss) before income taxes and noncontrolling interest</w:t>
            </w:r>
          </w:p>
        </w:tc>
        <w:tc>
          <w:tcPr>
            <w:tcW w:w="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1,094,329</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644,970</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325,131</w:t>
            </w: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shows our results of operations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812" w:right="499" w:bottom="1440" w:gutter="0" w:footer="0" w:header="0"/>
        </w:sectPr>
      </w:pPr>
    </w:p>
    <w:bookmarkStart w:id="53" w:name="page54"/>
    <w:bookmarkEnd w:id="53"/>
    <w:tbl>
      <w:tblPr>
        <w:tblLayout w:type="fixed"/>
        <w:tblInd w:w="76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3"/>
                <w:szCs w:val="13"/>
                <w:color w:val="auto"/>
              </w:rPr>
            </w:pPr>
          </w:p>
        </w:tc>
        <w:tc>
          <w:tcPr>
            <w:tcW w:w="112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164"/>
        </w:trPr>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2,436,707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1,822,437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1,301,344</w:t>
            </w:r>
          </w:p>
        </w:tc>
      </w:tr>
      <w:tr>
        <w:trPr>
          <w:trHeight w:val="153"/>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6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508,817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462,070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462,566</w:t>
            </w:r>
          </w:p>
        </w:tc>
      </w:tr>
      <w:tr>
        <w:trPr>
          <w:trHeight w:val="165"/>
        </w:trPr>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617,025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516,783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455,598</w:t>
            </w:r>
          </w:p>
        </w:tc>
      </w:tr>
      <w:tr>
        <w:trPr>
          <w:trHeight w:val="153"/>
        </w:trPr>
        <w:tc>
          <w:tcPr>
            <w:tcW w:w="5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69,569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75,659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73,865</w:t>
            </w:r>
          </w:p>
        </w:tc>
      </w:tr>
      <w:tr>
        <w:trPr>
          <w:trHeight w:val="156"/>
        </w:trPr>
        <w:tc>
          <w:tcPr>
            <w:tcW w:w="5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revenue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3,632,118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2,876,949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2,293,373</w:t>
            </w:r>
          </w:p>
        </w:tc>
      </w:tr>
    </w:tbl>
    <w:p>
      <w:pPr>
        <w:spacing w:after="0" w:line="170" w:lineRule="exact"/>
        <w:rPr>
          <w:sz w:val="20"/>
          <w:szCs w:val="20"/>
          <w:color w:val="auto"/>
        </w:rPr>
      </w:pPr>
    </w:p>
    <w:tbl>
      <w:tblPr>
        <w:tblLayout w:type="fixed"/>
        <w:tblInd w:w="760" w:type="dxa"/>
        <w:tblCellMar>
          <w:top w:w="0" w:type="dxa"/>
          <w:left w:w="0" w:type="dxa"/>
          <w:bottom w:w="0" w:type="dxa"/>
          <w:right w:w="0" w:type="dxa"/>
        </w:tblCellMar>
      </w:tblPr>
      <w:tr>
        <w:trPr>
          <w:trHeight w:val="15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3"/>
        </w:trPr>
        <w:tc>
          <w:tcPr>
            <w:tcW w:w="5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769,774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674,426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508,358</w:t>
            </w:r>
          </w:p>
        </w:tc>
      </w:tr>
      <w:tr>
        <w:trPr>
          <w:trHeight w:val="165"/>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Communication and data processing</w:t>
            </w: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249,207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236,446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230,760</w:t>
            </w:r>
          </w:p>
        </w:tc>
      </w:tr>
      <w:tr>
        <w:trPr>
          <w:trHeight w:val="153"/>
        </w:trPr>
        <w:tc>
          <w:tcPr>
            <w:tcW w:w="5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Employee compensation and payroll taxes</w:t>
            </w: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528,085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434,823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394,039</w:t>
            </w:r>
          </w:p>
        </w:tc>
      </w:tr>
      <w:tr>
        <w:trPr>
          <w:trHeight w:val="165"/>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647,448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529,177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500,467</w:t>
            </w:r>
          </w:p>
        </w:tc>
      </w:tr>
      <w:tr>
        <w:trPr>
          <w:trHeight w:val="153"/>
        </w:trPr>
        <w:tc>
          <w:tcPr>
            <w:tcW w:w="5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Operations and administrative</w:t>
            </w: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97,922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97,002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98,972</w:t>
            </w:r>
          </w:p>
        </w:tc>
      </w:tr>
      <w:tr>
        <w:trPr>
          <w:trHeight w:val="165"/>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64,420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65,816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63,306</w:t>
            </w:r>
          </w:p>
        </w:tc>
      </w:tr>
      <w:tr>
        <w:trPr>
          <w:trHeight w:val="153"/>
        </w:trPr>
        <w:tc>
          <w:tcPr>
            <w:tcW w:w="5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Amortization of purchased intangibles and acquired capitalized software</w:t>
            </w: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47,132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50,471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63,960</w:t>
            </w:r>
          </w:p>
        </w:tc>
      </w:tr>
      <w:tr>
        <w:trPr>
          <w:trHeight w:val="165"/>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Termination of office leases</w:t>
            </w: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(5,982)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16,224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455</w:t>
            </w:r>
          </w:p>
        </w:tc>
      </w:tr>
      <w:tr>
        <w:trPr>
          <w:trHeight w:val="153"/>
        </w:trPr>
        <w:tc>
          <w:tcPr>
            <w:tcW w:w="5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Debt issue cost related to debt refinancing, prepayment and commitment fees</w:t>
            </w: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6,510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29,479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8,317</w:t>
            </w:r>
          </w:p>
        </w:tc>
      </w:tr>
      <w:tr>
        <w:trPr>
          <w:trHeight w:val="165"/>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Transaction advisory fees and expenses</w:t>
            </w: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414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314</w:t>
            </w:r>
          </w:p>
        </w:tc>
      </w:tr>
      <w:tr>
        <w:trPr>
          <w:trHeight w:val="153"/>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Financing interest expense on long-term borrowings</w:t>
            </w: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132,859</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97,802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99,294</w:t>
            </w:r>
          </w:p>
        </w:tc>
      </w:tr>
      <w:tr>
        <w:trPr>
          <w:trHeight w:val="15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operating expenses</w:t>
            </w:r>
          </w:p>
        </w:tc>
        <w:tc>
          <w:tcPr>
            <w:tcW w:w="4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2,537,789</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2,231,979</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1,968,242</w:t>
            </w:r>
          </w:p>
        </w:tc>
      </w:tr>
      <w:tr>
        <w:trPr>
          <w:trHeight w:val="144"/>
        </w:trPr>
        <w:tc>
          <w:tcPr>
            <w:tcW w:w="5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before income taxes and noncontrolling interest</w:t>
            </w:r>
          </w:p>
        </w:tc>
        <w:tc>
          <w:tcPr>
            <w:tcW w:w="480" w:type="dxa"/>
            <w:vAlign w:val="bottom"/>
          </w:tcPr>
          <w:p>
            <w:pPr>
              <w:spacing w:after="0"/>
              <w:rPr>
                <w:sz w:val="12"/>
                <w:szCs w:val="12"/>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1,094,329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644,970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325,131</w:t>
            </w:r>
          </w:p>
        </w:tc>
      </w:tr>
      <w:tr>
        <w:trPr>
          <w:trHeight w:val="159"/>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4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182,065</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110,435</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61,210</w:t>
            </w:r>
          </w:p>
        </w:tc>
      </w:tr>
      <w:tr>
        <w:trPr>
          <w:trHeight w:val="156"/>
        </w:trPr>
        <w:tc>
          <w:tcPr>
            <w:tcW w:w="51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4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912,264</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534,535</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263,921</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3"/>
        </w:trPr>
        <w:tc>
          <w:tcPr>
            <w:tcW w:w="5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Selected Operating Margins</w:t>
            </w:r>
          </w:p>
        </w:tc>
        <w:tc>
          <w:tcPr>
            <w:tcW w:w="3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4"/>
        </w:trPr>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GAAP Net income Margin (1)</w:t>
            </w:r>
          </w:p>
        </w:tc>
        <w:tc>
          <w:tcPr>
            <w:tcW w:w="312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25.1 %</w:t>
            </w:r>
          </w:p>
        </w:tc>
        <w:tc>
          <w:tcPr>
            <w:tcW w:w="15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18.6 %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11.5 %</w:t>
            </w:r>
          </w:p>
        </w:tc>
      </w:tr>
      <w:tr>
        <w:trPr>
          <w:trHeight w:val="204"/>
        </w:trPr>
        <w:tc>
          <w:tcPr>
            <w:tcW w:w="2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93"/>
              </w:rPr>
              <w:t>(1)</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Calculated by dividing Net income by Total revenue.</w:t>
            </w:r>
          </w:p>
        </w:tc>
        <w:tc>
          <w:tcPr>
            <w:tcW w:w="3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20"/>
          </w:cols>
          <w:pgMar w:left="300" w:top="757" w:right="1079" w:bottom="1440" w:gutter="0" w:footer="0" w:header="0"/>
        </w:sectPr>
      </w:pPr>
    </w:p>
    <w:bookmarkStart w:id="54" w:name="page55"/>
    <w:bookmarkEnd w:id="54"/>
    <w:p>
      <w:pPr>
        <w:ind w:left="1020"/>
        <w:spacing w:after="0"/>
        <w:rPr>
          <w:sz w:val="20"/>
          <w:szCs w:val="20"/>
          <w:color w:val="auto"/>
        </w:rPr>
      </w:pPr>
      <w:r>
        <w:rPr>
          <w:rFonts w:ascii="Times New Roman" w:cs="Times New Roman" w:eastAsia="Times New Roman" w:hAnsi="Times New Roman"/>
          <w:sz w:val="14"/>
          <w:szCs w:val="14"/>
          <w:color w:val="auto"/>
        </w:rPr>
        <w:t>Net income available to stockholders and basic and diluted earnings per share are presented below:</w:t>
      </w:r>
    </w:p>
    <w:p>
      <w:pPr>
        <w:spacing w:after="0" w:line="174" w:lineRule="exact"/>
        <w:rPr>
          <w:sz w:val="20"/>
          <w:szCs w:val="20"/>
          <w:color w:val="auto"/>
        </w:rPr>
      </w:pPr>
    </w:p>
    <w:tbl>
      <w:tblPr>
        <w:tblLayout w:type="fixed"/>
        <w:tblInd w:w="190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for share or per share data)</w:t>
            </w:r>
          </w:p>
        </w:tc>
        <w:tc>
          <w:tcPr>
            <w:tcW w:w="280" w:type="dxa"/>
            <w:vAlign w:val="bottom"/>
          </w:tcPr>
          <w:p>
            <w:pPr>
              <w:spacing w:after="0"/>
              <w:rPr>
                <w:sz w:val="13"/>
                <w:szCs w:val="13"/>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912,264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534,535</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263,921</w:t>
            </w:r>
          </w:p>
        </w:tc>
      </w:tr>
      <w:tr>
        <w:trPr>
          <w:trHeight w:val="15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Noncontrolling interest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(443,903)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(258,120)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(121,885)</w:t>
            </w:r>
          </w:p>
        </w:tc>
      </w:tr>
      <w:tr>
        <w:trPr>
          <w:trHeight w:val="208"/>
        </w:trPr>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1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income available for common stockholders</w:t>
            </w: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468,361</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276,415</w:t>
            </w: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142,036</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3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Earnings per share</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5"/>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w:t>
            </w: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5.14</w:t>
            </w: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r>
      <w:tr>
        <w:trPr>
          <w:trHeight w:val="15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Diluted</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5.13</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2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r>
      <w:tr>
        <w:trPr>
          <w:trHeight w:val="208"/>
        </w:trPr>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5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5"/>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85,216,028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87,482,162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94,076,165</w:t>
            </w:r>
          </w:p>
        </w:tc>
      </w:tr>
      <w:tr>
        <w:trPr>
          <w:trHeight w:val="14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Diluted</w:t>
            </w:r>
          </w:p>
        </w:tc>
        <w:tc>
          <w:tcPr>
            <w:tcW w:w="280" w:type="dxa"/>
            <w:vAlign w:val="bottom"/>
          </w:tcPr>
          <w:p>
            <w:pPr>
              <w:spacing w:after="0"/>
              <w:rPr>
                <w:sz w:val="12"/>
                <w:szCs w:val="1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85,318,436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87,821,576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94,076,165</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Revenues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62"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Trading income, net. </w:t>
      </w:r>
      <w:r>
        <w:rPr>
          <w:rFonts w:ascii="Times New Roman" w:cs="Times New Roman" w:eastAsia="Times New Roman" w:hAnsi="Times New Roman"/>
          <w:sz w:val="14"/>
          <w:szCs w:val="14"/>
          <w:color w:val="auto"/>
        </w:rPr>
        <w:t>Trading income, net represents revenue earned from bid/ask spreads. Trading income is generated in the normal course of our market making activities and is typically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67% and 63% of our total revenues for the years ended December 31, 2025 and 2024, respectively.</w:t>
      </w:r>
    </w:p>
    <w:p>
      <w:pPr>
        <w:spacing w:after="0" w:line="159"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and dividends income. </w:t>
      </w:r>
      <w:r>
        <w:rPr>
          <w:rFonts w:ascii="Times New Roman" w:cs="Times New Roman" w:eastAsia="Times New Roman" w:hAnsi="Times New Roman"/>
          <w:sz w:val="14"/>
          <w:szCs w:val="14"/>
          <w:color w:val="auto"/>
        </w:rPr>
        <w:t>Our market making activities require us to hold securities on a regular basis, and we generate revenues in the form of interest and dividends income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these securities. Interest is also earned on securities borrowed from other market participants pursuant to collateralized financing arrangements and on cash held by brokers. Dividends income arises from holding market making positions over dates on which dividends and capital gain distributions are paid to shareholders of record.</w:t>
      </w:r>
    </w:p>
    <w:p>
      <w:pPr>
        <w:spacing w:after="0" w:line="155"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Commissions, net and technology services. </w:t>
      </w:r>
      <w:r>
        <w:rPr>
          <w:rFonts w:ascii="Times New Roman" w:cs="Times New Roman" w:eastAsia="Times New Roman" w:hAnsi="Times New Roman"/>
          <w:sz w:val="14"/>
          <w:szCs w:val="14"/>
          <w:color w:val="auto"/>
        </w:rPr>
        <w:t>We earn revenues on transactions for which we charge explicit commissions, which include the majority of our institutional client orders.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163" w:lineRule="exact"/>
        <w:rPr>
          <w:sz w:val="20"/>
          <w:szCs w:val="20"/>
          <w:color w:val="auto"/>
        </w:rPr>
      </w:pPr>
    </w:p>
    <w:p>
      <w:pPr>
        <w:ind w:right="12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net. </w:t>
      </w:r>
      <w:r>
        <w:rPr>
          <w:rFonts w:ascii="Times New Roman" w:cs="Times New Roman" w:eastAsia="Times New Roman" w:hAnsi="Times New Roman"/>
          <w:sz w:val="14"/>
          <w:szCs w:val="14"/>
          <w:color w:val="auto"/>
        </w:rPr>
        <w:t>We have interests in multiple strategic investments and telecommunications joint ventures (“JVs”). We record our pro-rata share of our JVs’ earnings or losses within Other, net,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while fees related to the use of communication services provided by the JVs are recorded within Communications and data processing.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5" w:name="page56"/>
    <w:bookmarkEnd w:id="55"/>
    <w:p>
      <w:pPr>
        <w:jc w:val="both"/>
        <w:ind w:right="300" w:firstLine="509"/>
        <w:spacing w:after="0" w:line="254" w:lineRule="auto"/>
        <w:rPr>
          <w:sz w:val="20"/>
          <w:szCs w:val="20"/>
          <w:color w:val="auto"/>
        </w:rPr>
      </w:pPr>
      <w:r>
        <w:rPr>
          <w:rFonts w:ascii="Times New Roman" w:cs="Times New Roman" w:eastAsia="Times New Roman" w:hAnsi="Times New Roman"/>
          <w:sz w:val="14"/>
          <w:szCs w:val="14"/>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168"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Other, net can also include gains on sales of strategic investments and businesses, settlement fund recoveries, remeasurement gains or losses on certain digital assets held, as well as revenues from service agreements related to the sale of businesses.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00"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Brokerage, exchange, clearance fees and payments for order flow, net. </w:t>
      </w:r>
      <w:r>
        <w:rPr>
          <w:rFonts w:ascii="Times New Roman" w:cs="Times New Roman" w:eastAsia="Times New Roman" w:hAnsi="Times New Roman"/>
          <w:sz w:val="14"/>
          <w:szCs w:val="14"/>
          <w:color w:val="auto"/>
        </w:rPr>
        <w:t>Brokerage, exchange, clearance fees and payments for order flow are our most significant expenses, which include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63"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Communication and data processing. </w:t>
      </w:r>
      <w:r>
        <w:rPr>
          <w:rFonts w:ascii="Times New Roman" w:cs="Times New Roman" w:eastAsia="Times New Roman" w:hAnsi="Times New Roman"/>
          <w:sz w:val="14"/>
          <w:szCs w:val="14"/>
          <w:color w:val="auto"/>
        </w:rPr>
        <w:t>Communication and data processing represent primarily fixed expenses for data center co-location, network lines and connectivity for our trading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59"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Employee compensation and payroll taxes. </w:t>
      </w:r>
      <w:r>
        <w:rPr>
          <w:rFonts w:ascii="Times New Roman" w:cs="Times New Roman" w:eastAsia="Times New Roman" w:hAnsi="Times New Roman"/>
          <w:sz w:val="14"/>
          <w:szCs w:val="14"/>
          <w:color w:val="auto"/>
        </w:rPr>
        <w:t>Employee compensation and payroll taxes include employee salaries, cash and non-cash incentive compensation, employee benefits, payroll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taxes, severance and other employee related costs. Employee compensation and payroll taxes also includes non-cash compensation expenses with respect to restricted stock units and restricted stock awards pursuant to the Second Amended and Restated 2015 Management Incentive Plan.</w:t>
      </w:r>
    </w:p>
    <w:p>
      <w:pPr>
        <w:spacing w:after="0" w:line="155" w:lineRule="exact"/>
        <w:rPr>
          <w:sz w:val="20"/>
          <w:szCs w:val="20"/>
          <w:color w:val="auto"/>
        </w:rPr>
      </w:pPr>
    </w:p>
    <w:p>
      <w:pPr>
        <w:ind w:right="36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and dividends expense. </w:t>
      </w:r>
      <w:r>
        <w:rPr>
          <w:rFonts w:ascii="Times New Roman" w:cs="Times New Roman" w:eastAsia="Times New Roman" w:hAnsi="Times New Roman"/>
          <w:sz w:val="14"/>
          <w:szCs w:val="14"/>
          <w:color w:val="auto"/>
        </w:rPr>
        <w:t>We incur interest expense from loaning certain equity securities in the general course of our market making activities pursuant to collateralized lending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transactions. Typically, dividends expense is incurred when a dividend is paid on securities sold short.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Operations and administrative. </w:t>
      </w:r>
      <w:r>
        <w:rPr>
          <w:rFonts w:ascii="Times New Roman" w:cs="Times New Roman" w:eastAsia="Times New Roman" w:hAnsi="Times New Roman"/>
          <w:sz w:val="14"/>
          <w:szCs w:val="14"/>
          <w:color w:val="auto"/>
        </w:rPr>
        <w:t>Operations and administrative expense represents occupancy, recruiting, travel and related expense, professional fees and other expenses.</w:t>
      </w:r>
    </w:p>
    <w:p>
      <w:pPr>
        <w:spacing w:after="0" w:line="20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Depreciation and amortization. </w:t>
      </w:r>
      <w:r>
        <w:rPr>
          <w:rFonts w:ascii="Times New Roman" w:cs="Times New Roman" w:eastAsia="Times New Roman" w:hAnsi="Times New Roman"/>
          <w:sz w:val="14"/>
          <w:szCs w:val="14"/>
          <w:color w:val="auto"/>
        </w:rPr>
        <w:t>Depreciation and amortization expense results from the depreciation of fixed assets and leased equipment, such as computing and communications hardware,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6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Amortization of purchased intangibles and acquired capitalized software. </w:t>
      </w:r>
      <w:r>
        <w:rPr>
          <w:rFonts w:ascii="Times New Roman" w:cs="Times New Roman" w:eastAsia="Times New Roman" w:hAnsi="Times New Roman"/>
          <w:sz w:val="14"/>
          <w:szCs w:val="14"/>
          <w:color w:val="auto"/>
        </w:rPr>
        <w:t>Amortization of purchased intangibles and acquired capitalized software represents the amortization of finite lived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intangible assets acquired in connection with the Acquisition of KCG and the ITG Acquisition. These assets are amortized over their useful lives, ranging from 1 to 15 years, except for certain assets which were categorized as having indefinite useful lives.</w:t>
      </w:r>
    </w:p>
    <w:p>
      <w:pPr>
        <w:spacing w:after="0" w:line="155"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Termination of office leases. </w:t>
      </w:r>
      <w:r>
        <w:rPr>
          <w:rFonts w:ascii="Times New Roman" w:cs="Times New Roman" w:eastAsia="Times New Roman" w:hAnsi="Times New Roman"/>
          <w:sz w:val="14"/>
          <w:szCs w:val="14"/>
          <w:color w:val="auto"/>
        </w:rPr>
        <w:t>Termination of office leases represents the write-off expense and asset retirement obligations related to certain office space we ceased use of as part of the effort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integrate and consolidate office space. The aggregate write-off amount includes the impairment of operating lease right-of-use assets, leasehold improvements and fixed assets, and dilapidation charges.</w:t>
      </w:r>
    </w:p>
    <w:p>
      <w:pPr>
        <w:spacing w:after="0" w:line="155"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Debt issue cost related to debt refinancing, prepayment and commitment fees. </w:t>
      </w:r>
      <w:r>
        <w:rPr>
          <w:rFonts w:ascii="Times New Roman" w:cs="Times New Roman" w:eastAsia="Times New Roman" w:hAnsi="Times New Roman"/>
          <w:sz w:val="14"/>
          <w:szCs w:val="14"/>
          <w:color w:val="auto"/>
        </w:rPr>
        <w:t>As a result of the refinancing or early termination of our long-term borrowings, we accelerate the capitalized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debt issue cost and the discount on the term loan that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6" w:name="page57"/>
    <w:bookmarkEnd w:id="56"/>
    <w:p>
      <w:pPr>
        <w:ind w:right="60"/>
        <w:spacing w:after="0" w:line="287" w:lineRule="auto"/>
        <w:rPr>
          <w:sz w:val="20"/>
          <w:szCs w:val="20"/>
          <w:color w:val="auto"/>
        </w:rPr>
      </w:pPr>
      <w:r>
        <w:rPr>
          <w:rFonts w:ascii="Times New Roman" w:cs="Times New Roman" w:eastAsia="Times New Roman" w:hAnsi="Times New Roman"/>
          <w:sz w:val="14"/>
          <w:szCs w:val="14"/>
          <w:color w:val="auto"/>
        </w:rPr>
        <w:t>would otherwise be amortized or accreted over the life of the term loan. Premium paid in connection with retiring outstanding bonds, and commitment fees paid for lines of credit are also included in this category.</w:t>
      </w:r>
    </w:p>
    <w:p>
      <w:pPr>
        <w:spacing w:after="0" w:line="143" w:lineRule="exact"/>
        <w:rPr>
          <w:sz w:val="20"/>
          <w:szCs w:val="20"/>
          <w:color w:val="auto"/>
        </w:rPr>
      </w:pPr>
    </w:p>
    <w:p>
      <w:pPr>
        <w:ind w:right="70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Transaction advisory fees and expenses. </w:t>
      </w:r>
      <w:r>
        <w:rPr>
          <w:rFonts w:ascii="Times New Roman" w:cs="Times New Roman" w:eastAsia="Times New Roman" w:hAnsi="Times New Roman"/>
          <w:sz w:val="14"/>
          <w:szCs w:val="14"/>
          <w:color w:val="auto"/>
        </w:rPr>
        <w:t>Transaction advisory fees and expenses primarily reflect professional fees incurred by us in connection with one or more acquisitions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dispositions.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Financing interest expense on long-term borrowings. </w:t>
      </w:r>
      <w:r>
        <w:rPr>
          <w:rFonts w:ascii="Times New Roman" w:cs="Times New Roman" w:eastAsia="Times New Roman" w:hAnsi="Times New Roman"/>
          <w:sz w:val="14"/>
          <w:szCs w:val="14"/>
          <w:color w:val="auto"/>
        </w:rPr>
        <w:t>Financing interest expense reflects interest accrued on outstanding indebtedness under our long-term borrowing arrangements.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subject to U.S. federal, state and local income tax at the rate applicable to corporations less the rate attributable to the noncontrolling interest in Virtu Financial. Our non-U.S.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are also subject to foreign income tax at the applicable corporate rates.</w:t>
      </w:r>
    </w:p>
    <w:p>
      <w:pPr>
        <w:spacing w:after="0" w:line="18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spacing w:after="0" w:line="16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15 “Income Taxes” of Part II, Item 8 “Financial Statements and Supplementary Data” of this Annual Report on Form 10-K for additional information.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Non-GAAP Financial Measures and Other Items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 supplement our Consolidated Financial Statements presented in accordance with generally accepted accounting principles in the United States (“U.S. GAAP”), we use the following non-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GAAP (“Non-GAAP”) financial measures of financial performance:</w:t>
      </w:r>
    </w:p>
    <w:p>
      <w:pPr>
        <w:spacing w:after="0" w:line="175" w:lineRule="exact"/>
        <w:rPr>
          <w:sz w:val="20"/>
          <w:szCs w:val="20"/>
          <w:color w:val="auto"/>
        </w:rPr>
      </w:pPr>
    </w:p>
    <w:p>
      <w:pPr>
        <w:ind w:left="840" w:right="40" w:hanging="199"/>
        <w:spacing w:after="0" w:line="239" w:lineRule="auto"/>
        <w:tabs>
          <w:tab w:leader="none" w:pos="83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and as daily averages by dividing Adjusted Net Trading Income by the number of trading days in a given period. Starting in the fourth quarter of 2024, we began counting days on which U.S. equities exchanges close early or otherwise operate for less than a full trading day as half-days, whereas previously such days were counted as whole days. Prior periods have not been restated as the impact of the change is immaterial in relation to our average daily Adjusted Net Trading Income.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spacing w:after="0" w:line="3" w:lineRule="exact"/>
        <w:rPr>
          <w:rFonts w:ascii="Times New Roman" w:cs="Times New Roman" w:eastAsia="Times New Roman" w:hAnsi="Times New Roman"/>
          <w:sz w:val="14"/>
          <w:szCs w:val="14"/>
          <w:color w:val="auto"/>
        </w:rPr>
      </w:pPr>
    </w:p>
    <w:p>
      <w:pPr>
        <w:ind w:left="840" w:right="60" w:hanging="199"/>
        <w:spacing w:after="0" w:line="256" w:lineRule="auto"/>
        <w:tabs>
          <w:tab w:leader="none" w:pos="83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the sales of businesses, and other income.</w:t>
      </w:r>
    </w:p>
    <w:p>
      <w:pPr>
        <w:spacing w:after="0" w:line="60" w:lineRule="exact"/>
        <w:rPr>
          <w:rFonts w:ascii="Times New Roman" w:cs="Times New Roman" w:eastAsia="Times New Roman" w:hAnsi="Times New Roman"/>
          <w:sz w:val="14"/>
          <w:szCs w:val="14"/>
          <w:color w:val="auto"/>
        </w:rPr>
      </w:pPr>
    </w:p>
    <w:p>
      <w:pPr>
        <w:ind w:left="840" w:right="140" w:hanging="199"/>
        <w:spacing w:after="0" w:line="270" w:lineRule="auto"/>
        <w:tabs>
          <w:tab w:leader="none" w:pos="83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50" w:lineRule="exact"/>
        <w:rPr>
          <w:rFonts w:ascii="Times New Roman" w:cs="Times New Roman" w:eastAsia="Times New Roman" w:hAnsi="Times New Roman"/>
          <w:sz w:val="14"/>
          <w:szCs w:val="14"/>
          <w:color w:val="auto"/>
        </w:rPr>
      </w:pPr>
    </w:p>
    <w:p>
      <w:pPr>
        <w:ind w:left="820" w:hanging="179"/>
        <w:spacing w:after="0"/>
        <w:tabs>
          <w:tab w:leader="none" w:pos="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Margins, which are calculated by dividing net income, EBITDA, and Adjusted EBITDA by Adjusted Net Trading Income.</w:t>
      </w:r>
    </w:p>
    <w:p>
      <w:pPr>
        <w:spacing w:after="0" w:line="20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169"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57" w:lineRule="exact"/>
        <w:rPr>
          <w:sz w:val="20"/>
          <w:szCs w:val="20"/>
          <w:color w:val="auto"/>
        </w:rPr>
      </w:pPr>
    </w:p>
    <w:p>
      <w:pPr>
        <w:ind w:left="820" w:hanging="179"/>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every cash expenditure, future requirements for capital expenditures or contractual commitments;</w:t>
      </w:r>
    </w:p>
    <w:p>
      <w:pPr>
        <w:spacing w:after="0" w:line="200" w:lineRule="exact"/>
        <w:rPr>
          <w:rFonts w:ascii="Times New Roman" w:cs="Times New Roman" w:eastAsia="Times New Roman" w:hAnsi="Times New Roman"/>
          <w:sz w:val="14"/>
          <w:szCs w:val="14"/>
          <w:color w:val="auto"/>
        </w:rPr>
      </w:pPr>
    </w:p>
    <w:p>
      <w:pPr>
        <w:spacing w:after="0" w:line="328"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2" w:right="359" w:bottom="1440" w:gutter="0" w:footer="0" w:header="0"/>
        </w:sectPr>
      </w:pPr>
    </w:p>
    <w:bookmarkStart w:id="58" w:name="page59"/>
    <w:bookmarkEnd w:id="58"/>
    <w:p>
      <w:pPr>
        <w:ind w:left="820" w:hanging="179"/>
        <w:spacing w:after="0"/>
        <w:tabs>
          <w:tab w:leader="none" w:pos="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EBITDA-based measures do not reflect the significant interest expense or the cash requirements necessary to service interest or principal payment on our debt;</w:t>
      </w:r>
    </w:p>
    <w:p>
      <w:pPr>
        <w:spacing w:after="0" w:line="93" w:lineRule="exact"/>
        <w:rPr>
          <w:rFonts w:ascii="Times New Roman" w:cs="Times New Roman" w:eastAsia="Times New Roman" w:hAnsi="Times New Roman"/>
          <w:sz w:val="14"/>
          <w:szCs w:val="14"/>
          <w:color w:val="auto"/>
        </w:rPr>
      </w:pPr>
    </w:p>
    <w:p>
      <w:pPr>
        <w:ind w:left="840" w:right="160" w:hanging="199"/>
        <w:spacing w:after="0" w:line="287" w:lineRule="auto"/>
        <w:tabs>
          <w:tab w:leader="none" w:pos="8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39" w:lineRule="exact"/>
        <w:rPr>
          <w:rFonts w:ascii="Times New Roman" w:cs="Times New Roman" w:eastAsia="Times New Roman" w:hAnsi="Times New Roman"/>
          <w:sz w:val="14"/>
          <w:szCs w:val="14"/>
          <w:color w:val="auto"/>
        </w:rPr>
      </w:pPr>
    </w:p>
    <w:p>
      <w:pPr>
        <w:ind w:left="820" w:hanging="179"/>
        <w:spacing w:after="0"/>
        <w:tabs>
          <w:tab w:leader="none" w:pos="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are not adjusted for all non-cash income or expense items that are reflected in our consolidated statements of cash flows;</w:t>
      </w:r>
    </w:p>
    <w:p>
      <w:pPr>
        <w:spacing w:after="0" w:line="93" w:lineRule="exact"/>
        <w:rPr>
          <w:rFonts w:ascii="Times New Roman" w:cs="Times New Roman" w:eastAsia="Times New Roman" w:hAnsi="Times New Roman"/>
          <w:sz w:val="14"/>
          <w:szCs w:val="14"/>
          <w:color w:val="auto"/>
        </w:rPr>
      </w:pPr>
    </w:p>
    <w:p>
      <w:pPr>
        <w:ind w:left="820" w:hanging="179"/>
        <w:spacing w:after="0"/>
        <w:tabs>
          <w:tab w:leader="none" w:pos="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the impact of earnings or charges resulting from matters we consider not to be indicative of our ongoing operations; and</w:t>
      </w:r>
    </w:p>
    <w:p>
      <w:pPr>
        <w:spacing w:after="0" w:line="93" w:lineRule="exact"/>
        <w:rPr>
          <w:rFonts w:ascii="Times New Roman" w:cs="Times New Roman" w:eastAsia="Times New Roman" w:hAnsi="Times New Roman"/>
          <w:sz w:val="14"/>
          <w:szCs w:val="14"/>
          <w:color w:val="auto"/>
        </w:rPr>
      </w:pPr>
    </w:p>
    <w:p>
      <w:pPr>
        <w:ind w:left="820" w:hanging="179"/>
        <w:spacing w:after="0"/>
        <w:tabs>
          <w:tab w:leader="none" w:pos="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limitations on our costs related to transferring earnings from our subsidiaries to us.</w:t>
      </w:r>
    </w:p>
    <w:p>
      <w:pPr>
        <w:spacing w:after="0" w:line="20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64"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reconciles the Consolidated Statements of Comprehensive Income to arrive at Adjusted Net Trading Income, EBITDA, Adjusted EBITDA, and Operating Margins for the years ended December 31, 2025, 2024, and 2023.</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3"/>
                <w:szCs w:val="13"/>
                <w:color w:val="auto"/>
              </w:rPr>
            </w:pPr>
          </w:p>
        </w:tc>
        <w:tc>
          <w:tcPr>
            <w:tcW w:w="1020" w:type="dxa"/>
            <w:vAlign w:val="bottom"/>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Trading income, net to Adjusted Net Trading Income</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53"/>
        </w:trPr>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2,436,707</w:t>
            </w:r>
          </w:p>
        </w:tc>
        <w:tc>
          <w:tcPr>
            <w:tcW w:w="40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1,822,437</w:t>
            </w:r>
          </w:p>
        </w:tc>
        <w:tc>
          <w:tcPr>
            <w:tcW w:w="100" w:type="dxa"/>
            <w:vAlign w:val="bottom"/>
          </w:tcPr>
          <w:p>
            <w:pPr>
              <w:spacing w:after="0"/>
              <w:rPr>
                <w:sz w:val="13"/>
                <w:szCs w:val="13"/>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1,301,344</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508,817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462,070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462,566</w:t>
            </w:r>
          </w:p>
        </w:tc>
      </w:tr>
      <w:tr>
        <w:trPr>
          <w:trHeight w:val="153"/>
        </w:trPr>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00" w:type="dxa"/>
            <w:vAlign w:val="bottom"/>
          </w:tcPr>
          <w:p>
            <w:pPr>
              <w:spacing w:after="0"/>
              <w:rPr>
                <w:sz w:val="13"/>
                <w:szCs w:val="13"/>
                <w:color w:val="auto"/>
              </w:rPr>
            </w:pP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617,025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516,783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455,598</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(769,774)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(674,426)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(508,358)</w:t>
            </w:r>
          </w:p>
        </w:tc>
      </w:tr>
      <w:tr>
        <w:trPr>
          <w:trHeight w:val="153"/>
        </w:trPr>
        <w:tc>
          <w:tcPr>
            <w:tcW w:w="5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(647,448)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(529,177)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(500,467)</w:t>
            </w:r>
          </w:p>
        </w:tc>
      </w:tr>
      <w:tr>
        <w:trPr>
          <w:trHeight w:val="181"/>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Net Trading Income</w:t>
            </w: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2,145,327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1,597,687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1,210,683</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5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15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Net Income to EBITDA and Adjusted EBITDA</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3"/>
        </w:trPr>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912,264</w:t>
            </w:r>
          </w:p>
        </w:tc>
        <w:tc>
          <w:tcPr>
            <w:tcW w:w="40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534,535</w:t>
            </w:r>
          </w:p>
        </w:tc>
        <w:tc>
          <w:tcPr>
            <w:tcW w:w="100" w:type="dxa"/>
            <w:vAlign w:val="bottom"/>
          </w:tcPr>
          <w:p>
            <w:pPr>
              <w:spacing w:after="0"/>
              <w:rPr>
                <w:sz w:val="13"/>
                <w:szCs w:val="13"/>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263,921</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Financing interest expense on long-term borrowings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132,859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97,802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99,294</w:t>
            </w:r>
          </w:p>
        </w:tc>
      </w:tr>
      <w:tr>
        <w:trPr>
          <w:trHeight w:val="153"/>
        </w:trPr>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Debt issue cost related to debt refinancing, prepayment, and commitment fees</w:t>
            </w:r>
          </w:p>
        </w:tc>
        <w:tc>
          <w:tcPr>
            <w:tcW w:w="300" w:type="dxa"/>
            <w:vAlign w:val="bottom"/>
          </w:tcPr>
          <w:p>
            <w:pPr>
              <w:spacing w:after="0"/>
              <w:rPr>
                <w:sz w:val="13"/>
                <w:szCs w:val="13"/>
                <w:color w:val="auto"/>
              </w:rPr>
            </w:pP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6,510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29,479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8,317</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64,420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65,816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63,306</w:t>
            </w:r>
          </w:p>
        </w:tc>
      </w:tr>
      <w:tr>
        <w:trPr>
          <w:trHeight w:val="153"/>
        </w:trPr>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Amortization of purchased intangibles and acquired capitalized software</w:t>
            </w:r>
          </w:p>
        </w:tc>
        <w:tc>
          <w:tcPr>
            <w:tcW w:w="300" w:type="dxa"/>
            <w:vAlign w:val="bottom"/>
          </w:tcPr>
          <w:p>
            <w:pPr>
              <w:spacing w:after="0"/>
              <w:rPr>
                <w:sz w:val="13"/>
                <w:szCs w:val="13"/>
                <w:color w:val="auto"/>
              </w:rPr>
            </w:pP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47,132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50,471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63,960</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182,065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110,435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61,210</w:t>
            </w:r>
          </w:p>
        </w:tc>
      </w:tr>
      <w:tr>
        <w:trPr>
          <w:trHeight w:val="14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EBITDA</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1,345,250</w:t>
            </w:r>
          </w:p>
        </w:tc>
        <w:tc>
          <w:tcPr>
            <w:tcW w:w="10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888,538</w:t>
            </w:r>
          </w:p>
        </w:tc>
        <w:tc>
          <w:tcPr>
            <w:tcW w:w="10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560,008</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Severance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29,028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7,930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8,793</w:t>
            </w:r>
          </w:p>
        </w:tc>
      </w:tr>
      <w:tr>
        <w:trPr>
          <w:trHeight w:val="153"/>
        </w:trPr>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Transaction advisory fees and expenses</w:t>
            </w:r>
          </w:p>
        </w:tc>
        <w:tc>
          <w:tcPr>
            <w:tcW w:w="300" w:type="dxa"/>
            <w:vAlign w:val="bottom"/>
          </w:tcPr>
          <w:p>
            <w:pPr>
              <w:spacing w:after="0"/>
              <w:rPr>
                <w:sz w:val="13"/>
                <w:szCs w:val="13"/>
                <w:color w:val="auto"/>
              </w:rPr>
            </w:pP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314</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Termination of office leases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(5,982)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16,224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455</w:t>
            </w:r>
          </w:p>
        </w:tc>
      </w:tr>
      <w:tr>
        <w:trPr>
          <w:trHeight w:val="153"/>
        </w:trPr>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Gain on sale of RFQ-hub</w:t>
            </w:r>
          </w:p>
        </w:tc>
        <w:tc>
          <w:tcPr>
            <w:tcW w:w="3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(66,988)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(2,902)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(69,795)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(65,536)</w:t>
            </w:r>
          </w:p>
        </w:tc>
      </w:tr>
      <w:tr>
        <w:trPr>
          <w:trHeight w:val="153"/>
        </w:trPr>
        <w:tc>
          <w:tcPr>
            <w:tcW w:w="5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Share based compensation</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100,403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75,475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63,933</w:t>
            </w:r>
          </w:p>
        </w:tc>
      </w:tr>
      <w:tr>
        <w:trPr>
          <w:trHeight w:val="181"/>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EBITDA</w:t>
            </w: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1,399,223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918,685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567,967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5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15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Selected Operating Margins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3"/>
        </w:trPr>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GAAP Net income Margin (1)</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11.5 %</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Non-GAAP Net income Margin (2)</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21.8 %</w:t>
            </w:r>
          </w:p>
        </w:tc>
      </w:tr>
      <w:tr>
        <w:trPr>
          <w:trHeight w:val="153"/>
        </w:trPr>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EBITDA Margin (3)</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46.3 %</w:t>
            </w:r>
          </w:p>
        </w:tc>
      </w:tr>
      <w:tr>
        <w:trPr>
          <w:trHeight w:val="165"/>
        </w:trPr>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Adjusted EBITDA Margin (4)</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46.9 %</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9" w:name="page60"/>
    <w:bookmarkEnd w:id="59"/>
    <w:p>
      <w:pPr>
        <w:ind w:left="320" w:hanging="315"/>
        <w:spacing w:after="0"/>
        <w:tabs>
          <w:tab w:leader="none" w:pos="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by dividing Net Income by Total Revenue.</w:t>
      </w:r>
    </w:p>
    <w:p>
      <w:pPr>
        <w:spacing w:after="0" w:line="13"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by dividing Net Income by Adjusted Net Trading Income.</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by dividing EBITDA by Adjusted Net Trading Income.</w:t>
      </w:r>
    </w:p>
    <w:p>
      <w:pPr>
        <w:spacing w:after="0" w:line="6"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by dividing Adjusted EBITDA by Adjusted Net Trading Income.</w:t>
      </w:r>
    </w:p>
    <w:p>
      <w:pPr>
        <w:spacing w:after="0" w:line="3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reconciles Net Income to arrive at Normalized Adjusted Net Income before income taxes, Normalized provision for income taxes, Normalized Adjusted Net Income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Normalized Adjusted EPS for the years ended December 31, 2025, 2024, and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4"/>
        </w:trPr>
        <w:tc>
          <w:tcPr>
            <w:tcW w:w="720" w:type="dxa"/>
            <w:vAlign w:val="bottom"/>
          </w:tcPr>
          <w:p>
            <w:pPr>
              <w:spacing w:after="0"/>
              <w:rPr>
                <w:sz w:val="13"/>
                <w:szCs w:val="13"/>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300" w:type="dxa"/>
            <w:vAlign w:val="bottom"/>
          </w:tcPr>
          <w:p>
            <w:pPr>
              <w:spacing w:after="0"/>
              <w:rPr>
                <w:sz w:val="13"/>
                <w:szCs w:val="13"/>
                <w:color w:val="auto"/>
              </w:rPr>
            </w:pPr>
          </w:p>
        </w:tc>
        <w:tc>
          <w:tcPr>
            <w:tcW w:w="9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720" w:type="dxa"/>
            <w:vAlign w:val="bottom"/>
          </w:tcPr>
          <w:p>
            <w:pPr>
              <w:spacing w:after="0"/>
              <w:rPr>
                <w:sz w:val="13"/>
                <w:szCs w:val="13"/>
                <w:color w:val="auto"/>
              </w:rPr>
            </w:pPr>
          </w:p>
        </w:tc>
        <w:tc>
          <w:tcPr>
            <w:tcW w:w="5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153"/>
        </w:trPr>
        <w:tc>
          <w:tcPr>
            <w:tcW w:w="720" w:type="dxa"/>
            <w:vAlign w:val="bottom"/>
          </w:tcPr>
          <w:p>
            <w:pPr>
              <w:spacing w:after="0"/>
              <w:rPr>
                <w:sz w:val="13"/>
                <w:szCs w:val="13"/>
                <w:color w:val="auto"/>
              </w:rPr>
            </w:pP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912,264</w:t>
            </w:r>
          </w:p>
        </w:tc>
        <w:tc>
          <w:tcPr>
            <w:tcW w:w="380" w:type="dxa"/>
            <w:vAlign w:val="bottom"/>
            <w:gridSpan w:val="2"/>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534,535</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263,921</w:t>
            </w:r>
          </w:p>
        </w:tc>
      </w:tr>
      <w:tr>
        <w:trPr>
          <w:trHeight w:val="165"/>
        </w:trPr>
        <w:tc>
          <w:tcPr>
            <w:tcW w:w="720" w:type="dxa"/>
            <w:vAlign w:val="bottom"/>
          </w:tcPr>
          <w:p>
            <w:pPr>
              <w:spacing w:after="0"/>
              <w:rPr>
                <w:sz w:val="14"/>
                <w:szCs w:val="14"/>
                <w:color w:val="auto"/>
              </w:rPr>
            </w:pPr>
          </w:p>
        </w:tc>
        <w:tc>
          <w:tcPr>
            <w:tcW w:w="5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182,065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110,435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61,210</w:t>
            </w:r>
          </w:p>
        </w:tc>
      </w:tr>
      <w:tr>
        <w:trPr>
          <w:trHeight w:val="144"/>
        </w:trPr>
        <w:tc>
          <w:tcPr>
            <w:tcW w:w="720" w:type="dxa"/>
            <w:vAlign w:val="bottom"/>
          </w:tcPr>
          <w:p>
            <w:pPr>
              <w:spacing w:after="0"/>
              <w:rPr>
                <w:sz w:val="12"/>
                <w:szCs w:val="12"/>
                <w:color w:val="auto"/>
              </w:rPr>
            </w:pP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1,094,329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644,970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325,131</w:t>
            </w:r>
          </w:p>
        </w:tc>
      </w:tr>
      <w:tr>
        <w:trPr>
          <w:trHeight w:val="134"/>
        </w:trPr>
        <w:tc>
          <w:tcPr>
            <w:tcW w:w="7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3"/>
        </w:trPr>
        <w:tc>
          <w:tcPr>
            <w:tcW w:w="720" w:type="dxa"/>
            <w:vAlign w:val="bottom"/>
          </w:tcPr>
          <w:p>
            <w:pPr>
              <w:spacing w:after="0"/>
              <w:rPr>
                <w:sz w:val="13"/>
                <w:szCs w:val="13"/>
                <w:color w:val="auto"/>
              </w:rPr>
            </w:pP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Amortization of purchased intangibles and acquired capitalized software</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47,132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50,471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63,960</w:t>
            </w:r>
          </w:p>
        </w:tc>
      </w:tr>
      <w:tr>
        <w:trPr>
          <w:trHeight w:val="165"/>
        </w:trPr>
        <w:tc>
          <w:tcPr>
            <w:tcW w:w="720" w:type="dxa"/>
            <w:vAlign w:val="bottom"/>
          </w:tcPr>
          <w:p>
            <w:pPr>
              <w:spacing w:after="0"/>
              <w:rPr>
                <w:sz w:val="14"/>
                <w:szCs w:val="14"/>
                <w:color w:val="auto"/>
              </w:rPr>
            </w:pPr>
          </w:p>
        </w:tc>
        <w:tc>
          <w:tcPr>
            <w:tcW w:w="5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Debt issue cost related to debt refinancing, prepayment, and commitment fees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8,317</w:t>
            </w:r>
          </w:p>
        </w:tc>
      </w:tr>
      <w:tr>
        <w:trPr>
          <w:trHeight w:val="153"/>
        </w:trPr>
        <w:tc>
          <w:tcPr>
            <w:tcW w:w="720" w:type="dxa"/>
            <w:vAlign w:val="bottom"/>
          </w:tcPr>
          <w:p>
            <w:pPr>
              <w:spacing w:after="0"/>
              <w:rPr>
                <w:sz w:val="13"/>
                <w:szCs w:val="13"/>
                <w:color w:val="auto"/>
              </w:rPr>
            </w:pP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Severance</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8,793</w:t>
            </w:r>
          </w:p>
        </w:tc>
      </w:tr>
      <w:tr>
        <w:trPr>
          <w:trHeight w:val="165"/>
        </w:trPr>
        <w:tc>
          <w:tcPr>
            <w:tcW w:w="720" w:type="dxa"/>
            <w:vAlign w:val="bottom"/>
          </w:tcPr>
          <w:p>
            <w:pPr>
              <w:spacing w:after="0"/>
              <w:rPr>
                <w:sz w:val="14"/>
                <w:szCs w:val="14"/>
                <w:color w:val="auto"/>
              </w:rPr>
            </w:pPr>
          </w:p>
        </w:tc>
        <w:tc>
          <w:tcPr>
            <w:tcW w:w="5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Transaction advisory fees and expenses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314</w:t>
            </w:r>
          </w:p>
        </w:tc>
      </w:tr>
      <w:tr>
        <w:trPr>
          <w:trHeight w:val="153"/>
        </w:trPr>
        <w:tc>
          <w:tcPr>
            <w:tcW w:w="720" w:type="dxa"/>
            <w:vAlign w:val="bottom"/>
          </w:tcPr>
          <w:p>
            <w:pPr>
              <w:spacing w:after="0"/>
              <w:rPr>
                <w:sz w:val="13"/>
                <w:szCs w:val="13"/>
                <w:color w:val="auto"/>
              </w:rPr>
            </w:pP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Termination of office leases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455</w:t>
            </w:r>
          </w:p>
        </w:tc>
      </w:tr>
      <w:tr>
        <w:trPr>
          <w:trHeight w:val="165"/>
        </w:trPr>
        <w:tc>
          <w:tcPr>
            <w:tcW w:w="720" w:type="dxa"/>
            <w:vAlign w:val="bottom"/>
          </w:tcPr>
          <w:p>
            <w:pPr>
              <w:spacing w:after="0"/>
              <w:rPr>
                <w:sz w:val="14"/>
                <w:szCs w:val="14"/>
                <w:color w:val="auto"/>
              </w:rPr>
            </w:pPr>
          </w:p>
        </w:tc>
        <w:tc>
          <w:tcPr>
            <w:tcW w:w="5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on sale of RFQ-hub</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(66,988)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20" w:type="dxa"/>
            <w:vAlign w:val="bottom"/>
          </w:tcPr>
          <w:p>
            <w:pPr>
              <w:spacing w:after="0"/>
              <w:rPr>
                <w:sz w:val="13"/>
                <w:szCs w:val="13"/>
                <w:color w:val="auto"/>
              </w:rPr>
            </w:pP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(69,795)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(65,536)</w:t>
            </w:r>
          </w:p>
        </w:tc>
      </w:tr>
      <w:tr>
        <w:trPr>
          <w:trHeight w:val="165"/>
        </w:trPr>
        <w:tc>
          <w:tcPr>
            <w:tcW w:w="720" w:type="dxa"/>
            <w:vAlign w:val="bottom"/>
          </w:tcPr>
          <w:p>
            <w:pPr>
              <w:spacing w:after="0"/>
              <w:rPr>
                <w:sz w:val="14"/>
                <w:szCs w:val="14"/>
                <w:color w:val="auto"/>
              </w:rPr>
            </w:pPr>
          </w:p>
        </w:tc>
        <w:tc>
          <w:tcPr>
            <w:tcW w:w="5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 based compensation</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100,403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75,475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63,933</w:t>
            </w:r>
          </w:p>
        </w:tc>
      </w:tr>
      <w:tr>
        <w:trPr>
          <w:trHeight w:val="144"/>
        </w:trPr>
        <w:tc>
          <w:tcPr>
            <w:tcW w:w="720" w:type="dxa"/>
            <w:vAlign w:val="bottom"/>
          </w:tcPr>
          <w:p>
            <w:pPr>
              <w:spacing w:after="0"/>
              <w:rPr>
                <w:sz w:val="12"/>
                <w:szCs w:val="12"/>
                <w:color w:val="auto"/>
              </w:rPr>
            </w:pP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Normalized Adjusted Net Income before income taxes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1,201,944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755,067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405,367</w:t>
            </w:r>
          </w:p>
        </w:tc>
      </w:tr>
      <w:tr>
        <w:trPr>
          <w:trHeight w:val="165"/>
        </w:trPr>
        <w:tc>
          <w:tcPr>
            <w:tcW w:w="720" w:type="dxa"/>
            <w:vAlign w:val="bottom"/>
          </w:tcPr>
          <w:p>
            <w:pPr>
              <w:spacing w:after="0"/>
              <w:rPr>
                <w:sz w:val="14"/>
                <w:szCs w:val="14"/>
                <w:color w:val="auto"/>
              </w:rPr>
            </w:pPr>
          </w:p>
        </w:tc>
        <w:tc>
          <w:tcPr>
            <w:tcW w:w="5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Normalized provision for income taxes (1)</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288,466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181,217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97,286</w:t>
            </w:r>
          </w:p>
        </w:tc>
      </w:tr>
      <w:tr>
        <w:trPr>
          <w:trHeight w:val="144"/>
        </w:trPr>
        <w:tc>
          <w:tcPr>
            <w:tcW w:w="720" w:type="dxa"/>
            <w:vAlign w:val="bottom"/>
          </w:tcPr>
          <w:p>
            <w:pPr>
              <w:spacing w:after="0"/>
              <w:rPr>
                <w:sz w:val="12"/>
                <w:szCs w:val="12"/>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Normalized Adjusted Net Income</w:t>
            </w: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913,478</w:t>
            </w:r>
          </w:p>
        </w:tc>
        <w:tc>
          <w:tcPr>
            <w:tcW w:w="100" w:type="dxa"/>
            <w:vAlign w:val="bottom"/>
          </w:tcPr>
          <w:p>
            <w:pPr>
              <w:spacing w:after="0"/>
              <w:rPr>
                <w:sz w:val="12"/>
                <w:szCs w:val="12"/>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573,850</w:t>
            </w:r>
          </w:p>
        </w:tc>
        <w:tc>
          <w:tcPr>
            <w:tcW w:w="10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308,081</w:t>
            </w:r>
          </w:p>
        </w:tc>
      </w:tr>
      <w:tr>
        <w:trPr>
          <w:trHeight w:val="134"/>
        </w:trPr>
        <w:tc>
          <w:tcPr>
            <w:tcW w:w="7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3"/>
        </w:trPr>
        <w:tc>
          <w:tcPr>
            <w:tcW w:w="720" w:type="dxa"/>
            <w:vAlign w:val="bottom"/>
          </w:tcPr>
          <w:p>
            <w:pPr>
              <w:spacing w:after="0"/>
              <w:rPr>
                <w:sz w:val="13"/>
                <w:szCs w:val="13"/>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Weighted Average Adjusted shares outstanding (2)</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159,479,643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161,845,371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167,782,513</w:t>
            </w:r>
          </w:p>
        </w:tc>
      </w:tr>
      <w:tr>
        <w:trPr>
          <w:trHeight w:val="134"/>
        </w:trPr>
        <w:tc>
          <w:tcPr>
            <w:tcW w:w="7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3"/>
        </w:trPr>
        <w:tc>
          <w:tcPr>
            <w:tcW w:w="720" w:type="dxa"/>
            <w:vAlign w:val="bottom"/>
          </w:tcPr>
          <w:p>
            <w:pPr>
              <w:spacing w:after="0"/>
              <w:rPr>
                <w:sz w:val="13"/>
                <w:szCs w:val="13"/>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Basic earnings per share</w:t>
            </w: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380" w:type="dxa"/>
            <w:vAlign w:val="bottom"/>
            <w:gridSpan w:val="2"/>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r>
      <w:tr>
        <w:trPr>
          <w:trHeight w:val="165"/>
        </w:trPr>
        <w:tc>
          <w:tcPr>
            <w:tcW w:w="720" w:type="dxa"/>
            <w:vAlign w:val="bottom"/>
          </w:tcPr>
          <w:p>
            <w:pPr>
              <w:spacing w:after="0"/>
              <w:rPr>
                <w:sz w:val="14"/>
                <w:szCs w:val="14"/>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Normalized Adjusted EPS</w:t>
            </w: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3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r>
      <w:tr>
        <w:trPr>
          <w:trHeight w:val="106"/>
        </w:trPr>
        <w:tc>
          <w:tcPr>
            <w:tcW w:w="7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r>
    </w:tbl>
    <w:p>
      <w:pPr>
        <w:spacing w:after="0" w:line="106" w:lineRule="exact"/>
        <w:rPr>
          <w:sz w:val="20"/>
          <w:szCs w:val="20"/>
          <w:color w:val="auto"/>
        </w:rPr>
      </w:pPr>
    </w:p>
    <w:p>
      <w:pPr>
        <w:ind w:left="320" w:hanging="315"/>
        <w:spacing w:after="0"/>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U.S. federal, state, and local income tax rate applicable to corporations of approximately 24% for all periods presented.</w:t>
      </w:r>
    </w:p>
    <w:p>
      <w:pPr>
        <w:spacing w:after="0" w:line="15" w:lineRule="exact"/>
        <w:rPr>
          <w:rFonts w:ascii="Times New Roman" w:cs="Times New Roman" w:eastAsia="Times New Roman" w:hAnsi="Times New Roman"/>
          <w:sz w:val="13"/>
          <w:szCs w:val="13"/>
          <w:color w:val="auto"/>
        </w:rPr>
      </w:pPr>
    </w:p>
    <w:p>
      <w:pPr>
        <w:ind w:left="320" w:hanging="315"/>
        <w:spacing w:after="0" w:line="248" w:lineRule="auto"/>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options, restricted stock units and restricted stock awards outstanding under the Second Amended and Restated 2015 Management Incentive Plan and the Amended and Restated ITG 2007 Equity Plan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4" w:right="359" w:bottom="1440" w:gutter="0" w:footer="0" w:header="0"/>
        </w:sectPr>
      </w:pPr>
    </w:p>
    <w:bookmarkStart w:id="60" w:name="page61"/>
    <w:bookmarkEnd w:id="60"/>
    <w:p>
      <w:pPr>
        <w:ind w:left="160"/>
        <w:spacing w:after="0"/>
        <w:rPr>
          <w:sz w:val="20"/>
          <w:szCs w:val="20"/>
          <w:color w:val="auto"/>
        </w:rPr>
      </w:pPr>
      <w:r>
        <w:rPr>
          <w:rFonts w:ascii="Times New Roman" w:cs="Times New Roman" w:eastAsia="Times New Roman" w:hAnsi="Times New Roman"/>
          <w:sz w:val="14"/>
          <w:szCs w:val="14"/>
          <w:color w:val="auto"/>
        </w:rPr>
        <w:t>The following tables reconcile Trading income, net to Adjusted Net Trading Income by segment for the years ended December 31, 2025, 2024, and 2023:</w:t>
      </w:r>
    </w:p>
    <w:p>
      <w:pPr>
        <w:spacing w:after="0" w:line="322" w:lineRule="exact"/>
        <w:rPr>
          <w:sz w:val="20"/>
          <w:szCs w:val="20"/>
          <w:color w:val="auto"/>
        </w:rPr>
      </w:pPr>
    </w:p>
    <w:tbl>
      <w:tblPr>
        <w:tblLayout w:type="fixed"/>
        <w:tblInd w:w="72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Trading income, net</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2,408,042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28,665</w:t>
            </w: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2,436,707</w:t>
            </w:r>
          </w:p>
        </w:tc>
      </w:tr>
      <w:tr>
        <w:trPr>
          <w:trHeight w:val="153"/>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50,949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566,076</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617,025</w:t>
            </w:r>
          </w:p>
        </w:tc>
      </w:tr>
      <w:tr>
        <w:trPr>
          <w:trHeight w:val="16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499,047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9,770</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508,817</w:t>
            </w:r>
          </w:p>
        </w:tc>
      </w:tr>
      <w:tr>
        <w:trPr>
          <w:trHeight w:val="153"/>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(650,150)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(119,624)</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(769,774)</w:t>
            </w:r>
          </w:p>
        </w:tc>
      </w:tr>
      <w:tr>
        <w:trPr>
          <w:trHeight w:val="16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(641,584)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(5,864)</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(647,448)</w:t>
            </w:r>
          </w:p>
        </w:tc>
      </w:tr>
      <w:tr>
        <w:trPr>
          <w:trHeight w:val="150"/>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Adjusted Net Trading Income</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1,666,304</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479,023</w:t>
            </w:r>
          </w:p>
        </w:tc>
        <w:tc>
          <w:tcPr>
            <w:tcW w:w="1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2,145,327</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tbl>
      <w:tblPr>
        <w:tblLayout w:type="fixed"/>
        <w:tblInd w:w="72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Trading income, net</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1,798,942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23,495</w:t>
            </w: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1,822,437</w:t>
            </w:r>
          </w:p>
        </w:tc>
      </w:tr>
      <w:tr>
        <w:trPr>
          <w:trHeight w:val="153"/>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42,376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474,407</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516,783</w:t>
            </w:r>
          </w:p>
        </w:tc>
      </w:tr>
      <w:tr>
        <w:trPr>
          <w:trHeight w:val="16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451,329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10,741</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462,070</w:t>
            </w:r>
          </w:p>
        </w:tc>
      </w:tr>
      <w:tr>
        <w:trPr>
          <w:trHeight w:val="153"/>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(573,382)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(101,044)</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(674,426)</w:t>
            </w:r>
          </w:p>
        </w:tc>
      </w:tr>
      <w:tr>
        <w:trPr>
          <w:trHeight w:val="16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(524,158)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(5,019)</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(529,177)</w:t>
            </w:r>
          </w:p>
        </w:tc>
      </w:tr>
      <w:tr>
        <w:trPr>
          <w:trHeight w:val="150"/>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Adjusted Net Trading Income</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1,195,107</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402,580</w:t>
            </w:r>
          </w:p>
        </w:tc>
        <w:tc>
          <w:tcPr>
            <w:tcW w:w="1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1,597,687</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tbl>
      <w:tblPr>
        <w:tblLayout w:type="fixed"/>
        <w:tblInd w:w="840" w:type="dxa"/>
        <w:tblCellMar>
          <w:top w:w="0" w:type="dxa"/>
          <w:left w:w="0" w:type="dxa"/>
          <w:bottom w:w="0" w:type="dxa"/>
          <w:right w:w="0" w:type="dxa"/>
        </w:tblCellMar>
      </w:tblPr>
      <w:tr>
        <w:trPr>
          <w:trHeight w:val="158"/>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Trading income, net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1,283,680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17,664</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1,301,344</w:t>
            </w:r>
          </w:p>
        </w:tc>
      </w:tr>
      <w:tr>
        <w:trPr>
          <w:trHeight w:val="15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16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426,027</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455,598</w:t>
            </w:r>
          </w:p>
        </w:tc>
      </w:tr>
      <w:tr>
        <w:trPr>
          <w:trHeight w:val="165"/>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451,859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10,707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462,566</w:t>
            </w:r>
          </w:p>
        </w:tc>
      </w:tr>
      <w:tr>
        <w:trPr>
          <w:trHeight w:val="15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(420,608)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(87,750)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(508,358)</w:t>
            </w:r>
          </w:p>
        </w:tc>
      </w:tr>
      <w:tr>
        <w:trPr>
          <w:trHeight w:val="165"/>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(497,895)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(500,467)</w:t>
            </w:r>
          </w:p>
        </w:tc>
      </w:tr>
      <w:tr>
        <w:trPr>
          <w:trHeight w:val="1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Adjusted Net Trading Income</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846,607</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364,076</w:t>
            </w:r>
          </w:p>
        </w:tc>
        <w:tc>
          <w:tcPr>
            <w:tcW w:w="10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1,210,683</w:t>
            </w: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 following table shows our Adjusted Net Trading Income and average daily Adjusted Net Trading Income by segment for the years ended December 31, 2025, 2024, and 2023:</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 except %)</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Adjusted Net Trading Income by Segment:</w:t>
            </w:r>
          </w:p>
        </w:tc>
        <w:tc>
          <w:tcPr>
            <w:tcW w:w="20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Average Daily</w:t>
            </w:r>
          </w:p>
        </w:tc>
        <w:tc>
          <w:tcPr>
            <w:tcW w:w="84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Average Daily</w:t>
            </w:r>
          </w:p>
        </w:tc>
        <w:tc>
          <w:tcPr>
            <w:tcW w:w="8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Average Daily</w:t>
            </w:r>
          </w:p>
        </w:tc>
        <w:tc>
          <w:tcPr>
            <w:tcW w:w="86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24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Market Making</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1,666,304</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6,705</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77.7 %</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1,195,107</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4,771</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74.8 %</w:t>
            </w:r>
          </w:p>
        </w:tc>
        <w:tc>
          <w:tcPr>
            <w:tcW w:w="10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846,607</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3,386</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69.9 %</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Execution Services</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1,928</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402,580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1,607</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364,076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1,456</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30.1 %</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Corporate</w:t>
            </w:r>
          </w:p>
        </w:tc>
        <w:tc>
          <w:tcPr>
            <w:tcW w:w="2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Adjusted Net Trading Income</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2,145,327</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8,633</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1,597,687</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6,378</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1,210,683</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4,842</w:t>
            </w:r>
          </w:p>
        </w:tc>
        <w:tc>
          <w:tcPr>
            <w:tcW w:w="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180" w:firstLine="4"/>
        <w:spacing w:after="0" w:line="259" w:lineRule="auto"/>
        <w:tabs>
          <w:tab w:leader="none" w:pos="1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fourth quarter 2024, we began counting days on which U.S. equities exchanges close early or otherwise operate for less than a full trading day as half-days. Prior periods have not been restated as the impact of the change is immaterial in relation to our average daily 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660" w:top="730"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Year Ended December 31, 2025 Compared to Year Ended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Revenues</w:t>
      </w:r>
    </w:p>
    <w:p>
      <w:pPr>
        <w:spacing w:after="0" w:line="202"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Our total revenues increased $755.2 million, or 26.3%, to $3,632.1 million for the year ended December 31, 2025, compared to $2,876.9 million for the year ended December 31, 2024. This increase was primarily attributable to an increase of $614.3 million in Trading income, net due to higher trading volumes and increased opportunities across global markets and an increase of $100.2 million in Commissions, net and technology services driven by strengthened institutional engagement during the year ended December 31, 2025 compared to the same period in 2024.</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shows the total revenues by segment for the years ended December 31, 2025 and 2024.</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154"/>
        </w:trPr>
        <w:tc>
          <w:tcPr>
            <w:tcW w:w="4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 except for percentage)</w:t>
            </w:r>
          </w:p>
        </w:tc>
        <w:tc>
          <w:tcPr>
            <w:tcW w:w="380" w:type="dxa"/>
            <w:vAlign w:val="bottom"/>
          </w:tcPr>
          <w:p>
            <w:pPr>
              <w:spacing w:after="0"/>
              <w:rPr>
                <w:sz w:val="13"/>
                <w:szCs w:val="13"/>
                <w:color w:val="auto"/>
              </w:rPr>
            </w:pPr>
          </w:p>
        </w:tc>
        <w:tc>
          <w:tcPr>
            <w:tcW w:w="1260" w:type="dxa"/>
            <w:vAlign w:val="bottom"/>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55"/>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r>
      <w:tr>
        <w:trPr>
          <w:trHeight w:val="15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2,408,042</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1,798,942</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w w:val="98"/>
              </w:rPr>
              <w:t>33.9%</w:t>
            </w:r>
          </w:p>
        </w:tc>
      </w:tr>
      <w:tr>
        <w:trPr>
          <w:trHeight w:val="165"/>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499,047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451,329</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8"/>
              </w:rPr>
              <w:t>10.6%</w:t>
            </w:r>
          </w:p>
        </w:tc>
      </w:tr>
      <w:tr>
        <w:trPr>
          <w:trHeight w:val="15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42,376</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w w:val="98"/>
              </w:rPr>
              <w:t>20.2%</w:t>
            </w:r>
          </w:p>
        </w:tc>
      </w:tr>
      <w:tr>
        <w:trPr>
          <w:trHeight w:val="159"/>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(8,817)</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81,449</w:t>
            </w: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NM</w:t>
            </w:r>
          </w:p>
        </w:tc>
      </w:tr>
      <w:tr>
        <w:trPr>
          <w:trHeight w:val="156"/>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revenues from Market Making</w:t>
            </w: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2,949,221</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2,374,096</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w w:val="98"/>
              </w:rPr>
              <w:t>24.2%</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131"/>
        </w:trPr>
        <w:tc>
          <w:tcPr>
            <w:tcW w:w="4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154"/>
        </w:trPr>
        <w:tc>
          <w:tcPr>
            <w:tcW w:w="4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64"/>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23,495</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8"/>
              </w:rPr>
              <w:t>22.0%</w:t>
            </w:r>
          </w:p>
        </w:tc>
      </w:tr>
      <w:tr>
        <w:trPr>
          <w:trHeight w:val="15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10,741</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(9.0)%</w:t>
            </w:r>
          </w:p>
        </w:tc>
      </w:tr>
      <w:tr>
        <w:trPr>
          <w:trHeight w:val="165"/>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566,076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474,407</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8"/>
              </w:rPr>
              <w:t>19.3%</w:t>
            </w:r>
          </w:p>
        </w:tc>
      </w:tr>
      <w:tr>
        <w:trPr>
          <w:trHeight w:val="153"/>
        </w:trPr>
        <w:tc>
          <w:tcPr>
            <w:tcW w:w="4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63,681</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(1,413)</w:t>
            </w: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NM</w:t>
            </w:r>
          </w:p>
        </w:tc>
      </w:tr>
      <w:tr>
        <w:trPr>
          <w:trHeight w:val="181"/>
        </w:trPr>
        <w:tc>
          <w:tcPr>
            <w:tcW w:w="4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 from Execution Services</w:t>
            </w: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668,192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507,230</w:t>
            </w:r>
          </w:p>
        </w:tc>
        <w:tc>
          <w:tcPr>
            <w:tcW w:w="1740" w:type="dxa"/>
            <w:vAlign w:val="bottom"/>
            <w:tcBorders>
              <w:bottom w:val="single" w:sz="8" w:color="CCEEFF"/>
            </w:tcBorders>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8"/>
              </w:rPr>
              <w:t>31.7%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11"/>
        </w:trPr>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59"/>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3"/>
        </w:trPr>
        <w:tc>
          <w:tcPr>
            <w:tcW w:w="4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14,705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(4,377)</w:t>
            </w: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NM</w:t>
            </w:r>
          </w:p>
        </w:tc>
      </w:tr>
      <w:tr>
        <w:trPr>
          <w:trHeight w:val="181"/>
        </w:trPr>
        <w:tc>
          <w:tcPr>
            <w:tcW w:w="4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 from Corporate</w:t>
            </w: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14,705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(4,377)</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NM</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11"/>
        </w:trPr>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59"/>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2,436,707</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1,822,437</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w w:val="98"/>
              </w:rPr>
              <w:t>33.7%</w:t>
            </w:r>
          </w:p>
        </w:tc>
      </w:tr>
      <w:tr>
        <w:trPr>
          <w:trHeight w:val="165"/>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508,817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462,070</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8"/>
              </w:rPr>
              <w:t>10.1%</w:t>
            </w:r>
          </w:p>
        </w:tc>
      </w:tr>
      <w:tr>
        <w:trPr>
          <w:trHeight w:val="15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516,783</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w w:val="98"/>
              </w:rPr>
              <w:t>19.4%</w:t>
            </w:r>
          </w:p>
        </w:tc>
      </w:tr>
      <w:tr>
        <w:trPr>
          <w:trHeight w:val="159"/>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69,569</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75,659</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(8.0)%</w:t>
            </w:r>
          </w:p>
        </w:tc>
      </w:tr>
      <w:tr>
        <w:trPr>
          <w:trHeight w:val="156"/>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revenues</w:t>
            </w: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3,632,118</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2,876,949</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w w:val="98"/>
              </w:rPr>
              <w:t>26.2%</w:t>
            </w: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86"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Trading income, net. </w:t>
      </w:r>
      <w:r>
        <w:rPr>
          <w:rFonts w:ascii="Times New Roman" w:cs="Times New Roman" w:eastAsia="Times New Roman" w:hAnsi="Times New Roman"/>
          <w:sz w:val="14"/>
          <w:szCs w:val="14"/>
          <w:color w:val="auto"/>
        </w:rPr>
        <w:t>Trading income, net was primarily earned by our Market Making segment. Trading income, net increased $614.3 million, or 33.7%, to $2,436.7 million for the year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ended December 31, 2025, compared to $1,822.4 million for the year ended December 31, 2024. The increase was largely a result of higher trading volumes and increased opportunities across global markets during the year ended December 31, 2025 compared to the same period in 2024. Rather than analyzing Trading income, net in isolation, we evaluate it in the broader context of our Adjusted Net Trading Income, together with Interest and dividends income, Commissions, net and technology services, Interest and dividends expense, and Brokerage, exchange, clearance fees and payments for order flow, net, each of which are described below.</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Interest and dividends income. </w:t>
      </w:r>
      <w:r>
        <w:rPr>
          <w:rFonts w:ascii="Times New Roman" w:cs="Times New Roman" w:eastAsia="Times New Roman" w:hAnsi="Times New Roman"/>
          <w:sz w:val="14"/>
          <w:szCs w:val="14"/>
          <w:color w:val="auto"/>
        </w:rPr>
        <w:t>Interest and dividends income was primarily earned by our Market Making segment. Interest and dividends income increased $46.7 million, or 10.1%,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$508.8 million for the year ended December 31, 2025, compared to $462.1 million for the year ended December 31, 2024. The increase for the year ended December 31, 2025 was primarily driven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higher interest income from increased securities borrowing transactions and higher dividends earned on market making trading assets held over periods when dividends are paid, compared to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year. As indicated above, rather than analyzing interest and dividends income in isolation, we evaluate it in the broader context of our 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62" w:name="page63"/>
    <w:bookmarkEnd w:id="62"/>
    <w:p>
      <w:pPr>
        <w:ind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Commissions, net and technology services. </w:t>
      </w:r>
      <w:r>
        <w:rPr>
          <w:rFonts w:ascii="Times New Roman" w:cs="Times New Roman" w:eastAsia="Times New Roman" w:hAnsi="Times New Roman"/>
          <w:sz w:val="14"/>
          <w:szCs w:val="14"/>
          <w:color w:val="auto"/>
        </w:rPr>
        <w:t>Commissions, net and technology services revenues were primarily earned by our Execution Services segment. Commissions, net and technology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services revenues increased $100.2 million, or 19.4%, to $617.0 million for the year ended December 31, 2025, compared to $516.8 million for the year ended December 31, 2024. This increase was driven by relatively higher client volumes and increasing institutional engagement compared to the same period in 2024. As indicated above, rather than analyzing commission income in isolation, we evaluate it in the broader context of our Adjusted Net Trading Income.</w:t>
      </w:r>
    </w:p>
    <w:p>
      <w:pPr>
        <w:spacing w:after="0" w:line="15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net. </w:t>
      </w:r>
      <w:r>
        <w:rPr>
          <w:rFonts w:ascii="Times New Roman" w:cs="Times New Roman" w:eastAsia="Times New Roman" w:hAnsi="Times New Roman"/>
          <w:sz w:val="14"/>
          <w:szCs w:val="14"/>
          <w:color w:val="auto"/>
        </w:rPr>
        <w:t>Other, net decreased $6.1 million, or 8.1%, to $69.6 million for the year ended December 31, 2025, compared to $75.7 million for the year ended December 31, 2024. The income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the year ended December 31, 2025 included gains on the sale and deconsolidation of RFQ-hub, partially offset by remeasurement losses on certain digital assets held during the period. The income for the year ended December 31, 2024 included gains on settlement fund recoveries in which we were eligible to participate based on our transactions in the applicable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Net Trading Income</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Adjusted Net Trading Income, which is a non-GAAP measure, increased $547.6 million, or 34.3%, to $2,145.3 million for the year ended December 31, 2025, compared to $1,597.7 million for the year ended December 31, 2024. This increase was primarily attributable to higher Trading income, net and Commissions, net and technology services, as noted above, partially offset by higher Brokerage, exchange, clearance fees and payments for order flow, net and Interest and dividends expense as described below. Average daily Adjusted Net Trading Income increased $2.2 million, or 34.4%, to $8.6 million for the year ended December 31, 2025, compared to $6.4 million for the year ended December 31, 2024. Taking shortened trading days into consideration starting in the fourth quarter of 2024, for the year ended December 31, 2025, the number of trading days was 248.5 days, compared to 250.5 days for the year ended December 31, 2024. For a full description of Adjusted Net Trading Income and a reconciliation of Adjusted Net Trading Income to trading income, net, see “Non-GAAP Financial Measures and Other Items” in this “Item 7.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0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Our operating expenses increased $305.8 million, or 13.7%, to $2,537.8 million for the year ended December 31, 2025, compared to $2,232.0 million for the year ended December 31, 2024. The increase was primarily driven by increases in Brokerage, exchange, clearance fees and payments for order flow, net, Interest and dividends expense, and Employee compensation and payroll taxes, partially offset by a decrease in Debt issue cost related to debt refinancing, prepayment and commitment fees and Termination of office leases.</w:t>
      </w:r>
    </w:p>
    <w:p>
      <w:pPr>
        <w:spacing w:after="0" w:line="155"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Brokerage, exchange, clearance fees and payments for order flow, net. </w:t>
      </w:r>
      <w:r>
        <w:rPr>
          <w:rFonts w:ascii="Times New Roman" w:cs="Times New Roman" w:eastAsia="Times New Roman" w:hAnsi="Times New Roman"/>
          <w:sz w:val="14"/>
          <w:szCs w:val="14"/>
          <w:color w:val="auto"/>
        </w:rPr>
        <w:t>Brokerage, exchange, clearance fees and payments for order flow, net, increased $95.4 million, or 14.1%, to $769.8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for the year ended December 31, 2025, compared to $674.4 million for the year ended December 31, 2024. These costs vary period to period based upon the level and composition of our trading activities. We evaluate this category, representing direct costs associated with transacting our business, in the broader context of our Adjusted Net Trading Income.</w:t>
      </w:r>
    </w:p>
    <w:p>
      <w:pPr>
        <w:spacing w:after="0" w:line="155"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Communication and data processing. </w:t>
      </w:r>
      <w:r>
        <w:rPr>
          <w:rFonts w:ascii="Times New Roman" w:cs="Times New Roman" w:eastAsia="Times New Roman" w:hAnsi="Times New Roman"/>
          <w:sz w:val="14"/>
          <w:szCs w:val="14"/>
          <w:color w:val="auto"/>
        </w:rPr>
        <w:t>Communication and data processing expense increased $12.8 million, or 5.4%, to $249.2 million for the year ended December 31, 2025, compared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$236.4 million for the year ended December 31, 2024. This increase was primarily attributable to increased connectivity spending on market data, subscription, colocation connectivity, and communication networks maintained by our joint venture.</w:t>
      </w:r>
    </w:p>
    <w:p>
      <w:pPr>
        <w:spacing w:after="0" w:line="155"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Employee compensation and payroll taxes. </w:t>
      </w:r>
      <w:r>
        <w:rPr>
          <w:rFonts w:ascii="Times New Roman" w:cs="Times New Roman" w:eastAsia="Times New Roman" w:hAnsi="Times New Roman"/>
          <w:sz w:val="14"/>
          <w:szCs w:val="14"/>
          <w:color w:val="auto"/>
        </w:rPr>
        <w:t>Employee compensation and payroll taxes increased $93.3 million, or 21.5%, to $528.1 million for the year ended December 31, 2025, compared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$434.8 million for the year ended December 31, 2024.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spacing w:after="0" w:line="157"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We have capitalized and therefore excluded employee compensation and benefits related to software development of $45.8 million and $44.7 million for the years ended December 31, 2025 and 2024, respectively.</w:t>
      </w:r>
    </w:p>
    <w:p>
      <w:pPr>
        <w:spacing w:after="0" w:line="143"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and dividends expense. </w:t>
      </w:r>
      <w:r>
        <w:rPr>
          <w:rFonts w:ascii="Times New Roman" w:cs="Times New Roman" w:eastAsia="Times New Roman" w:hAnsi="Times New Roman"/>
          <w:sz w:val="14"/>
          <w:szCs w:val="14"/>
          <w:color w:val="auto"/>
        </w:rPr>
        <w:t>Interest and dividends expense increased $118.2 million, or 22.3%, to $647.4 million for the year ended December 31, 2025, compared to $529.2 million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year ended December 31, 2024. This increase was primarily attributable to higher interest expense incurred on cash collateral received driven by an increase in securities lending transactions, as well as higher dividends expense with respect to securities sold, not yet purchased for the period compared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the prior year. As indicated above, rather than analyzing interest and dividends expense in isolation, we generally evaluate it in the broader context of our Adjusted Net Trading Income.</w:t>
      </w:r>
    </w:p>
    <w:p>
      <w:pPr>
        <w:spacing w:after="0" w:line="198" w:lineRule="exact"/>
        <w:rPr>
          <w:sz w:val="20"/>
          <w:szCs w:val="20"/>
          <w:color w:val="auto"/>
        </w:rPr>
      </w:pPr>
    </w:p>
    <w:p>
      <w:pPr>
        <w:ind w:right="16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Operations and administrative. </w:t>
      </w:r>
      <w:r>
        <w:rPr>
          <w:rFonts w:ascii="Times New Roman" w:cs="Times New Roman" w:eastAsia="Times New Roman" w:hAnsi="Times New Roman"/>
          <w:sz w:val="14"/>
          <w:szCs w:val="14"/>
          <w:color w:val="auto"/>
        </w:rPr>
        <w:t>Operations and administrative expense increased $0.9 million, or 0.9%, to $97.9 million for the year ended December 31, 2025, compared to $97.0 million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the year ended December 31, 2024. The increase was primarily driven by an increase in professional expenses compared to the prior year.</w:t>
      </w:r>
    </w:p>
    <w:p>
      <w:pPr>
        <w:spacing w:after="0" w:line="141" w:lineRule="exact"/>
        <w:rPr>
          <w:sz w:val="20"/>
          <w:szCs w:val="20"/>
          <w:color w:val="auto"/>
        </w:rPr>
      </w:pPr>
    </w:p>
    <w:p>
      <w:pPr>
        <w:ind w:right="18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Depreciation and amortization. </w:t>
      </w:r>
      <w:r>
        <w:rPr>
          <w:rFonts w:ascii="Times New Roman" w:cs="Times New Roman" w:eastAsia="Times New Roman" w:hAnsi="Times New Roman"/>
          <w:sz w:val="14"/>
          <w:szCs w:val="14"/>
          <w:color w:val="auto"/>
        </w:rPr>
        <w:t>Depreciation and amortization decreased $1.4 million, or 2.1%, to $64.4 million for the year ended December 31, 2025, compared to $65.8 million for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year ended December 31, 2024. This decrease was driven primarily by a decrease in depreciation of computer equipment and leased equipment compared to the prior year.</w:t>
      </w:r>
    </w:p>
    <w:p>
      <w:pPr>
        <w:spacing w:after="0" w:line="14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Amortization of purchased intangibles and acquired capitalized software. </w:t>
      </w:r>
      <w:r>
        <w:rPr>
          <w:rFonts w:ascii="Times New Roman" w:cs="Times New Roman" w:eastAsia="Times New Roman" w:hAnsi="Times New Roman"/>
          <w:sz w:val="14"/>
          <w:szCs w:val="14"/>
          <w:color w:val="auto"/>
        </w:rPr>
        <w:t>Amortization of purchased intangibles and acquired capitalized software decreased $3.4 million, or 6.7%, to $47.1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for the year ended December 31, 2025, compared to $50.5 million for the year ended December 31, 2024. This decrease was primarily attributable to certain intangible assets being fully amortized during 2024.</w:t>
      </w:r>
    </w:p>
    <w:p>
      <w:pPr>
        <w:spacing w:after="0" w:line="155"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Termination of office leases. </w:t>
      </w:r>
      <w:r>
        <w:rPr>
          <w:rFonts w:ascii="Times New Roman" w:cs="Times New Roman" w:eastAsia="Times New Roman" w:hAnsi="Times New Roman"/>
          <w:sz w:val="14"/>
          <w:szCs w:val="14"/>
          <w:color w:val="auto"/>
        </w:rPr>
        <w:t>Termination of office leases expenses, when incurred, are related to the impairment of lease right-of-use assets, leasehold improvements and fixed assets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certain abandoned or vacated office space. The expenses for the year ended December 31, 2024 included the impairment of lease right-of-use assets and asset retirement obligations for certain abandoned or vacated office spaces. The expenses for the year ended December 31, 2025 included a reduction of $6.5 million in cost related to asset retirement obligations that the Company previously recorded. See Note 17 “Leases” for further details.</w:t>
      </w:r>
    </w:p>
    <w:p>
      <w:pPr>
        <w:spacing w:after="0" w:line="15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Debt issue cost related to debt refinancing, prepayment and commitment fees. </w:t>
      </w:r>
      <w:r>
        <w:rPr>
          <w:rFonts w:ascii="Times New Roman" w:cs="Times New Roman" w:eastAsia="Times New Roman" w:hAnsi="Times New Roman"/>
          <w:sz w:val="14"/>
          <w:szCs w:val="14"/>
          <w:color w:val="auto"/>
        </w:rPr>
        <w:t>Expense from debt issue cost related to debt refinancing, prepayment and commitment fees decreased $23.0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or 78.0%, to $6.5 million for the year ended December 31, 2025, compared to $29.5 million for the year ended December 31, 2024. The decrease was primarily driven by the acceleration of capitalized debt issue cost and discount on our previous term loan as a result of refinancing during the year ended December 31, 2024. See Note 9 “Borrowings” of Part II, Item 8 “Financial Statements and Supplementary Data” of this Annual Report on Form 10-K for additional details.</w:t>
      </w:r>
    </w:p>
    <w:p>
      <w:pPr>
        <w:spacing w:after="0" w:line="159" w:lineRule="exact"/>
        <w:rPr>
          <w:sz w:val="20"/>
          <w:szCs w:val="20"/>
          <w:color w:val="auto"/>
        </w:rPr>
      </w:pPr>
    </w:p>
    <w:p>
      <w:pPr>
        <w:ind w:right="14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Transaction advisory fees and expenses. </w:t>
      </w:r>
      <w:r>
        <w:rPr>
          <w:rFonts w:ascii="Times New Roman" w:cs="Times New Roman" w:eastAsia="Times New Roman" w:hAnsi="Times New Roman"/>
          <w:sz w:val="14"/>
          <w:szCs w:val="14"/>
          <w:color w:val="auto"/>
        </w:rPr>
        <w:t>Transaction advisory fees and expenses were insignificant for the years ended December 31, 2025 and December 31, 2024. These expenses, when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incurred, are primarily in relation to our strategic investment portfolio.</w:t>
      </w:r>
    </w:p>
    <w:p>
      <w:pPr>
        <w:spacing w:after="0" w:line="14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Financing interest expense on long term borrowings. </w:t>
      </w:r>
      <w:r>
        <w:rPr>
          <w:rFonts w:ascii="Times New Roman" w:cs="Times New Roman" w:eastAsia="Times New Roman" w:hAnsi="Times New Roman"/>
          <w:sz w:val="14"/>
          <w:szCs w:val="14"/>
          <w:color w:val="auto"/>
        </w:rPr>
        <w:t>Financing interest expense on long-term borrowings increased $35.1 million, or 35.9%, to $132.9 million for the year ended December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31, 2025, compared to $97.8 million for the year ended December 31, 2024. This increase was primarily attributable to the completion in February 2025 of the amortization of the amounts in AOCI related to the interest rate swaps that were terminated in December 2023, partially offset by the effect from lower overall interest rates as a result of rate cuts and our debt refinancing described in Note 9 “Borrowings”.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20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 was $182.1 million and 16.6% for the year ended December 31, 2025, compared to a provision for income taxes and effective tax rate of $110.4 million and 17.1% for the year ended December 31,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2025, we had $1,061.7 million in Cash and cash equivalents. This balance is maintained primarily to support operating activities, for capital expenditures and for short-term access to liquidity, and for other general corporate purposes. As of December 31, 2025, we had borrowings under our prime brokerage credit facilities of approximately $203.8 million, borrowings under our broker dealer facilities of $10.0 million, and long-term debt outstanding in an aggregate principal amount of approximately $2,067.3 million.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4" w:name="page65"/>
    <w:bookmarkEnd w:id="64"/>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9 “Borrowings” of Part II, Item 8 “Financial Statements and Supplementary Data” of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Short-term Liquidity and Capital Resources</w:t>
      </w:r>
    </w:p>
    <w:p>
      <w:pPr>
        <w:spacing w:after="0" w:line="202" w:lineRule="exact"/>
        <w:rPr>
          <w:sz w:val="20"/>
          <w:szCs w:val="20"/>
          <w:color w:val="auto"/>
        </w:rPr>
      </w:pPr>
    </w:p>
    <w:p>
      <w:pPr>
        <w:jc w:val="both"/>
        <w:ind w:right="120" w:firstLine="509"/>
        <w:spacing w:after="0" w:line="264" w:lineRule="auto"/>
        <w:rPr>
          <w:sz w:val="20"/>
          <w:szCs w:val="20"/>
          <w:color w:val="auto"/>
        </w:rPr>
      </w:pPr>
      <w:r>
        <w:rPr>
          <w:rFonts w:ascii="Times New Roman" w:cs="Times New Roman" w:eastAsia="Times New Roman" w:hAnsi="Times New Roman"/>
          <w:sz w:val="14"/>
          <w:szCs w:val="14"/>
          <w:color w:val="auto"/>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due to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162"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Liquidity and Capital Resources</w:t>
      </w:r>
    </w:p>
    <w:p>
      <w:pPr>
        <w:spacing w:after="0" w:line="202"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Agreements</w:t>
      </w:r>
    </w:p>
    <w:p>
      <w:pPr>
        <w:spacing w:after="0" w:line="202"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Generally, we are required under the tax receivable agreements entered into in connection with our IPO to make payments to certain direct or indirect equity holders of Virtu Financial or their permitted assignees (collectively, “TRA Parties”)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TRA Parties described in Note 5 “Tax Receivable Agreements” of Part II, Item 8 “Financial Statements and Supplementary Data” of this Annual Report on Form 10-K are expected to range from approximately $0.3 million to $22.5 million per year over the next 15 years. Such payments will occur only after we have filed our U.S. federal and state income tax returns and realized the cash tax savings from the favorable tax attributes. We made payments totaling $134.8 million from February 2017 through December 2025. Future payments under the tax receivable agreements in respect of subsequent exchanges would be in addition to these amounts. We currently expect to fund these payments from realized cash tax savings from the favorable tax attributes.</w:t>
      </w:r>
    </w:p>
    <w:p>
      <w:pPr>
        <w:spacing w:after="0" w:line="1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Under the tax receivable agreements, as a result of certain types of transactions and other factors, including a transaction resulting in a change of control, we may also be required to make payments to TRA Parties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Capital Requirements</w:t>
      </w:r>
    </w:p>
    <w:p>
      <w:pPr>
        <w:spacing w:after="0" w:line="202"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Our principal U.S. subsidiary, Virtu Americas LLC (“VAL”) is subject to separate regulation and capital requirements in the U.S. and other jurisdictions. VAL is a registered U.S. broker-dealer, and its primary regulators include the SEC and the Financial Industry Regulatory Authority (“FINRA”). In June 2023 our U.S. subsidiary RFQ-hub Americas LLC (“RAL”) became a registered U.S. broker-dealer and as such is subject to regulation and capital requirements from its primary regulators, the SEC and FINRA. As described in Note 3 “Sale of RFQ-hub”, we disposed of a 49% interest in RAL’s parent company RFQ-hub Holdings LLC (together with its subsidiaries, “RFQ-hub”) in May 2025 and we ceased to control, and deconsolidated, RFQ-hub at such time.</w:t>
      </w:r>
    </w:p>
    <w:p>
      <w:pPr>
        <w:spacing w:after="0" w:line="16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Company’s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w:t>
      </w:r>
    </w:p>
    <w:p>
      <w:pPr>
        <w:spacing w:after="0" w:line="1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Effective January 22, 2025, Virtu Financial Canada ULC has resigned from membership with the Canadian Investment Regulatory Organization and is no longer subject to its regulatory requirements. Our Irish subsidiaries, Virtu Financial Ireland 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spacing w:after="0" w:line="171" w:lineRule="exact"/>
        <w:rPr>
          <w:sz w:val="20"/>
          <w:szCs w:val="20"/>
          <w:color w:val="auto"/>
        </w:rPr>
      </w:pPr>
    </w:p>
    <w:p>
      <w:pPr>
        <w:ind w:right="540" w:firstLine="509"/>
        <w:spacing w:after="0" w:line="287" w:lineRule="auto"/>
        <w:rPr>
          <w:sz w:val="20"/>
          <w:szCs w:val="20"/>
          <w:color w:val="auto"/>
        </w:rPr>
      </w:pPr>
      <w:r>
        <w:rPr>
          <w:rFonts w:ascii="Times New Roman" w:cs="Times New Roman" w:eastAsia="Times New Roman" w:hAnsi="Times New Roman"/>
          <w:sz w:val="14"/>
          <w:szCs w:val="14"/>
          <w:color w:val="auto"/>
        </w:rPr>
        <w:t>See Note 22 “Regulatory Requirement” of Part II, Item 8 “Financial Statements and Supplementary Data” of this Annual Report on Form 10-K for a discussion of regulatory capital requirements of our regulated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Broker Dealer Credit Facilities, Short-Term Bank Loans, and Prime Brokerage Credit Facilities</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We maintain various broker-dealer facilities and short-term credit facilities as part of our daily trading operations. See Note 9 “Borrowings” of Part II, Item 8 “Financial Statements and Supplementary Data” of this Annual Report on Form 10-K for details on our various credit facilities. As of December 31, 2025, there was an outstanding principal balance on our broker-dealer facilities of $10.0 million, and the outstanding aggregate short-term credit facilities with various prime brokers and other financial institutions from which the Company receives execution or clearing services was approximately $203.8 million, which was netted within Receivables from broker-dealers and clearing organizations on the Consolidated Statements of Financial Condition of Part II, Item 8 “Financial Statements and Supplementary Data” of this Annual Report on Form 10-K.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20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1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16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In January 2022, in order to align the swap agreements with the Original Credit Agreement, the Company amended its existing five-year $525.0 million floating-to-fixed interest rate swap agreement and five-year $1,000.0 million floating-to-fixed interest rate swap agreement to align the floating rate term of such swap agreements to SOFR. These two interest rate swaps met the criteria to be considered and were designated as qualifying cash flow hedges under ASC 815, and they effectively fixed interest payment obligations on $525.0 million and $1,000.0 million of principal under the first lien term loan facility in relation to the Original Credit Agreement at rates of 4.5% and 4.6% through September 2024 and January 2025, respectively.</w:t>
      </w:r>
    </w:p>
    <w:p>
      <w:pPr>
        <w:spacing w:after="0" w:line="16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4"/>
          <w:szCs w:val="14"/>
          <w:color w:val="auto"/>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spacing w:after="0" w:line="16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On June 21, 2024 (the “Amendment No. 1 Effective Date”), the Company entered into Amendment No. 1 to the Original Credit Agreement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spacing w:after="0" w:line="16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spacing w:after="0" w:line="164"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its entry into the First Amended Credit Agreement and the associated reduction in term loan balance, the Company partially terminated the December 2023 Swap, reducing the notional amount thereof from</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67" w:name="page68"/>
    <w:bookmarkEnd w:id="67"/>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$1,525.0 million to $1,075.0 million and received $2.0 million in proceeds from the counterparty. The cash flow hedge was proportionally dedesignated under ASC 815 as of June 21, 2024. As a result of the partial dedesignation, we recognized a gain of $5.7 million in Other Income. The remaining interest rate swap effectively fixed interest payment obligations on the $1,075.0 million of principal of the Term B-1 Loans at a rate of 7.17% through November 2025, based on the interest rates set forth in the First Amended Credit Agreement.</w:t>
      </w:r>
    </w:p>
    <w:p>
      <w:pPr>
        <w:spacing w:after="0" w:line="157"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On February 19, 2025 (the “Amendment No. 2 Effective Date”), the Company entered into Amendment No. 2 to the First Amended Credit Agreement (“Amendment No. 2”). Amendment No. 2 amended the First Amended Credit Agreement (as amended, “Credit Agreement”) to, among other things, effect a repricing of the $1,245.0 million in aggregate principal amount of Term B-1 Loans by establishing a new refinancing tranche of $1,245.0 million in aggregate principal amount of Senior Secured First Lien Term B-2 Loans (the “Original Term B-2 Loans”), the proceeds of which were used to repay in full the Term B-1 Loans on the Amendment No. 2 Effective Date.</w:t>
      </w:r>
    </w:p>
    <w:p>
      <w:pPr>
        <w:spacing w:after="0" w:line="16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On September 23, 2025 (the “Amendment No. 3 Effective Date”), the Company entered into Amendment No. 3 to the First Amended Credit Agreement (“Amendment No. 3”). Amendment No. 3 amended the Credit Agreement to effect the issuance of incremental Senior Secured First Lien Term B-2 Loans in the amount of $300.0 million, the proceeds of which were used for general corporate purposes, for a total Term B-2 Loan balance of $1,545.0 million (collectively, the “Term B-2 Loans”).</w:t>
      </w:r>
    </w:p>
    <w:p>
      <w:pPr>
        <w:spacing w:after="0" w:line="15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spacing w:after="0" w:line="164"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interest rate swap effectively fixed interest payment obligations on $1,075.0 million of principal of the Term B-2 Loans at a rate of 6.92% through November 2025, based on the interest rates set forth in the Credit Agreement. The cash flow hedge was discontinued upon the termination of the interest rate swap in November 2025.</w:t>
      </w:r>
    </w:p>
    <w:p>
      <w:pPr>
        <w:spacing w:after="0" w:line="145"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6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57"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$1,545.0 million was outstanding under the current term loans. We were in compliance with all applicable covenants under the Credit Agreement as of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Secured First Lien Notes</w:t>
      </w:r>
    </w:p>
    <w:p>
      <w:pPr>
        <w:spacing w:after="0" w:line="202"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spacing w:after="0" w:line="16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Notes and the related guarantees are secured by first-priority perfected liens on substantially all of the Issuers’ and guarantors’ existing and future assets, subject to certain exceptions, including all material personal property, a pledge of the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68" w:name="page69"/>
    <w:bookmarkEnd w:id="68"/>
    <w:p>
      <w:pPr>
        <w:ind w:right="180"/>
        <w:spacing w:after="0" w:line="270" w:lineRule="auto"/>
        <w:rPr>
          <w:sz w:val="20"/>
          <w:szCs w:val="20"/>
          <w:color w:val="auto"/>
        </w:rPr>
      </w:pPr>
      <w:r>
        <w:rPr>
          <w:rFonts w:ascii="Times New Roman" w:cs="Times New Roman" w:eastAsia="Times New Roman" w:hAnsi="Times New Roman"/>
          <w:sz w:val="14"/>
          <w:szCs w:val="14"/>
          <w:color w:val="auto"/>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 obligations under the Credit Agreement on a first-priority basis.</w:t>
      </w:r>
    </w:p>
    <w:p>
      <w:pPr>
        <w:spacing w:after="0" w:line="15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64"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Prior to June 15, 2027, we may redeem some or all of the Notes at a redemption price equal to 100% of the principal amount plus accrued and unpaid interest, if any, to (but not including) the date of redemption, plus an applicable “make whole” premium.</w:t>
      </w:r>
    </w:p>
    <w:p>
      <w:pPr>
        <w:spacing w:after="0" w:line="145"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spacing w:after="0" w:line="145"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spacing w:after="0" w:line="145"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spacing w:after="0" w:line="173" w:lineRule="exact"/>
        <w:rPr>
          <w:sz w:val="20"/>
          <w:szCs w:val="20"/>
          <w:color w:val="auto"/>
        </w:rPr>
      </w:pPr>
    </w:p>
    <w:tbl>
      <w:tblPr>
        <w:tblLayout w:type="fixed"/>
        <w:tblInd w:w="3140" w:type="dxa"/>
        <w:tblCellMar>
          <w:top w:w="0" w:type="dxa"/>
          <w:left w:w="0" w:type="dxa"/>
          <w:bottom w:w="0" w:type="dxa"/>
          <w:right w:w="0" w:type="dxa"/>
        </w:tblCellMar>
      </w:tblPr>
      <w:tr>
        <w:trPr>
          <w:trHeight w:val="158"/>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700" w:type="dxa"/>
            <w:vAlign w:val="bottom"/>
            <w:tcBorders>
              <w:bottom w:val="single" w:sz="8" w:color="auto"/>
            </w:tcBorders>
          </w:tcPr>
          <w:p>
            <w:pPr>
              <w:jc w:val="center"/>
              <w:ind w:left="643"/>
              <w:spacing w:after="0"/>
              <w:rPr>
                <w:sz w:val="20"/>
                <w:szCs w:val="20"/>
                <w:color w:val="auto"/>
              </w:rPr>
            </w:pPr>
            <w:r>
              <w:rPr>
                <w:rFonts w:ascii="Times New Roman" w:cs="Times New Roman" w:eastAsia="Times New Roman" w:hAnsi="Times New Roman"/>
                <w:sz w:val="11"/>
                <w:szCs w:val="11"/>
                <w:b w:val="1"/>
                <w:bCs w:val="1"/>
                <w:color w:val="auto"/>
              </w:rPr>
              <w:t>Percentage</w:t>
            </w:r>
          </w:p>
        </w:tc>
      </w:tr>
      <w:tr>
        <w:trPr>
          <w:trHeight w:val="15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2027</w:t>
            </w:r>
          </w:p>
        </w:tc>
        <w:tc>
          <w:tcPr>
            <w:tcW w:w="2700" w:type="dxa"/>
            <w:vAlign w:val="bottom"/>
            <w:shd w:val="clear" w:color="auto" w:fill="CCEEFF"/>
          </w:tcPr>
          <w:p>
            <w:pPr>
              <w:jc w:val="center"/>
              <w:ind w:left="663"/>
              <w:spacing w:after="0"/>
              <w:rPr>
                <w:sz w:val="20"/>
                <w:szCs w:val="20"/>
                <w:color w:val="auto"/>
              </w:rPr>
            </w:pPr>
            <w:r>
              <w:rPr>
                <w:rFonts w:ascii="Times New Roman" w:cs="Times New Roman" w:eastAsia="Times New Roman" w:hAnsi="Times New Roman"/>
                <w:sz w:val="11"/>
                <w:szCs w:val="11"/>
                <w:color w:val="auto"/>
              </w:rPr>
              <w:t>103.750%</w:t>
            </w:r>
          </w:p>
        </w:tc>
      </w:tr>
      <w:tr>
        <w:trPr>
          <w:trHeight w:val="153"/>
        </w:trPr>
        <w:tc>
          <w:tcPr>
            <w:tcW w:w="2320" w:type="dxa"/>
            <w:vAlign w:val="bottom"/>
          </w:tcPr>
          <w:p>
            <w:pPr>
              <w:spacing w:after="0"/>
              <w:rPr>
                <w:sz w:val="20"/>
                <w:szCs w:val="20"/>
                <w:color w:val="auto"/>
              </w:rPr>
            </w:pPr>
            <w:r>
              <w:rPr>
                <w:rFonts w:ascii="Times New Roman" w:cs="Times New Roman" w:eastAsia="Times New Roman" w:hAnsi="Times New Roman"/>
                <w:sz w:val="11"/>
                <w:szCs w:val="11"/>
                <w:color w:val="auto"/>
              </w:rPr>
              <w:t>2028</w:t>
            </w:r>
          </w:p>
        </w:tc>
        <w:tc>
          <w:tcPr>
            <w:tcW w:w="2700" w:type="dxa"/>
            <w:vAlign w:val="bottom"/>
          </w:tcPr>
          <w:p>
            <w:pPr>
              <w:jc w:val="center"/>
              <w:ind w:left="663"/>
              <w:spacing w:after="0"/>
              <w:rPr>
                <w:sz w:val="20"/>
                <w:szCs w:val="20"/>
                <w:color w:val="auto"/>
              </w:rPr>
            </w:pPr>
            <w:r>
              <w:rPr>
                <w:rFonts w:ascii="Times New Roman" w:cs="Times New Roman" w:eastAsia="Times New Roman" w:hAnsi="Times New Roman"/>
                <w:sz w:val="11"/>
                <w:szCs w:val="11"/>
                <w:color w:val="auto"/>
              </w:rPr>
              <w:t>101.875%</w:t>
            </w:r>
          </w:p>
        </w:tc>
      </w:tr>
      <w:tr>
        <w:trPr>
          <w:trHeight w:val="165"/>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2029 and thereafter</w:t>
            </w:r>
          </w:p>
        </w:tc>
        <w:tc>
          <w:tcPr>
            <w:tcW w:w="2700" w:type="dxa"/>
            <w:vAlign w:val="bottom"/>
            <w:shd w:val="clear" w:color="auto" w:fill="CCEEFF"/>
          </w:tcPr>
          <w:p>
            <w:pPr>
              <w:jc w:val="center"/>
              <w:ind w:left="663"/>
              <w:spacing w:after="0"/>
              <w:rPr>
                <w:sz w:val="20"/>
                <w:szCs w:val="20"/>
                <w:color w:val="auto"/>
              </w:rPr>
            </w:pPr>
            <w:r>
              <w:rPr>
                <w:rFonts w:ascii="Times New Roman" w:cs="Times New Roman" w:eastAsia="Times New Roman" w:hAnsi="Times New Roman"/>
                <w:sz w:val="11"/>
                <w:szCs w:val="11"/>
                <w:color w:val="auto"/>
              </w:rPr>
              <w:t>100.000%</w:t>
            </w:r>
          </w:p>
        </w:tc>
      </w:tr>
    </w:tbl>
    <w:p>
      <w:pPr>
        <w:spacing w:after="0" w:line="251"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Upon the occurrence of specified change of control events as defined in the Indenture, we must offer to repurchase the outstanding Notes at 101% of the aggregate principal amount, plus accrued and unpaid interest, if any, to (but excluding) the purchase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202"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Our main sources of liquidity are cash flow from the operations of our subsidiaries, our broker-dealer credit facilities (as described above), margin financing provided by our prime brokers and cash on hand.</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summarizes our primary sources and uses of cash for the years ended December 31, 2025, 2024, and 2023.</w:t>
      </w:r>
    </w:p>
    <w:p>
      <w:pPr>
        <w:spacing w:after="0" w:line="227" w:lineRule="exact"/>
        <w:rPr>
          <w:sz w:val="20"/>
          <w:szCs w:val="20"/>
          <w:color w:val="auto"/>
        </w:rPr>
      </w:pPr>
    </w:p>
    <w:tbl>
      <w:tblPr>
        <w:tblLayout w:type="fixed"/>
        <w:tblInd w:w="540" w:type="dxa"/>
        <w:tblCellMar>
          <w:top w:w="0" w:type="dxa"/>
          <w:left w:w="0" w:type="dxa"/>
          <w:bottom w:w="0" w:type="dxa"/>
          <w:right w:w="0" w:type="dxa"/>
        </w:tblCellMar>
      </w:tblP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4"/>
        </w:trPr>
        <w:tc>
          <w:tcPr>
            <w:tcW w:w="5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Net cash provided by (used in):</w:t>
            </w:r>
          </w:p>
        </w:tc>
        <w:tc>
          <w:tcPr>
            <w:tcW w:w="340" w:type="dxa"/>
            <w:vAlign w:val="bottom"/>
          </w:tcPr>
          <w:p>
            <w:pPr>
              <w:spacing w:after="0"/>
              <w:rPr>
                <w:sz w:val="13"/>
                <w:szCs w:val="13"/>
                <w:color w:val="auto"/>
              </w:rPr>
            </w:pPr>
          </w:p>
        </w:tc>
        <w:tc>
          <w:tcPr>
            <w:tcW w:w="114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55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activities</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518,386</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598,991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491,777</w:t>
            </w:r>
          </w:p>
        </w:tc>
      </w:tr>
      <w:tr>
        <w:trPr>
          <w:trHeight w:val="153"/>
        </w:trPr>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Investing activities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(61,847)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(94,484)</w:t>
            </w:r>
          </w:p>
        </w:tc>
      </w:tr>
      <w:tr>
        <w:trPr>
          <w:trHeight w:val="165"/>
        </w:trPr>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(281,045)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(469,565)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(585,032)</w:t>
            </w:r>
          </w:p>
        </w:tc>
      </w:tr>
      <w:tr>
        <w:trPr>
          <w:trHeight w:val="153"/>
        </w:trPr>
        <w:tc>
          <w:tcPr>
            <w:tcW w:w="5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15,731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(9,048)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4,957</w:t>
            </w:r>
          </w:p>
        </w:tc>
      </w:tr>
      <w:tr>
        <w:trPr>
          <w:trHeight w:val="181"/>
        </w:trPr>
        <w:tc>
          <w:tcPr>
            <w:tcW w:w="5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212,450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58,531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(182,782)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9"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20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was $518.4 million for the year ended December 31, 2025, compared to net cash provided by operating activities of $599.0 million for the year ended December 31, 2024. The change in net cash provided by operating activities was primarily attributable to movements in noncash adjustments, partially offset by higher Net income for the year ended December 31, 2025 compared to the prior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202"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Net cash used in investing activities, which includes cash used with respect to capitalized software and cash used in the acquisition of property and equipment, was $40.6 million for the year ended December 31, 2025, compared with net cash used in investing activities of $61.8 million for the year ended December 31, 2024. The decrease in net cash used in investing activities was primarily attributable to proceeds received from sale of RFQ-hub, partially offset by increases in acquisition of property and equipment and other investing activities for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202"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4"/>
          <w:szCs w:val="14"/>
          <w:color w:val="auto"/>
        </w:rPr>
        <w:t>Net cash used in financing activities was $281.0 million for the year ended December 31, 2025, compared to Net cash used in financing activities of $469.6 million for the year ended December 31, 2024. The cash used in financing activities for the year ended December 31, 2025 was primarily attributable to $1,245.0 million of repayment of our previous long-term borrowings, $349.3 million in dividends to stockholders and distributions made to noncontrolling interests, and $188.8 million in purchases of treasury stock, partially offset by $1,545.0 million of net proceeds from long-term borrowings. The cash used in financing activities of $469.6 million during the same period of 2024 primarily reflects $1,727.0 million of repayment of our previous long-term borrowings, $299.4 million net dividends to stockholders and distributions to noncontrolling interests, and $191.1 million purchase of treasury stock, partially offset by $1,741.9 million of net proceeds from long-term borrowings and $38.5 million of net proceeds from short-term borrowings.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202" w:lineRule="exact"/>
        <w:rPr>
          <w:sz w:val="20"/>
          <w:szCs w:val="20"/>
          <w:color w:val="auto"/>
        </w:rPr>
      </w:pPr>
    </w:p>
    <w:p>
      <w:pPr>
        <w:ind w:right="380" w:firstLine="509"/>
        <w:spacing w:after="0" w:line="264" w:lineRule="auto"/>
        <w:rPr>
          <w:sz w:val="20"/>
          <w:szCs w:val="20"/>
          <w:color w:val="auto"/>
        </w:rPr>
      </w:pPr>
      <w:r>
        <w:rPr>
          <w:rFonts w:ascii="Times New Roman" w:cs="Times New Roman" w:eastAsia="Times New Roman" w:hAnsi="Times New Roman"/>
          <w:sz w:val="14"/>
          <w:szCs w:val="14"/>
          <w:color w:val="auto"/>
        </w:rPr>
        <w:t>On November 6, 2020, the Company’s Board of Directors authorized a new share repurchase program of up to $100.0 million in Class A common stock and Virtu Financial Units by December 31, 2021. Subsequently, the Company’s Board of Directors authorized expansions of the share repurchase program on February 11, 2021 to $170.0 million, on May 4, 2021 to $470.0 million (and extended the duration through May 4, 2022), on November 3, 2021 to $1,220.0 million (and extended the duration through November 3, 2023, and on November 2, 2023, further extended the program through December 31, 2024), and on April 24, 2024 to $1,720 million (and extended the duration through April 24, 2026).</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December 31, 2025, the Company repurchased approximately 53.8 million shares of Class A Common Stock and Virtu Financial Units for approximately $1,417.2 million. As of December 31, 2025, the Company has approximately of $302.8 million remaining capacity for future purchases of shares of Class A Common Stock and Virtu Financial Units under the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expected material cash requirements include the following contractual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181" w:lineRule="exact"/>
        <w:rPr>
          <w:sz w:val="20"/>
          <w:szCs w:val="20"/>
          <w:color w:val="auto"/>
        </w:rPr>
      </w:pPr>
    </w:p>
    <w:p>
      <w:pPr>
        <w:jc w:val="both"/>
        <w:ind w:right="60" w:firstLine="509"/>
        <w:spacing w:after="0" w:line="264" w:lineRule="auto"/>
        <w:rPr>
          <w:sz w:val="20"/>
          <w:szCs w:val="20"/>
          <w:color w:val="auto"/>
        </w:rPr>
      </w:pPr>
      <w:r>
        <w:rPr>
          <w:rFonts w:ascii="Times New Roman" w:cs="Times New Roman" w:eastAsia="Times New Roman" w:hAnsi="Times New Roman"/>
          <w:sz w:val="14"/>
          <w:szCs w:val="14"/>
          <w:color w:val="auto"/>
        </w:rPr>
        <w:t>As of December 31, 2025, we had $1,545.0 million of outstanding principal on our First Lien Term B-2 Loan Facility. Each year, we are required to repay $15.5 million of this balance, with the remaining principal due in 2031. As of December 31, 2025, we also had $500.0 million of outstanding principal on our Senior Secured First Lien Notes, and the principal amount is due in 2031. Additionally, $22.3 million of our long-term debt related to the SBI bonds is due in 2029. See Note 9 “Borrowings” in Part II, Item 8 “Financial Statements and Supplementary Data” of this Annual Report on Form 10-K for more details.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81"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We have lease arrangements, primarily for office space and technology and equipment. As of December 31, 2025, we had $80.1 million of operating lease payments and $9.0 million of finance lease payments due within twelve months, and $218.0 million of operating lease payments and $12.5 million of finance leases payments due after twelve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1" w:lineRule="exact"/>
        <w:rPr>
          <w:sz w:val="20"/>
          <w:szCs w:val="20"/>
          <w:color w:val="auto"/>
        </w:rPr>
      </w:pPr>
    </w:p>
    <w:p>
      <w:pPr>
        <w:ind w:right="340" w:firstLine="509"/>
        <w:spacing w:after="0" w:line="270" w:lineRule="auto"/>
        <w:rPr>
          <w:sz w:val="20"/>
          <w:szCs w:val="20"/>
          <w:color w:val="auto"/>
        </w:rPr>
      </w:pPr>
      <w:r>
        <w:rPr>
          <w:rFonts w:ascii="Times New Roman" w:cs="Times New Roman" w:eastAsia="Times New Roman" w:hAnsi="Times New Roman"/>
          <w:sz w:val="14"/>
          <w:szCs w:val="14"/>
          <w:color w:val="auto"/>
        </w:rPr>
        <w:t>The ultimate amounts owed under the tax receivable agreement and timing of the amounts due are not presently known. As of December 31, 2025, a total of $181.9 million has been recorded for amounts due pursuant to tax receivable agreements in the Consolidated Financial Statements representing management’s best estimate of the amounts currently expected to be owed under the tax receivable agreement, as savings are realized as a result of favorable tax attributes.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16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Financial Instruments</w:t>
      </w:r>
    </w:p>
    <w:p>
      <w:pPr>
        <w:spacing w:after="0" w:line="2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Due to the nature of our operations, substantially all of our financial instrument assets, comprised of financial instruments owned, securities purchased under agreements to resell, receivables from brokers, dealers and clearing organizations, and digital assets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64"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Unadjusted quoted prices in active markets that are accessible at the measurement date for identical, unrestricted assets or liabilities;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2 — Quoted prices in markets that are not active and financial instruments for which all significant inputs are observable, either directly or indirectly; or</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Prices or valuations that require inputs that are both significant to the fair value measurement and unobservable</w:t>
      </w:r>
    </w:p>
    <w:p>
      <w:pPr>
        <w:spacing w:after="0" w:line="189"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4"/>
          <w:szCs w:val="14"/>
          <w:color w:val="auto"/>
        </w:rPr>
        <w:t>The fair values for substantially all of our financial instruments owned, financial instruments sold but not yet purchased, and digital assets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Consolidated Financial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1" w:name="page72"/>
    <w:bookmarkEnd w:id="71"/>
    <w:p>
      <w:pPr>
        <w:ind w:right="160"/>
        <w:spacing w:after="0" w:line="271" w:lineRule="auto"/>
        <w:rPr>
          <w:sz w:val="20"/>
          <w:szCs w:val="20"/>
          <w:color w:val="auto"/>
        </w:rPr>
      </w:pPr>
      <w:r>
        <w:rPr>
          <w:rFonts w:ascii="Times New Roman" w:cs="Times New Roman" w:eastAsia="Times New Roman" w:hAnsi="Times New Roman"/>
          <w:sz w:val="14"/>
          <w:szCs w:val="14"/>
          <w:color w:val="auto"/>
        </w:rPr>
        <w:t>Statements. See Note 10 “Financial Assets and Liabilities” of Part II, Item 8 “Financial Statements and Supplementary Data” of this Annual Report on Form 10-K for further information about fair value measurements.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Income, Net</w:t>
      </w:r>
    </w:p>
    <w:p>
      <w:pPr>
        <w:spacing w:after="0" w:line="202"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Trading income, net, consists of trading gains and losses that are recorded on a trade date basis and reported on a net basis. Trading income, net, is primarily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Dividends Income/Interest and Dividends Expense</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Commissions, Net and Technology Services</w:t>
      </w:r>
    </w:p>
    <w:p>
      <w:pPr>
        <w:spacing w:after="0" w:line="202" w:lineRule="exact"/>
        <w:rPr>
          <w:sz w:val="20"/>
          <w:szCs w:val="20"/>
          <w:color w:val="auto"/>
        </w:rPr>
      </w:pPr>
    </w:p>
    <w:p>
      <w:pPr>
        <w:jc w:val="both"/>
        <w:ind w:right="100" w:firstLine="509"/>
        <w:spacing w:after="0" w:line="264" w:lineRule="auto"/>
        <w:rPr>
          <w:sz w:val="20"/>
          <w:szCs w:val="20"/>
          <w:color w:val="auto"/>
        </w:rPr>
      </w:pPr>
      <w:r>
        <w:rPr>
          <w:rFonts w:ascii="Times New Roman" w:cs="Times New Roman" w:eastAsia="Times New Roman" w:hAnsi="Times New Roman"/>
          <w:sz w:val="14"/>
          <w:szCs w:val="14"/>
          <w:color w:val="auto"/>
        </w:rPr>
        <w:t>Commissions, net, which primarily comprise commissions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Consolidated Statements of Comprehensive Income.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Workflow technology revenues consist of order and trade execution management and order routing services we provide through our front-end workflow solutions and network capabilities.</w:t>
      </w:r>
    </w:p>
    <w:p>
      <w:pPr>
        <w:spacing w:after="0" w:line="200"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We provide trade order routing from our execution management system (“EMS”) to our execution services offerings, with each trade order routed through the EMS representing a separate performance obligation, which is the trade date for that trade order routed,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62"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45"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57"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4"/>
          <w:szCs w:val="14"/>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64"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72" w:name="page73"/>
    <w:bookmarkEnd w:id="72"/>
    <w:p>
      <w:pPr>
        <w:ind w:left="1020" w:hanging="506"/>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commission value for each customer for the products and services it receives, which is priced using the value for similar stand-alone subscription arrangements; and</w:t>
      </w:r>
    </w:p>
    <w:p>
      <w:pPr>
        <w:spacing w:after="0" w:line="2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calculated ratio of the commission value for the products and services relative to the total amount of commissions generated from the customer.</w:t>
      </w:r>
    </w:p>
    <w:p>
      <w:pPr>
        <w:spacing w:after="0" w:line="185"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202"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4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Share-based awards issued for compensation in connection with or subsequent to the Reorganization Transactions and the IPO pursuant to our Second Amended and Restated 2015 Management Incentive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4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Certain of our wholly owned subsidiaries are subject to income taxes in foreign jurisdictions. The provision for income tax is composed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5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Agreements</w:t>
      </w:r>
    </w:p>
    <w:p>
      <w:pPr>
        <w:spacing w:after="0" w:line="202"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We are required under the tax receivable agreements entered into in connection with our IPO to make payments to TRA Parties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202"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46" w:lineRule="exact"/>
        <w:rPr>
          <w:sz w:val="20"/>
          <w:szCs w:val="20"/>
          <w:color w:val="auto"/>
        </w:rPr>
      </w:pPr>
    </w:p>
    <w:p>
      <w:pPr>
        <w:jc w:val="both"/>
        <w:ind w:right="160" w:firstLine="509"/>
        <w:spacing w:after="0" w:line="246" w:lineRule="auto"/>
        <w:rPr>
          <w:sz w:val="20"/>
          <w:szCs w:val="20"/>
          <w:color w:val="auto"/>
        </w:rPr>
      </w:pPr>
      <w:r>
        <w:rPr>
          <w:rFonts w:ascii="Times New Roman" w:cs="Times New Roman" w:eastAsia="Times New Roman" w:hAnsi="Times New Roman"/>
          <w:sz w:val="14"/>
          <w:szCs w:val="14"/>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163" w:lineRule="exact"/>
        <w:rPr>
          <w:sz w:val="20"/>
          <w:szCs w:val="20"/>
          <w:color w:val="auto"/>
        </w:rPr>
      </w:pPr>
    </w:p>
    <w:p>
      <w:pPr>
        <w:ind w:left="1020" w:hanging="251"/>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accessing capital;</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exchange rates or other developments in equity and credit markets;</w:t>
      </w:r>
    </w:p>
    <w:p>
      <w:pPr>
        <w:spacing w:after="0" w:line="8" w:lineRule="exact"/>
        <w:rPr>
          <w:rFonts w:ascii="Times New Roman" w:cs="Times New Roman" w:eastAsia="Times New Roman" w:hAnsi="Times New Roman"/>
          <w:sz w:val="14"/>
          <w:szCs w:val="14"/>
          <w:color w:val="auto"/>
        </w:rPr>
      </w:pPr>
    </w:p>
    <w:p>
      <w:pPr>
        <w:ind w:left="520" w:right="300" w:firstLine="249"/>
        <w:spacing w:after="0" w:line="253" w:lineRule="auto"/>
        <w:tabs>
          <w:tab w:leader="none" w:pos="102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020" w:hanging="251"/>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factors such as increases in raw materials, labor, or other costs that have a negative effect on earnings and cash flows;</w:t>
      </w:r>
    </w:p>
    <w:p>
      <w:pPr>
        <w:spacing w:after="0" w:line="8" w:lineRule="exact"/>
        <w:rPr>
          <w:rFonts w:ascii="Times New Roman" w:cs="Times New Roman" w:eastAsia="Times New Roman" w:hAnsi="Times New Roman"/>
          <w:sz w:val="14"/>
          <w:szCs w:val="14"/>
          <w:color w:val="auto"/>
        </w:rPr>
      </w:pPr>
    </w:p>
    <w:p>
      <w:pPr>
        <w:ind w:left="520" w:right="180" w:firstLine="249"/>
        <w:spacing w:after="0" w:line="253" w:lineRule="auto"/>
        <w:tabs>
          <w:tab w:leader="none" w:pos="102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financial performance such as negative or declining cash flows or a decline in actual or planned revenue or earnings compared with actual and projected results of relevant prior periods;</w:t>
      </w:r>
    </w:p>
    <w:p>
      <w:pPr>
        <w:ind w:left="1020" w:hanging="251"/>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relevant entity-specific events such as changes in management, key personnel, strategy, or customers, contemplation of bankruptcy, or litigation.</w:t>
      </w:r>
    </w:p>
    <w:p>
      <w:pPr>
        <w:spacing w:after="0" w:line="18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4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spacing w:after="0" w:line="157"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We assess goodwill for impairment on an annual basis as of July 1st and on an interim basis when certain events or circumstances exist. In the impairment assessment as of July 1, 2025, we performed a qualitative assessment as described above for each reporting unit. No impairment of goodwill was identified.</w:t>
      </w:r>
    </w:p>
    <w:p>
      <w:pPr>
        <w:spacing w:after="0" w:line="145"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to twelve years.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4" w:name="page75"/>
    <w:bookmarkEnd w:id="74"/>
    <w:p>
      <w:pPr>
        <w:ind w:right="60"/>
        <w:spacing w:after="0" w:line="270" w:lineRule="auto"/>
        <w:rPr>
          <w:sz w:val="20"/>
          <w:szCs w:val="20"/>
          <w:color w:val="auto"/>
        </w:rPr>
      </w:pPr>
      <w:r>
        <w:rPr>
          <w:rFonts w:ascii="Times New Roman" w:cs="Times New Roman" w:eastAsia="Times New Roman" w:hAnsi="Times New Roman"/>
          <w:sz w:val="14"/>
          <w:szCs w:val="14"/>
          <w:color w:val="auto"/>
        </w:rPr>
        <w:t>Had we used a shorter estimated useful life of seven years, the Company would have recorded an additional $14.4 million, $18.4 million, and $21.7 million of amortization expense for the years ended December 31, 2025, 2024, and 2023, respectively. We test finite-lived intangible assets for impairment when impairment indicators are present, and if impaired, they are written down to fair value.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For a discussion of recently issued accounting developments and their impact or potential impact on our consolidated financial statements, see Note 2 “Summary of Significant Accounting Policies” of Part II, Item 8 “Financial Statements and Supplementary Data” of this Annual Report on Form 10-K.</w:t>
      </w: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729"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w:t>
      </w:r>
    </w:p>
    <w:p>
      <w:pPr>
        <w:spacing w:after="0" w:line="202"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4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67"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senior trading personnel, designated risk personnel and senior management.</w:t>
      </w:r>
    </w:p>
    <w:p>
      <w:pPr>
        <w:spacing w:after="0" w:line="14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5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64"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maintain inventories of exchange-listed and other equity securities, and to a lesser extent, fixed income securities, listed equity options, and digital assets. The fair value of these financial instruments at December 31, 2025 and December 31, 2024 was $10.6 billion and $7.8 billion, respectively, in long positions and $9.1 billion and $6.4 billion, respectively, in short positions. We also enter into futures contracts, which are recorded on our Consolidated Statements of Financial Condition within Receivable from brokers, dealers and clearing organizations or Payable to brokers, dealers and clearing organizations as applicable.</w:t>
      </w:r>
    </w:p>
    <w:p>
      <w:pPr>
        <w:spacing w:after="0" w:line="16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5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Interest Rate Risk, Derivative Instruments</w:t>
      </w:r>
    </w:p>
    <w:p>
      <w:pPr>
        <w:spacing w:after="0" w:line="202" w:lineRule="exact"/>
        <w:rPr>
          <w:sz w:val="20"/>
          <w:szCs w:val="20"/>
          <w:color w:val="auto"/>
        </w:rPr>
      </w:pPr>
    </w:p>
    <w:p>
      <w:pPr>
        <w:ind w:right="200" w:firstLine="509"/>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6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We may also use derivative instruments for risk management purposes, including cash flow hedges used to manage interest rate risk on long-term borrowings and net investment hedges used to manage foreign exchange risk. We had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spacing w:after="0" w:line="168"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Futures Contracts</w:t>
      </w:r>
      <w:r>
        <w:rPr>
          <w:rFonts w:ascii="Times New Roman" w:cs="Times New Roman" w:eastAsia="Times New Roman" w:hAnsi="Times New Roman"/>
          <w:sz w:val="14"/>
          <w:szCs w:val="14"/>
          <w:color w:val="auto"/>
        </w:rPr>
        <w:t>. As part of our proprietary market making trading strategies, we use futures contracts to gain exposure to changes in values of various indices, commodities, interest rates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59" w:lineRule="exact"/>
        <w:rPr>
          <w:sz w:val="20"/>
          <w:szCs w:val="20"/>
          <w:color w:val="auto"/>
        </w:rPr>
      </w:pPr>
    </w:p>
    <w:p>
      <w:pPr>
        <w:ind w:right="24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Due from Broker-Dealers and Clearing Organizations</w:t>
      </w:r>
      <w:r>
        <w:rPr>
          <w:rFonts w:ascii="Times New Roman" w:cs="Times New Roman" w:eastAsia="Times New Roman" w:hAnsi="Times New Roman"/>
          <w:sz w:val="14"/>
          <w:szCs w:val="14"/>
          <w:color w:val="auto"/>
        </w:rPr>
        <w:t>. Management periodically evaluates our counterparty credit exposures to various brokers and clearing organizations with a view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limiting potential losses resulting from counterparty insolvency.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6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Approximately 19.1% and 17.9% of our total revenues for the years ended December 31, 2025 and 2024, respectively, were denominated in non-U.S. dollar currencies. We estimate that a hypothetical 10% adverse change in the value of the U.S. dollar relative to our foreign denominated earnings would have resulted in decreases in total revenues of $69.2 million and $51.4 million for the years ended December 31, 2025 and 2024, respectively.</w:t>
      </w:r>
    </w:p>
    <w:p>
      <w:pPr>
        <w:spacing w:after="0" w:line="157" w:lineRule="exact"/>
        <w:rPr>
          <w:sz w:val="20"/>
          <w:szCs w:val="20"/>
          <w:color w:val="auto"/>
        </w:rPr>
      </w:pPr>
    </w:p>
    <w:p>
      <w:pPr>
        <w:ind w:right="300" w:firstLine="509"/>
        <w:spacing w:after="0" w:line="264" w:lineRule="auto"/>
        <w:rPr>
          <w:sz w:val="20"/>
          <w:szCs w:val="20"/>
          <w:color w:val="auto"/>
        </w:rPr>
      </w:pPr>
      <w:r>
        <w:rPr>
          <w:rFonts w:ascii="Times New Roman" w:cs="Times New Roman" w:eastAsia="Times New Roman" w:hAnsi="Times New Roman"/>
          <w:sz w:val="14"/>
          <w:szCs w:val="14"/>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and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Financial Instruments with Off Balance Sheet Risk</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We enter into various transactions involving derivatives and other off-balance sheet financial instruments. These financial instruments include futures, forward contracts, swaps,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exchange-traded options. These derivative financial instruments are used to conduct trading activities and manage market risks and are, therefore, subject to varying degrees of market and credit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Derivative transactions are entered into for trading purposes or to economically hedge other positions or transactions.</w:t>
      </w:r>
    </w:p>
    <w:p>
      <w:pPr>
        <w:spacing w:after="0" w:line="18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3"/>
        </w:trPr>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2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r>
      <w:tr>
        <w:trPr>
          <w:trHeight w:val="313"/>
        </w:trPr>
        <w:tc>
          <w:tcPr>
            <w:tcW w:w="40" w:type="dxa"/>
            <w:vAlign w:val="bottom"/>
          </w:tcPr>
          <w:p>
            <w:pPr>
              <w:spacing w:after="0"/>
              <w:rPr>
                <w:sz w:val="24"/>
                <w:szCs w:val="24"/>
                <w:color w:val="auto"/>
              </w:rPr>
            </w:pPr>
          </w:p>
        </w:tc>
        <w:tc>
          <w:tcPr>
            <w:tcW w:w="494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238)</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40" w:type="dxa"/>
            <w:vAlign w:val="bottom"/>
          </w:tcPr>
          <w:p>
            <w:pPr>
              <w:spacing w:after="0"/>
              <w:rPr>
                <w:sz w:val="24"/>
                <w:szCs w:val="24"/>
                <w:color w:val="auto"/>
              </w:rPr>
            </w:pPr>
          </w:p>
        </w:tc>
        <w:tc>
          <w:tcPr>
            <w:tcW w:w="27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Financial Condition</w:t>
            </w:r>
          </w:p>
        </w:tc>
        <w:tc>
          <w:tcPr>
            <w:tcW w:w="600" w:type="dxa"/>
            <w:vAlign w:val="bottom"/>
            <w:tcBorders>
              <w:top w:val="single" w:sz="8" w:color="0000FF"/>
            </w:tcBorders>
            <w:gridSpan w:val="2"/>
          </w:tcPr>
          <w:p>
            <w:pPr>
              <w:spacing w:after="0"/>
              <w:rPr>
                <w:sz w:val="24"/>
                <w:szCs w:val="24"/>
                <w:color w:val="auto"/>
              </w:rPr>
            </w:pPr>
          </w:p>
        </w:tc>
        <w:tc>
          <w:tcPr>
            <w:tcW w:w="1620" w:type="dxa"/>
            <w:vAlign w:val="bottom"/>
          </w:tcPr>
          <w:p>
            <w:pPr>
              <w:spacing w:after="0"/>
              <w:rPr>
                <w:sz w:val="24"/>
                <w:szCs w:val="24"/>
                <w:color w:val="auto"/>
              </w:rPr>
            </w:pPr>
          </w:p>
        </w:tc>
        <w:tc>
          <w:tcPr>
            <w:tcW w:w="6120" w:type="dxa"/>
            <w:vAlign w:val="bottom"/>
            <w:gridSpan w:val="2"/>
          </w:tcPr>
          <w:p>
            <w:pPr>
              <w:spacing w:after="0"/>
              <w:rPr>
                <w:sz w:val="24"/>
                <w:szCs w:val="24"/>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40" w:type="dxa"/>
            <w:vAlign w:val="bottom"/>
          </w:tcPr>
          <w:p>
            <w:pPr>
              <w:spacing w:after="0"/>
              <w:rPr>
                <w:sz w:val="24"/>
                <w:szCs w:val="24"/>
                <w:color w:val="auto"/>
              </w:rPr>
            </w:pPr>
          </w:p>
        </w:tc>
        <w:tc>
          <w:tcPr>
            <w:tcW w:w="2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2000" w:type="dxa"/>
            <w:vAlign w:val="bottom"/>
            <w:gridSpan w:val="2"/>
          </w:tcPr>
          <w:p>
            <w:pPr>
              <w:spacing w:after="0"/>
              <w:rPr>
                <w:sz w:val="24"/>
                <w:szCs w:val="24"/>
                <w:color w:val="auto"/>
              </w:rPr>
            </w:pPr>
          </w:p>
        </w:tc>
        <w:tc>
          <w:tcPr>
            <w:tcW w:w="6120" w:type="dxa"/>
            <w:vAlign w:val="bottom"/>
            <w:gridSpan w:val="2"/>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40" w:type="dxa"/>
            <w:vAlign w:val="bottom"/>
          </w:tcPr>
          <w:p>
            <w:pPr>
              <w:spacing w:after="0"/>
              <w:rPr>
                <w:sz w:val="24"/>
                <w:szCs w:val="24"/>
                <w:color w:val="auto"/>
              </w:rPr>
            </w:pPr>
          </w:p>
        </w:tc>
        <w:tc>
          <w:tcPr>
            <w:tcW w:w="2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Changes in Equity</w:t>
            </w:r>
          </w:p>
        </w:tc>
        <w:tc>
          <w:tcPr>
            <w:tcW w:w="2300" w:type="dxa"/>
            <w:vAlign w:val="bottom"/>
            <w:gridSpan w:val="4"/>
          </w:tcPr>
          <w:p>
            <w:pPr>
              <w:spacing w:after="0"/>
              <w:rPr>
                <w:sz w:val="24"/>
                <w:szCs w:val="24"/>
                <w:color w:val="auto"/>
              </w:rPr>
            </w:pPr>
          </w:p>
        </w:tc>
        <w:tc>
          <w:tcPr>
            <w:tcW w:w="6120" w:type="dxa"/>
            <w:vAlign w:val="bottom"/>
            <w:gridSpan w:val="2"/>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40" w:type="dxa"/>
            <w:vAlign w:val="bottom"/>
          </w:tcPr>
          <w:p>
            <w:pPr>
              <w:spacing w:after="0"/>
              <w:rPr>
                <w:sz w:val="24"/>
                <w:szCs w:val="24"/>
                <w:color w:val="auto"/>
              </w:rPr>
            </w:pPr>
          </w:p>
        </w:tc>
        <w:tc>
          <w:tcPr>
            <w:tcW w:w="2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2680" w:type="dxa"/>
            <w:vAlign w:val="bottom"/>
            <w:gridSpan w:val="6"/>
          </w:tcPr>
          <w:p>
            <w:pPr>
              <w:spacing w:after="0"/>
              <w:rPr>
                <w:sz w:val="24"/>
                <w:szCs w:val="24"/>
                <w:color w:val="auto"/>
              </w:rPr>
            </w:pPr>
          </w:p>
        </w:tc>
        <w:tc>
          <w:tcPr>
            <w:tcW w:w="6120" w:type="dxa"/>
            <w:vAlign w:val="bottom"/>
            <w:gridSpan w:val="2"/>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40" w:type="dxa"/>
            <w:vAlign w:val="bottom"/>
          </w:tcPr>
          <w:p>
            <w:pPr>
              <w:spacing w:after="0"/>
              <w:rPr>
                <w:sz w:val="24"/>
                <w:szCs w:val="24"/>
                <w:color w:val="auto"/>
              </w:rPr>
            </w:pPr>
          </w:p>
        </w:tc>
        <w:tc>
          <w:tcPr>
            <w:tcW w:w="494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1"/>
        </w:trPr>
        <w:tc>
          <w:tcPr>
            <w:tcW w:w="40" w:type="dxa"/>
            <w:vAlign w:val="bottom"/>
          </w:tcPr>
          <w:p>
            <w:pPr>
              <w:spacing w:after="0"/>
              <w:rPr>
                <w:sz w:val="24"/>
                <w:szCs w:val="24"/>
                <w:color w:val="auto"/>
              </w:rPr>
            </w:pPr>
          </w:p>
        </w:tc>
        <w:tc>
          <w:tcPr>
            <w:tcW w:w="2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80" w:type="dxa"/>
            <w:vAlign w:val="bottom"/>
          </w:tcPr>
          <w:p>
            <w:pPr>
              <w:jc w:val="right"/>
              <w:ind w:right="4269"/>
              <w:spacing w:after="0"/>
              <w:rPr>
                <w:sz w:val="20"/>
                <w:szCs w:val="20"/>
                <w:color w:val="auto"/>
              </w:rPr>
            </w:pPr>
            <w:r>
              <w:rPr>
                <w:rFonts w:ascii="Times New Roman" w:cs="Times New Roman" w:eastAsia="Times New Roman" w:hAnsi="Times New Roman"/>
                <w:sz w:val="14"/>
                <w:szCs w:val="14"/>
                <w:color w:val="auto"/>
              </w:rPr>
              <w:t>78</w:t>
            </w:r>
          </w:p>
        </w:tc>
        <w:tc>
          <w:tcPr>
            <w:tcW w:w="10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5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8" w:name="page79"/>
    <w:bookmarkEnd w:id="78"/>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Virtu Financial,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9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financial condition of Virtu Financial Inc. and its subsidiaries (the “Company”) as of December 31, 2025 and 2024, and the related consolidated statements of comprehensive income, of changes in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6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1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income, net (“Trading Income”)</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described in Note 2 to the consolidated financial statements, as of December 31, 2025, trading income, net was $2.437 billion, of which the majority relates to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163"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Trading Income is a critical audit matter are the significant audit effort in performing procedures and evaluating audit evidence related to the transactions which comprise the trading income.</w:t>
      </w:r>
    </w:p>
    <w:p>
      <w:pPr>
        <w:spacing w:after="0" w:line="14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calculation of Trading Income, including controls over the completeness, accuracy, existence, and valuation of trading assets and trading liabilities.</w:t>
      </w:r>
    </w:p>
    <w:p>
      <w:pPr>
        <w:spacing w:after="0" w:line="157"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4"/>
          <w:szCs w:val="14"/>
          <w:color w:val="auto"/>
        </w:rPr>
        <w:t>These procedures also included, among others, testing of the inputs used by management in their trading income calculations and independently recalculating trading income. The procedures performed over testing of the inputs include (i) confirming a sample of trading assets, trading liabilities and cash (collectively the “equity value”) within each trading portfolio at the balance sheet date with external third parties; (ii) developing independent prices for a sample of trading assets and liabilities at the balance sheet date and comparing management's prices to the independently developed prices; (iii) testing a sample of purchases and sales throughout the year by agreeing the quantity and price to settlement documentation, and (iv) testing the equity value of a sample of trading portfolios throughout the year and at year-end by comparing the amounts to third party clearing statements.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rPr>
          <w:sz w:val="20"/>
          <w:szCs w:val="20"/>
          <w:color w:val="auto"/>
        </w:rPr>
      </w:pPr>
      <w:r>
        <w:rPr>
          <w:rFonts w:ascii="Times New Roman" w:cs="Times New Roman" w:eastAsia="Times New Roman" w:hAnsi="Times New Roman"/>
          <w:sz w:val="14"/>
          <w:szCs w:val="14"/>
          <w:color w:val="auto"/>
        </w:rPr>
        <w:t>February 20,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17"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160" w:type="dxa"/>
            <w:vAlign w:val="bottom"/>
          </w:tcPr>
          <w:p>
            <w:pPr>
              <w:spacing w:after="0"/>
              <w:rPr>
                <w:sz w:val="12"/>
                <w:szCs w:val="12"/>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2"/>
                <w:szCs w:val="12"/>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8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0"/>
        </w:trPr>
        <w:tc>
          <w:tcPr>
            <w:tcW w:w="8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1,061,697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872,513</w:t>
            </w:r>
          </w:p>
        </w:tc>
        <w:tc>
          <w:tcPr>
            <w:tcW w:w="0" w:type="dxa"/>
            <w:vAlign w:val="bottom"/>
          </w:tcPr>
          <w:p>
            <w:pPr>
              <w:spacing w:after="0"/>
              <w:rPr>
                <w:sz w:val="1"/>
                <w:szCs w:val="1"/>
                <w:color w:val="auto"/>
              </w:rPr>
            </w:pPr>
          </w:p>
        </w:tc>
      </w:tr>
      <w:tr>
        <w:trPr>
          <w:trHeight w:val="189"/>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Cash restricted or segregated under regulations and other</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41,478</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Securities borrowed</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3,191,138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2,294,529</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purchased under agreements to resell</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988,929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983,941</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Receivables from broker-dealers and clearing organizations ($328,934 and $51,595 at fair value, as of December 31, 2025 and December 31, 2024, respectively)</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1,896,405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1,100,850</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Trading assets, at fair value: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Financial instruments owned</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7,343,032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5,520,015</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Financial instruments owned and pledged</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3,208,525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2,282,637</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Receivables from customers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149,804</w:t>
            </w:r>
          </w:p>
        </w:tc>
        <w:tc>
          <w:tcPr>
            <w:tcW w:w="0" w:type="dxa"/>
            <w:vAlign w:val="bottom"/>
          </w:tcPr>
          <w:p>
            <w:pPr>
              <w:spacing w:after="0"/>
              <w:rPr>
                <w:sz w:val="1"/>
                <w:szCs w:val="1"/>
                <w:color w:val="auto"/>
              </w:rPr>
            </w:pPr>
          </w:p>
        </w:tc>
      </w:tr>
      <w:tr>
        <w:trPr>
          <w:trHeight w:val="127"/>
        </w:trPr>
        <w:tc>
          <w:tcPr>
            <w:tcW w:w="862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auto"/>
              </w:rPr>
              <w:t>Property, equipment and capitalized software (net of accumulated depreciation of $437,002 and $380,202 as of December 31, 2025 and December 31, 2024,</w:t>
            </w: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96,378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91,415</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respectively)</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213,707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175,046</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1,148,926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1,148,926</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Intangibles (net of accumulated amortization of $475,592 and $428,460 as of December 31, 2025 and December 31, 2024, respectively)</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203,188</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Deferred tax assets</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135,046</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of business held for sale</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w:t>
            </w:r>
          </w:p>
        </w:tc>
        <w:tc>
          <w:tcPr>
            <w:tcW w:w="0" w:type="dxa"/>
            <w:vAlign w:val="bottom"/>
          </w:tcPr>
          <w:p>
            <w:pPr>
              <w:spacing w:after="0"/>
              <w:rPr>
                <w:sz w:val="1"/>
                <w:szCs w:val="1"/>
                <w:color w:val="auto"/>
              </w:rPr>
            </w:pPr>
          </w:p>
        </w:tc>
      </w:tr>
      <w:tr>
        <w:trPr>
          <w:trHeight w:val="168"/>
        </w:trPr>
        <w:tc>
          <w:tcPr>
            <w:tcW w:w="8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Other assets ($242,121 and $158,326, at fair value, as of December 31, 2025 and December 31, 2024, respectively)</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528,341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357,740</w:t>
            </w:r>
          </w:p>
        </w:tc>
        <w:tc>
          <w:tcPr>
            <w:tcW w:w="0" w:type="dxa"/>
            <w:vAlign w:val="bottom"/>
          </w:tcPr>
          <w:p>
            <w:pPr>
              <w:spacing w:after="0"/>
              <w:rPr>
                <w:sz w:val="1"/>
                <w:szCs w:val="1"/>
                <w:color w:val="auto"/>
              </w:rPr>
            </w:pPr>
          </w:p>
        </w:tc>
      </w:tr>
      <w:tr>
        <w:trPr>
          <w:trHeight w:val="188"/>
        </w:trPr>
        <w:tc>
          <w:tcPr>
            <w:tcW w:w="8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20,150,736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15,361,743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Short-term borrowings</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38,541</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loaned</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3,477,831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2,431,878</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Securities sold under agreements to repurchase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1,405,639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1,271,788</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Payables to broker-dealers and clearing organizations ($181,272 and $136,736, at fair value, as of December 31, 2025 and December 31, 2024, respectively)</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998,276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918,566</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Payables to customers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46,112</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Trading liabilities, at fair value: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Financial instruments sold, not yet purchased</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9,105,263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6,440,971</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Tax receivable agreement obligations</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196,592</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652,352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558,100</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261,169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229,825</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borrowings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2,039,463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1,740,467</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Liabilities of business held for sale</w:t>
            </w: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0" w:type="dxa"/>
            <w:vAlign w:val="bottom"/>
          </w:tcPr>
          <w:p>
            <w:pPr>
              <w:spacing w:after="0"/>
              <w:rPr>
                <w:sz w:val="1"/>
                <w:szCs w:val="1"/>
                <w:color w:val="auto"/>
              </w:rPr>
            </w:pPr>
          </w:p>
        </w:tc>
      </w:tr>
      <w:tr>
        <w:trPr>
          <w:trHeight w:val="163"/>
        </w:trPr>
        <w:tc>
          <w:tcPr>
            <w:tcW w:w="86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18,177,333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13,874,366</w:t>
            </w:r>
          </w:p>
        </w:tc>
        <w:tc>
          <w:tcPr>
            <w:tcW w:w="0" w:type="dxa"/>
            <w:vAlign w:val="bottom"/>
          </w:tcPr>
          <w:p>
            <w:pPr>
              <w:spacing w:after="0"/>
              <w:rPr>
                <w:sz w:val="1"/>
                <w:szCs w:val="1"/>
                <w:color w:val="auto"/>
              </w:rPr>
            </w:pPr>
          </w:p>
        </w:tc>
      </w:tr>
      <w:tr>
        <w:trPr>
          <w:trHeight w:val="127"/>
        </w:trPr>
        <w:tc>
          <w:tcPr>
            <w:tcW w:w="8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16)</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Virtu Financial Inc. Stockholders' equity</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62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auto"/>
              </w:rPr>
              <w:t>Class A common stock (par value $0.00001), Authorized — 1,000,000,000 and 1,000,000,000 shares, Issued — 140,877,669 and 137,479,751 shares, Outstanding</w:t>
            </w: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 84,919,931 and 84,976,325 shares at December 31, 2025 and December 31, 2024, respectively</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6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Class B common stock (par value $0.00001), Authorized — 175,000,000 and 175,000,000 shares, Issued and Outstanding — 0 and 0 shares at December 31, 2025</w:t>
            </w:r>
          </w:p>
        </w:tc>
        <w:tc>
          <w:tcPr>
            <w:tcW w:w="16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and December 31, 2024, respectively</w:t>
            </w:r>
          </w:p>
        </w:tc>
        <w:tc>
          <w:tcPr>
            <w:tcW w:w="16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62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auto"/>
              </w:rPr>
              <w:t>Class C common stock (par value $0.00001), Authorized — 90,000,000 and 90,000,000 shares, Issued and Outstanding — 7,970,185 and 8,561,970 shares at</w:t>
            </w:r>
          </w:p>
        </w:tc>
        <w:tc>
          <w:tcPr>
            <w:tcW w:w="16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December 31, 2025 and December 31, 2024, respectively</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6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Class D common stock (par value $0.00001), Authorized — 175,000,000 and 175,000,000 shares, Issued and Outstanding — 60,091,740 and 60,091,740 shares at</w:t>
            </w: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December 31, 2025 and December 31, 2024, respectively</w:t>
            </w:r>
          </w:p>
        </w:tc>
        <w:tc>
          <w:tcPr>
            <w:tcW w:w="16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Treasury stock, at cost, 55,957,738 and 52,503,426 shares at December 31, 2025 and December 31, 2024, respectively</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(1,475,666)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(1,339,913)</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1,541,684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1,432,240</w:t>
            </w:r>
          </w:p>
        </w:tc>
        <w:tc>
          <w:tcPr>
            <w:tcW w:w="0" w:type="dxa"/>
            <w:vAlign w:val="bottom"/>
          </w:tcPr>
          <w:p>
            <w:pPr>
              <w:spacing w:after="0"/>
              <w:rPr>
                <w:sz w:val="1"/>
                <w:szCs w:val="1"/>
                <w:color w:val="auto"/>
              </w:rPr>
            </w:pPr>
          </w:p>
        </w:tc>
      </w:tr>
      <w:tr>
        <w:trPr>
          <w:trHeight w:val="165"/>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1,519,270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5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5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Virtu Financial Inc. stockholders' equity</w:t>
            </w: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1,582,279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1,254,174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w:t>
            </w:r>
          </w:p>
        </w:tc>
        <w:tc>
          <w:tcPr>
            <w:tcW w:w="5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391,124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1,973,403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1,487,377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5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20,150,736</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15,361,743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640" w:type="dxa"/>
            <w:vAlign w:val="bottom"/>
            <w:gridSpan w:val="3"/>
          </w:tcPr>
          <w:p>
            <w:pPr>
              <w:jc w:val="center"/>
              <w:ind w:right="727"/>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5"/>
        </w:trPr>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80" w:type="dxa"/>
            <w:vAlign w:val="bottom"/>
          </w:tcPr>
          <w:p>
            <w:pPr>
              <w:jc w:val="right"/>
              <w:ind w:right="280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3140" w:type="dxa"/>
            <w:vAlign w:val="bottom"/>
            <w:tcBorders>
              <w:bottom w:val="single" w:sz="8" w:color="9A9A9A"/>
            </w:tcBorders>
          </w:tcPr>
          <w:p>
            <w:pPr>
              <w:spacing w:after="0"/>
              <w:rPr>
                <w:sz w:val="7"/>
                <w:szCs w:val="7"/>
                <w:color w:val="auto"/>
              </w:rPr>
            </w:pPr>
          </w:p>
        </w:tc>
        <w:tc>
          <w:tcPr>
            <w:tcW w:w="5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55" w:lineRule="exact"/>
        <w:rPr>
          <w:sz w:val="20"/>
          <w:szCs w:val="20"/>
          <w:color w:val="auto"/>
        </w:rPr>
      </w:pPr>
    </w:p>
    <w:tbl>
      <w:tblPr>
        <w:tblLayout w:type="fixed"/>
        <w:tblInd w:w="860" w:type="dxa"/>
        <w:tblCellMar>
          <w:top w:w="0" w:type="dxa"/>
          <w:left w:w="0" w:type="dxa"/>
          <w:bottom w:w="0" w:type="dxa"/>
          <w:right w:w="0" w:type="dxa"/>
        </w:tblCellMar>
      </w:tblPr>
      <w:tr>
        <w:trPr>
          <w:trHeight w:val="158"/>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40" w:type="dxa"/>
            <w:vAlign w:val="bottom"/>
            <w:tcBorders>
              <w:bottom w:val="single" w:sz="8" w:color="auto"/>
            </w:tcBorders>
          </w:tcPr>
          <w:p>
            <w:pPr>
              <w:spacing w:after="0"/>
              <w:rPr>
                <w:sz w:val="13"/>
                <w:szCs w:val="13"/>
                <w:color w:val="auto"/>
              </w:rPr>
            </w:pPr>
          </w:p>
        </w:tc>
      </w:tr>
      <w:tr>
        <w:trPr>
          <w:trHeight w:val="169"/>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240" w:type="dxa"/>
            <w:vAlign w:val="bottom"/>
          </w:tcPr>
          <w:p>
            <w:pPr>
              <w:spacing w:after="0"/>
              <w:rPr>
                <w:sz w:val="14"/>
                <w:szCs w:val="14"/>
                <w:color w:val="auto"/>
              </w:rPr>
            </w:pPr>
          </w:p>
        </w:tc>
        <w:tc>
          <w:tcPr>
            <w:tcW w:w="82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Trading income, net</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2,436,707</w:t>
            </w:r>
          </w:p>
        </w:tc>
        <w:tc>
          <w:tcPr>
            <w:tcW w:w="360" w:type="dxa"/>
            <w:vAlign w:val="bottom"/>
            <w:gridSpan w:val="3"/>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1,822,437</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1,301,344</w:t>
            </w:r>
          </w:p>
        </w:tc>
      </w:tr>
      <w:tr>
        <w:trPr>
          <w:trHeight w:val="172"/>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462,070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462,566</w:t>
            </w: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617,025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516,783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455,598</w:t>
            </w:r>
          </w:p>
        </w:tc>
      </w:tr>
      <w:tr>
        <w:trPr>
          <w:trHeight w:val="172"/>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net</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69,569</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73,865</w:t>
            </w:r>
          </w:p>
        </w:tc>
      </w:tr>
      <w:tr>
        <w:trPr>
          <w:trHeight w:val="158"/>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 revenue</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3,632,118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2,876,949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2,293,373</w:t>
            </w:r>
          </w:p>
        </w:tc>
      </w:tr>
      <w:tr>
        <w:trPr>
          <w:trHeight w:val="172"/>
        </w:trPr>
        <w:tc>
          <w:tcPr>
            <w:tcW w:w="6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9"/>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Brokerage, exchange, clearance fees and payments for order flow, net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769,774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674,426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508,358</w:t>
            </w: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Communication and data processing</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249,207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236,446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230,760</w:t>
            </w:r>
          </w:p>
        </w:tc>
      </w:tr>
      <w:tr>
        <w:trPr>
          <w:trHeight w:val="172"/>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Employee compensation and payroll taxes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528,085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434,823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394,039</w:t>
            </w: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Interest and dividends expense</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647,448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529,177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500,467</w:t>
            </w:r>
          </w:p>
        </w:tc>
      </w:tr>
      <w:tr>
        <w:trPr>
          <w:trHeight w:val="172"/>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Operations and administrative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97,922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98,972</w:t>
            </w: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63,306</w:t>
            </w:r>
          </w:p>
        </w:tc>
      </w:tr>
      <w:tr>
        <w:trPr>
          <w:trHeight w:val="172"/>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Amortization of purchased intangibles and acquired capitalized software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63,960</w:t>
            </w: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Termination of office leases</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r>
      <w:tr>
        <w:trPr>
          <w:trHeight w:val="172"/>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issue cost related to debt refinancing, prepayment and commitment fees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8,317</w:t>
            </w: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Transaction advisory fees and expenses</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r>
      <w:tr>
        <w:trPr>
          <w:trHeight w:val="172"/>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Financing interest expense on long-term borrowings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132,859</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97,802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99,294</w:t>
            </w:r>
          </w:p>
        </w:tc>
      </w:tr>
      <w:tr>
        <w:trPr>
          <w:trHeight w:val="158"/>
        </w:trPr>
        <w:tc>
          <w:tcPr>
            <w:tcW w:w="61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2,537,789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2,231,979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1,968,242</w:t>
            </w:r>
          </w:p>
        </w:tc>
      </w:tr>
      <w:tr>
        <w:trPr>
          <w:trHeight w:val="163"/>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before income taxes and noncontrolling interest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1,094,329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644,970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325,131</w:t>
            </w:r>
          </w:p>
        </w:tc>
      </w:tr>
      <w:tr>
        <w:trPr>
          <w:trHeight w:val="168"/>
        </w:trPr>
        <w:tc>
          <w:tcPr>
            <w:tcW w:w="61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182,065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110,435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61,210</w:t>
            </w:r>
          </w:p>
        </w:tc>
      </w:tr>
      <w:tr>
        <w:trPr>
          <w:trHeight w:val="163"/>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912,264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534,535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263,921</w:t>
            </w: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Noncontrolling interest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(443,903)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(258,120)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(121,885)</w:t>
            </w:r>
          </w:p>
        </w:tc>
      </w:tr>
      <w:tr>
        <w:trPr>
          <w:trHeight w:val="172"/>
        </w:trPr>
        <w:tc>
          <w:tcPr>
            <w:tcW w:w="6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r>
      <w:tr>
        <w:trPr>
          <w:trHeight w:val="160"/>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 available for common stockholders</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468,361</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276,415</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142,036</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1"/>
        </w:trPr>
        <w:tc>
          <w:tcPr>
            <w:tcW w:w="6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8"/>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Earnings per share</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360" w:type="dxa"/>
            <w:vAlign w:val="bottom"/>
            <w:gridSpan w:val="3"/>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360" w:type="dxa"/>
            <w:vAlign w:val="bottom"/>
            <w:gridSpan w:val="3"/>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72"/>
        </w:trPr>
        <w:tc>
          <w:tcPr>
            <w:tcW w:w="6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85,216,028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87,482,162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94,076,165</w:t>
            </w:r>
          </w:p>
        </w:tc>
      </w:tr>
      <w:tr>
        <w:trPr>
          <w:trHeight w:val="168"/>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85,318,436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87,821,576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94,076,165</w:t>
            </w:r>
          </w:p>
        </w:tc>
      </w:tr>
      <w:tr>
        <w:trPr>
          <w:trHeight w:val="172"/>
        </w:trPr>
        <w:tc>
          <w:tcPr>
            <w:tcW w:w="6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912,264</w:t>
            </w:r>
          </w:p>
        </w:tc>
        <w:tc>
          <w:tcPr>
            <w:tcW w:w="360" w:type="dxa"/>
            <w:vAlign w:val="bottom"/>
            <w:gridSpan w:val="3"/>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534,535</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263,921</w:t>
            </w:r>
          </w:p>
        </w:tc>
      </w:tr>
      <w:tr>
        <w:trPr>
          <w:trHeight w:val="172"/>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exchange translation adjustment, net of taxes</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w:t>
            </w:r>
          </w:p>
        </w:tc>
      </w:tr>
      <w:tr>
        <w:trPr>
          <w:trHeight w:val="172"/>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change in unrealized cash flow hedges gain (loss), net of taxes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(32,251)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(36,993)</w:t>
            </w:r>
          </w:p>
        </w:tc>
      </w:tr>
      <w:tr>
        <w:trPr>
          <w:trHeight w:val="158"/>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927,598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493,236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231,885</w:t>
            </w:r>
          </w:p>
        </w:tc>
      </w:tr>
      <w:tr>
        <w:trPr>
          <w:trHeight w:val="172"/>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Comprehensive income attributable to noncontrolling interest</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(455,185)</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(240,931)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(104,406)</w:t>
            </w:r>
          </w:p>
        </w:tc>
      </w:tr>
      <w:tr>
        <w:trPr>
          <w:trHeight w:val="160"/>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Comprehensive income attributable to common stockholders</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472,413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252,305</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127,479</w:t>
            </w: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300" w:top="125" w:right="1159"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Class A Common Stock</w:t>
            </w: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Class C Common Stock</w:t>
            </w:r>
          </w:p>
        </w:tc>
        <w:tc>
          <w:tcPr>
            <w:tcW w:w="1100" w:type="dxa"/>
            <w:vAlign w:val="bottom"/>
            <w:gridSpan w:val="3"/>
            <w:vMerge w:val="restart"/>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Class D Common Stock</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5"/>
            <w:vMerge w:val="restart"/>
          </w:tcPr>
          <w:p>
            <w:pPr>
              <w:ind w:left="300"/>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80" w:type="dxa"/>
            <w:vAlign w:val="bottom"/>
          </w:tcPr>
          <w:p>
            <w:pPr>
              <w:spacing w:after="0"/>
              <w:rPr>
                <w:sz w:val="7"/>
                <w:szCs w:val="7"/>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00" w:type="dxa"/>
            <w:vAlign w:val="bottom"/>
          </w:tcPr>
          <w:p>
            <w:pPr>
              <w:spacing w:after="0"/>
              <w:rPr>
                <w:sz w:val="7"/>
                <w:szCs w:val="7"/>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8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7"/>
                <w:szCs w:val="7"/>
                <w:color w:val="auto"/>
              </w:rPr>
            </w:pPr>
          </w:p>
        </w:tc>
        <w:tc>
          <w:tcPr>
            <w:tcW w:w="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Total Virtu</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5"/>
            <w:vMerge w:val="continue"/>
          </w:tcPr>
          <w:p>
            <w:pPr>
              <w:spacing w:after="0"/>
              <w:rPr>
                <w:sz w:val="7"/>
                <w:szCs w:val="7"/>
                <w:color w:val="auto"/>
              </w:rPr>
            </w:pPr>
          </w:p>
        </w:tc>
        <w:tc>
          <w:tcPr>
            <w:tcW w:w="660" w:type="dxa"/>
            <w:vAlign w:val="bottom"/>
            <w:gridSpan w:val="3"/>
          </w:tcPr>
          <w:p>
            <w:pPr>
              <w:ind w:left="20"/>
              <w:spacing w:after="0" w:line="85" w:lineRule="exact"/>
              <w:rPr>
                <w:sz w:val="20"/>
                <w:szCs w:val="20"/>
                <w:color w:val="auto"/>
              </w:rPr>
            </w:pPr>
            <w:r>
              <w:rPr>
                <w:rFonts w:ascii="Times New Roman" w:cs="Times New Roman" w:eastAsia="Times New Roman" w:hAnsi="Times New Roman"/>
                <w:sz w:val="8"/>
                <w:szCs w:val="8"/>
                <w:b w:val="1"/>
                <w:bCs w:val="1"/>
                <w:color w:val="auto"/>
              </w:rPr>
              <w:t>Paid-in Capital</w:t>
            </w: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tcPr>
          <w:p>
            <w:pPr>
              <w:jc w:val="center"/>
              <w:ind w:right="160"/>
              <w:spacing w:after="0" w:line="55" w:lineRule="exact"/>
              <w:rPr>
                <w:sz w:val="20"/>
                <w:szCs w:val="20"/>
                <w:color w:val="auto"/>
              </w:rPr>
            </w:pPr>
            <w:r>
              <w:rPr>
                <w:rFonts w:ascii="Times New Roman" w:cs="Times New Roman" w:eastAsia="Times New Roman" w:hAnsi="Times New Roman"/>
                <w:sz w:val="6"/>
                <w:szCs w:val="6"/>
                <w:b w:val="1"/>
                <w:bCs w:val="1"/>
                <w:color w:val="auto"/>
              </w:rPr>
              <w:t>Earnings</w:t>
            </w:r>
          </w:p>
        </w:tc>
        <w:tc>
          <w:tcPr>
            <w:tcW w:w="80" w:type="dxa"/>
            <w:vAlign w:val="bottom"/>
          </w:tcPr>
          <w:p>
            <w:pPr>
              <w:spacing w:after="0"/>
              <w:rPr>
                <w:sz w:val="4"/>
                <w:szCs w:val="4"/>
                <w:color w:val="auto"/>
              </w:rPr>
            </w:pPr>
          </w:p>
        </w:tc>
        <w:tc>
          <w:tcPr>
            <w:tcW w:w="640" w:type="dxa"/>
            <w:vAlign w:val="bottom"/>
            <w:gridSpan w:val="2"/>
          </w:tcPr>
          <w:p>
            <w:pPr>
              <w:jc w:val="center"/>
              <w:ind w:right="140"/>
              <w:spacing w:after="0" w:line="55" w:lineRule="exact"/>
              <w:rPr>
                <w:sz w:val="20"/>
                <w:szCs w:val="20"/>
                <w:color w:val="auto"/>
              </w:rPr>
            </w:pPr>
            <w:r>
              <w:rPr>
                <w:rFonts w:ascii="Times New Roman" w:cs="Times New Roman" w:eastAsia="Times New Roman" w:hAnsi="Times New Roman"/>
                <w:sz w:val="6"/>
                <w:szCs w:val="6"/>
                <w:b w:val="1"/>
                <w:bCs w:val="1"/>
                <w:color w:val="auto"/>
              </w:rPr>
              <w:t>Other</w:t>
            </w:r>
          </w:p>
        </w:tc>
        <w:tc>
          <w:tcPr>
            <w:tcW w:w="60" w:type="dxa"/>
            <w:vAlign w:val="bottom"/>
          </w:tcPr>
          <w:p>
            <w:pPr>
              <w:spacing w:after="0"/>
              <w:rPr>
                <w:sz w:val="4"/>
                <w:szCs w:val="4"/>
                <w:color w:val="auto"/>
              </w:rPr>
            </w:pPr>
          </w:p>
        </w:tc>
        <w:tc>
          <w:tcPr>
            <w:tcW w:w="620" w:type="dxa"/>
            <w:vAlign w:val="bottom"/>
            <w:gridSpan w:val="2"/>
          </w:tcPr>
          <w:p>
            <w:pPr>
              <w:jc w:val="center"/>
              <w:ind w:right="120"/>
              <w:spacing w:after="0" w:line="55" w:lineRule="exact"/>
              <w:rPr>
                <w:sz w:val="20"/>
                <w:szCs w:val="20"/>
                <w:color w:val="auto"/>
              </w:rPr>
            </w:pPr>
            <w:r>
              <w:rPr>
                <w:rFonts w:ascii="Times New Roman" w:cs="Times New Roman" w:eastAsia="Times New Roman" w:hAnsi="Times New Roman"/>
                <w:sz w:val="6"/>
                <w:szCs w:val="6"/>
                <w:b w:val="1"/>
                <w:bCs w:val="1"/>
                <w:color w:val="auto"/>
              </w:rPr>
              <w:t>Financial Inc.</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(in thousands, except share and interest data)</w:t>
            </w: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0" w:type="dxa"/>
            <w:vAlign w:val="bottom"/>
            <w:vMerge w:val="restart"/>
          </w:tcPr>
          <w:p>
            <w:pPr>
              <w:spacing w:after="0"/>
              <w:rPr>
                <w:sz w:val="7"/>
                <w:szCs w:val="7"/>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80" w:type="dxa"/>
            <w:vAlign w:val="bottom"/>
            <w:vMerge w:val="restart"/>
          </w:tcPr>
          <w:p>
            <w:pPr>
              <w:spacing w:after="0"/>
              <w:rPr>
                <w:sz w:val="7"/>
                <w:szCs w:val="7"/>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Amounts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0" w:type="dxa"/>
            <w:vAlign w:val="bottom"/>
            <w:vMerge w:val="restart"/>
          </w:tcPr>
          <w:p>
            <w:pPr>
              <w:spacing w:after="0"/>
              <w:rPr>
                <w:sz w:val="7"/>
                <w:szCs w:val="7"/>
                <w:color w:val="auto"/>
              </w:rPr>
            </w:pPr>
          </w:p>
        </w:tc>
        <w:tc>
          <w:tcPr>
            <w:tcW w:w="680" w:type="dxa"/>
            <w:vAlign w:val="bottom"/>
            <w:gridSpan w:val="3"/>
          </w:tcPr>
          <w:p>
            <w:pPr>
              <w:jc w:val="center"/>
              <w:ind w:right="60"/>
              <w:spacing w:after="0" w:line="8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720" w:type="dxa"/>
            <w:vAlign w:val="bottom"/>
            <w:gridSpan w:val="3"/>
          </w:tcPr>
          <w:p>
            <w:pPr>
              <w:jc w:val="center"/>
              <w:ind w:right="80"/>
              <w:spacing w:after="0" w:line="8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60" w:type="dxa"/>
            <w:vAlign w:val="bottom"/>
          </w:tcPr>
          <w:p>
            <w:pPr>
              <w:spacing w:after="0"/>
              <w:rPr>
                <w:sz w:val="7"/>
                <w:szCs w:val="7"/>
                <w:color w:val="auto"/>
              </w:rPr>
            </w:pPr>
          </w:p>
        </w:tc>
        <w:tc>
          <w:tcPr>
            <w:tcW w:w="620" w:type="dxa"/>
            <w:vAlign w:val="bottom"/>
            <w:gridSpan w:val="2"/>
          </w:tcPr>
          <w:p>
            <w:pPr>
              <w:jc w:val="center"/>
              <w:ind w:right="12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0" w:type="dxa"/>
            <w:vAlign w:val="bottom"/>
          </w:tcPr>
          <w:p>
            <w:pPr>
              <w:spacing w:after="0"/>
              <w:rPr>
                <w:sz w:val="1"/>
                <w:szCs w:val="1"/>
                <w:color w:val="auto"/>
              </w:rPr>
            </w:pPr>
          </w:p>
        </w:tc>
      </w:tr>
      <w:tr>
        <w:trPr>
          <w:trHeight w:val="118"/>
        </w:trPr>
        <w:tc>
          <w:tcPr>
            <w:tcW w:w="1940" w:type="dxa"/>
            <w:vAlign w:val="bottom"/>
            <w:tcBorders>
              <w:bottom w:val="single" w:sz="8" w:color="CCEEFF"/>
            </w:tcBorders>
            <w:gridSpan w:val="2"/>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8"/>
                <w:szCs w:val="8"/>
                <w:b w:val="1"/>
                <w:bCs w:val="1"/>
                <w:color w:val="auto"/>
              </w:rPr>
              <w:t>Deficit)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8"/>
                <w:szCs w:val="8"/>
                <w:b w:val="1"/>
                <w:bCs w:val="1"/>
                <w:color w:val="auto"/>
              </w:rPr>
              <w:t>Income (loss)</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Equity</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at December 31,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133,071,754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9,030,066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60,091,740</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color w:val="auto"/>
                <w:w w:val="98"/>
              </w:rPr>
              <w:t>$</w:t>
            </w: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(34,522,290)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(954,637)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1,292,613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972,317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31,604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1,341,899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309,528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1,651,427</w:t>
            </w:r>
          </w:p>
        </w:tc>
        <w:tc>
          <w:tcPr>
            <w:tcW w:w="0" w:type="dxa"/>
            <w:vAlign w:val="bottom"/>
          </w:tcPr>
          <w:p>
            <w:pPr>
              <w:spacing w:after="0"/>
              <w:rPr>
                <w:sz w:val="1"/>
                <w:szCs w:val="1"/>
                <w:color w:val="auto"/>
              </w:rPr>
            </w:pPr>
          </w:p>
        </w:tc>
      </w:tr>
      <w:tr>
        <w:trPr>
          <w:trHeight w:val="118"/>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2,627,823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66,644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66,644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66,644</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Repurchase of Class C common stock</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(235,674)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(3,896)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(3,896)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(3,896)</w:t>
            </w:r>
          </w:p>
        </w:tc>
        <w:tc>
          <w:tcPr>
            <w:tcW w:w="0" w:type="dxa"/>
            <w:vAlign w:val="bottom"/>
          </w:tcPr>
          <w:p>
            <w:pPr>
              <w:spacing w:after="0"/>
              <w:rPr>
                <w:sz w:val="1"/>
                <w:szCs w:val="1"/>
                <w:color w:val="auto"/>
              </w:rPr>
            </w:pPr>
          </w:p>
        </w:tc>
      </w:tr>
      <w:tr>
        <w:trPr>
          <w:trHeight w:val="118"/>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Treasury stock 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(984,934)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(11,286,061)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(211,662)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(19,119)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(230,781)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(230,781)</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Income</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142,036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142,036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121,885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263,921</w:t>
            </w:r>
          </w:p>
        </w:tc>
        <w:tc>
          <w:tcPr>
            <w:tcW w:w="0" w:type="dxa"/>
            <w:vAlign w:val="bottom"/>
          </w:tcPr>
          <w:p>
            <w:pPr>
              <w:spacing w:after="0"/>
              <w:rPr>
                <w:sz w:val="1"/>
                <w:szCs w:val="1"/>
                <w:color w:val="auto"/>
              </w:rPr>
            </w:pPr>
          </w:p>
        </w:tc>
      </w:tr>
      <w:tr>
        <w:trPr>
          <w:trHeight w:val="118"/>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Foreign exchange translation adjustment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6,952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6,952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(1,995)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4,957</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change in unrealized cash flow hedges gains</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(21,509)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(21,509)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(15,484)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(36,993)</w:t>
            </w:r>
          </w:p>
        </w:tc>
        <w:tc>
          <w:tcPr>
            <w:tcW w:w="0" w:type="dxa"/>
            <w:vAlign w:val="bottom"/>
          </w:tcPr>
          <w:p>
            <w:pPr>
              <w:spacing w:after="0"/>
              <w:rPr>
                <w:sz w:val="1"/>
                <w:szCs w:val="1"/>
                <w:color w:val="auto"/>
              </w:rPr>
            </w:pPr>
          </w:p>
        </w:tc>
      </w:tr>
      <w:tr>
        <w:trPr>
          <w:trHeight w:val="86"/>
        </w:trPr>
        <w:tc>
          <w:tcPr>
            <w:tcW w:w="1940" w:type="dxa"/>
            <w:vAlign w:val="bottom"/>
            <w:gridSpan w:val="2"/>
          </w:tcPr>
          <w:p>
            <w:pPr>
              <w:ind w:left="100"/>
              <w:spacing w:after="0" w:line="86" w:lineRule="exact"/>
              <w:rPr>
                <w:sz w:val="20"/>
                <w:szCs w:val="20"/>
                <w:color w:val="auto"/>
              </w:rPr>
            </w:pPr>
            <w:r>
              <w:rPr>
                <w:rFonts w:ascii="Times New Roman" w:cs="Times New Roman" w:eastAsia="Times New Roman" w:hAnsi="Times New Roman"/>
                <w:sz w:val="8"/>
                <w:szCs w:val="8"/>
                <w:color w:val="auto"/>
              </w:rPr>
              <w:t>Dividends ($0.24 per share of Class A common</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8"/>
                <w:szCs w:val="8"/>
                <w:color w:val="auto"/>
              </w:rPr>
              <w:t>stock and participating Restricted Stock Unit 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8"/>
                <w:szCs w:val="8"/>
                <w:color w:val="auto"/>
              </w:rPr>
              <w:t>Restricted Stock Award) and distributions from</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(94,831)</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(94,831)</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(211,305)</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(306,136)</w:t>
            </w:r>
          </w:p>
        </w:tc>
        <w:tc>
          <w:tcPr>
            <w:tcW w:w="0" w:type="dxa"/>
            <w:vAlign w:val="bottom"/>
          </w:tcPr>
          <w:p>
            <w:pPr>
              <w:spacing w:after="0"/>
              <w:rPr>
                <w:sz w:val="1"/>
                <w:szCs w:val="1"/>
                <w:color w:val="auto"/>
              </w:rPr>
            </w:pPr>
          </w:p>
        </w:tc>
      </w:tr>
      <w:tr>
        <w:trPr>
          <w:trHeight w:val="117"/>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Virtu Financial to non-controlling interest</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Issuance of Common Stock in connection with</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186,394</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6"/>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employee exchanges</w:t>
            </w:r>
          </w:p>
        </w:tc>
        <w:tc>
          <w:tcPr>
            <w:tcW w:w="5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940" w:type="dxa"/>
            <w:vAlign w:val="bottom"/>
            <w:gridSpan w:val="2"/>
          </w:tcPr>
          <w:p>
            <w:pPr>
              <w:ind w:left="100"/>
              <w:spacing w:after="0" w:line="86" w:lineRule="exact"/>
              <w:rPr>
                <w:sz w:val="20"/>
                <w:szCs w:val="20"/>
                <w:color w:val="auto"/>
              </w:rPr>
            </w:pPr>
            <w:r>
              <w:rPr>
                <w:rFonts w:ascii="Times New Roman" w:cs="Times New Roman" w:eastAsia="Times New Roman" w:hAnsi="Times New Roman"/>
                <w:sz w:val="8"/>
                <w:szCs w:val="8"/>
                <w:color w:val="auto"/>
              </w:rPr>
              <w:t>Repurchase of Virtu Financial Units 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8"/>
                <w:szCs w:val="8"/>
                <w:color w:val="auto"/>
              </w:rPr>
              <w:t>corresponding number of Class C common stock</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(186,394)</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7"/>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in connection with employee exchanges</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Issuance of tax receivable agreements in</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4"/>
              </w:rPr>
              <w:t>—</w:t>
            </w:r>
          </w:p>
        </w:tc>
        <w:tc>
          <w:tcPr>
            <w:tcW w:w="6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(3,787)</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(3,787)</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(3,787)</w:t>
            </w:r>
          </w:p>
        </w:tc>
        <w:tc>
          <w:tcPr>
            <w:tcW w:w="0" w:type="dxa"/>
            <w:vAlign w:val="bottom"/>
          </w:tcPr>
          <w:p>
            <w:pPr>
              <w:spacing w:after="0"/>
              <w:rPr>
                <w:sz w:val="1"/>
                <w:szCs w:val="1"/>
                <w:color w:val="auto"/>
              </w:rPr>
            </w:pPr>
          </w:p>
        </w:tc>
      </w:tr>
      <w:tr>
        <w:trPr>
          <w:trHeight w:val="117"/>
        </w:trPr>
        <w:tc>
          <w:tcPr>
            <w:tcW w:w="18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connection with employee exchange</w:t>
            </w:r>
          </w:p>
        </w:tc>
        <w:tc>
          <w:tcPr>
            <w:tcW w:w="80" w:type="dxa"/>
            <w:vAlign w:val="bottom"/>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4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Balance at December 31, 2023</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134,901,037</w:t>
            </w:r>
          </w:p>
        </w:tc>
        <w:tc>
          <w:tcPr>
            <w:tcW w:w="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8,607,998</w:t>
            </w:r>
          </w:p>
        </w:tc>
        <w:tc>
          <w:tcPr>
            <w:tcW w:w="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60,091,740</w:t>
            </w:r>
          </w:p>
        </w:tc>
        <w:tc>
          <w:tcPr>
            <w:tcW w:w="60" w:type="dxa"/>
            <w:vAlign w:val="bottom"/>
          </w:tcPr>
          <w:p>
            <w:pPr>
              <w:spacing w:after="0"/>
              <w:rPr>
                <w:sz w:val="10"/>
                <w:szCs w:val="10"/>
                <w:color w:val="auto"/>
              </w:rPr>
            </w:pPr>
          </w:p>
        </w:tc>
        <w:tc>
          <w:tcPr>
            <w:tcW w:w="460" w:type="dxa"/>
            <w:vAlign w:val="bottom"/>
          </w:tcPr>
          <w:p>
            <w:pPr>
              <w:jc w:val="right"/>
              <w:ind w:right="358"/>
              <w:spacing w:after="0"/>
              <w:rPr>
                <w:sz w:val="20"/>
                <w:szCs w:val="20"/>
                <w:color w:val="auto"/>
              </w:rPr>
            </w:pPr>
            <w:r>
              <w:rPr>
                <w:rFonts w:ascii="Times New Roman" w:cs="Times New Roman" w:eastAsia="Times New Roman" w:hAnsi="Times New Roman"/>
                <w:sz w:val="8"/>
                <w:szCs w:val="8"/>
                <w:color w:val="auto"/>
                <w:w w:val="98"/>
              </w:rPr>
              <w:t>$</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(45,808,351)</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(1,166,299)</w:t>
            </w:r>
          </w:p>
        </w:tc>
        <w:tc>
          <w:tcPr>
            <w:tcW w:w="6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1,351,574</w:t>
            </w:r>
          </w:p>
        </w:tc>
        <w:tc>
          <w:tcPr>
            <w:tcW w:w="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1,000,403</w:t>
            </w:r>
          </w:p>
        </w:tc>
        <w:tc>
          <w:tcPr>
            <w:tcW w:w="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17,047</w:t>
            </w:r>
          </w:p>
        </w:tc>
        <w:tc>
          <w:tcPr>
            <w:tcW w:w="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1,202,727</w:t>
            </w:r>
          </w:p>
        </w:tc>
        <w:tc>
          <w:tcPr>
            <w:tcW w:w="6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202,629</w:t>
            </w:r>
          </w:p>
        </w:tc>
        <w:tc>
          <w:tcPr>
            <w:tcW w:w="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1,405,356</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Share 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2,884,150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67,741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67,741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67,741</w:t>
            </w:r>
          </w:p>
        </w:tc>
        <w:tc>
          <w:tcPr>
            <w:tcW w:w="0" w:type="dxa"/>
            <w:vAlign w:val="bottom"/>
          </w:tcPr>
          <w:p>
            <w:pPr>
              <w:spacing w:after="0"/>
              <w:rPr>
                <w:sz w:val="1"/>
                <w:szCs w:val="1"/>
                <w:color w:val="auto"/>
              </w:rPr>
            </w:pPr>
          </w:p>
        </w:tc>
      </w:tr>
      <w:tr>
        <w:trPr>
          <w:trHeight w:val="118"/>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Repurchase of Class C common stock</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(2,637)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(1,044,103)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(6,695,075)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(173,614)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(18,864)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(192,478)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(192,478)</w:t>
            </w:r>
          </w:p>
        </w:tc>
        <w:tc>
          <w:tcPr>
            <w:tcW w:w="0" w:type="dxa"/>
            <w:vAlign w:val="bottom"/>
          </w:tcPr>
          <w:p>
            <w:pPr>
              <w:spacing w:after="0"/>
              <w:rPr>
                <w:sz w:val="1"/>
                <w:szCs w:val="1"/>
                <w:color w:val="auto"/>
              </w:rPr>
            </w:pPr>
          </w:p>
        </w:tc>
      </w:tr>
      <w:tr>
        <w:trPr>
          <w:trHeight w:val="118"/>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Stock option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695,276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13,210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13,210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13,210</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Income</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276,415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276,415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258,120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534,535</w:t>
            </w:r>
          </w:p>
        </w:tc>
        <w:tc>
          <w:tcPr>
            <w:tcW w:w="0" w:type="dxa"/>
            <w:vAlign w:val="bottom"/>
          </w:tcPr>
          <w:p>
            <w:pPr>
              <w:spacing w:after="0"/>
              <w:rPr>
                <w:sz w:val="1"/>
                <w:szCs w:val="1"/>
                <w:color w:val="auto"/>
              </w:rPr>
            </w:pPr>
          </w:p>
        </w:tc>
      </w:tr>
      <w:tr>
        <w:trPr>
          <w:trHeight w:val="118"/>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Foreign exchange translation adjustment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(5,637)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(5,637)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(3,411)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(9,048)</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change in unrealized cash flow hedges gains</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(18,473)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(18,473)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(13,778)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(32,251)</w:t>
            </w:r>
          </w:p>
        </w:tc>
        <w:tc>
          <w:tcPr>
            <w:tcW w:w="0" w:type="dxa"/>
            <w:vAlign w:val="bottom"/>
          </w:tcPr>
          <w:p>
            <w:pPr>
              <w:spacing w:after="0"/>
              <w:rPr>
                <w:sz w:val="1"/>
                <w:szCs w:val="1"/>
                <w:color w:val="auto"/>
              </w:rPr>
            </w:pPr>
          </w:p>
        </w:tc>
      </w:tr>
      <w:tr>
        <w:trPr>
          <w:trHeight w:val="86"/>
        </w:trPr>
        <w:tc>
          <w:tcPr>
            <w:tcW w:w="1940" w:type="dxa"/>
            <w:vAlign w:val="bottom"/>
            <w:gridSpan w:val="2"/>
          </w:tcPr>
          <w:p>
            <w:pPr>
              <w:ind w:left="100"/>
              <w:spacing w:after="0" w:line="86" w:lineRule="exact"/>
              <w:rPr>
                <w:sz w:val="20"/>
                <w:szCs w:val="20"/>
                <w:color w:val="auto"/>
              </w:rPr>
            </w:pPr>
            <w:r>
              <w:rPr>
                <w:rFonts w:ascii="Times New Roman" w:cs="Times New Roman" w:eastAsia="Times New Roman" w:hAnsi="Times New Roman"/>
                <w:sz w:val="8"/>
                <w:szCs w:val="8"/>
                <w:color w:val="auto"/>
              </w:rPr>
              <w:t>Dividends ($0.24 per share of Class A common</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8"/>
                <w:szCs w:val="8"/>
                <w:color w:val="auto"/>
              </w:rPr>
              <w:t>stock and participating Restricted Stock Unit 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8"/>
                <w:szCs w:val="8"/>
                <w:color w:val="auto"/>
              </w:rPr>
              <w:t>Restricted Stock Award) and distributions from</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(89,046)</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(89,046)</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(210,357)</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(299,403)</w:t>
            </w:r>
          </w:p>
        </w:tc>
        <w:tc>
          <w:tcPr>
            <w:tcW w:w="0" w:type="dxa"/>
            <w:vAlign w:val="bottom"/>
          </w:tcPr>
          <w:p>
            <w:pPr>
              <w:spacing w:after="0"/>
              <w:rPr>
                <w:sz w:val="1"/>
                <w:szCs w:val="1"/>
                <w:color w:val="auto"/>
              </w:rPr>
            </w:pPr>
          </w:p>
        </w:tc>
      </w:tr>
      <w:tr>
        <w:trPr>
          <w:trHeight w:val="117"/>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Virtu Financial to non-controlling interest</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Issuance of Common Stock in connection with</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43,391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6"/>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employee exchanges</w:t>
            </w:r>
          </w:p>
        </w:tc>
        <w:tc>
          <w:tcPr>
            <w:tcW w:w="5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940" w:type="dxa"/>
            <w:vAlign w:val="bottom"/>
            <w:gridSpan w:val="2"/>
          </w:tcPr>
          <w:p>
            <w:pPr>
              <w:ind w:left="100"/>
              <w:spacing w:after="0" w:line="86" w:lineRule="exact"/>
              <w:rPr>
                <w:sz w:val="20"/>
                <w:szCs w:val="20"/>
                <w:color w:val="auto"/>
              </w:rPr>
            </w:pPr>
            <w:r>
              <w:rPr>
                <w:rFonts w:ascii="Times New Roman" w:cs="Times New Roman" w:eastAsia="Times New Roman" w:hAnsi="Times New Roman"/>
                <w:sz w:val="8"/>
                <w:szCs w:val="8"/>
                <w:color w:val="auto"/>
              </w:rPr>
              <w:t>Repurchase of Virtu Financial Units 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8"/>
                <w:szCs w:val="8"/>
                <w:color w:val="auto"/>
              </w:rPr>
              <w:t>corresponding number of Class C common stock</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(43,391)</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7"/>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in connection with employee exchanges</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Issuance of tax receivable agreements in</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4"/>
              </w:rPr>
              <w:t>—</w:t>
            </w:r>
          </w:p>
        </w:tc>
        <w:tc>
          <w:tcPr>
            <w:tcW w:w="6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(209)</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(209)</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(209)</w:t>
            </w:r>
          </w:p>
        </w:tc>
        <w:tc>
          <w:tcPr>
            <w:tcW w:w="0" w:type="dxa"/>
            <w:vAlign w:val="bottom"/>
          </w:tcPr>
          <w:p>
            <w:pPr>
              <w:spacing w:after="0"/>
              <w:rPr>
                <w:sz w:val="1"/>
                <w:szCs w:val="1"/>
                <w:color w:val="auto"/>
              </w:rPr>
            </w:pPr>
          </w:p>
        </w:tc>
      </w:tr>
      <w:tr>
        <w:trPr>
          <w:trHeight w:val="117"/>
        </w:trPr>
        <w:tc>
          <w:tcPr>
            <w:tcW w:w="18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connection with employee exchange</w:t>
            </w:r>
          </w:p>
        </w:tc>
        <w:tc>
          <w:tcPr>
            <w:tcW w:w="80" w:type="dxa"/>
            <w:vAlign w:val="bottom"/>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4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Balance at December 31, 2024</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137,479,751</w:t>
            </w:r>
          </w:p>
        </w:tc>
        <w:tc>
          <w:tcPr>
            <w:tcW w:w="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8,561,970</w:t>
            </w:r>
          </w:p>
        </w:tc>
        <w:tc>
          <w:tcPr>
            <w:tcW w:w="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60,091,740</w:t>
            </w:r>
          </w:p>
        </w:tc>
        <w:tc>
          <w:tcPr>
            <w:tcW w:w="60" w:type="dxa"/>
            <w:vAlign w:val="bottom"/>
          </w:tcPr>
          <w:p>
            <w:pPr>
              <w:spacing w:after="0"/>
              <w:rPr>
                <w:sz w:val="10"/>
                <w:szCs w:val="10"/>
                <w:color w:val="auto"/>
              </w:rPr>
            </w:pPr>
          </w:p>
        </w:tc>
        <w:tc>
          <w:tcPr>
            <w:tcW w:w="460" w:type="dxa"/>
            <w:vAlign w:val="bottom"/>
          </w:tcPr>
          <w:p>
            <w:pPr>
              <w:jc w:val="right"/>
              <w:ind w:right="358"/>
              <w:spacing w:after="0"/>
              <w:rPr>
                <w:sz w:val="20"/>
                <w:szCs w:val="20"/>
                <w:color w:val="auto"/>
              </w:rPr>
            </w:pPr>
            <w:r>
              <w:rPr>
                <w:rFonts w:ascii="Times New Roman" w:cs="Times New Roman" w:eastAsia="Times New Roman" w:hAnsi="Times New Roman"/>
                <w:sz w:val="8"/>
                <w:szCs w:val="8"/>
                <w:color w:val="auto"/>
                <w:w w:val="98"/>
              </w:rPr>
              <w:t>$</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(52,503,426)</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(1,339,913)</w:t>
            </w:r>
          </w:p>
        </w:tc>
        <w:tc>
          <w:tcPr>
            <w:tcW w:w="6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1,432,240</w:t>
            </w:r>
          </w:p>
        </w:tc>
        <w:tc>
          <w:tcPr>
            <w:tcW w:w="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1,168,908</w:t>
            </w:r>
          </w:p>
        </w:tc>
        <w:tc>
          <w:tcPr>
            <w:tcW w:w="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(7,063)</w:t>
            </w:r>
          </w:p>
        </w:tc>
        <w:tc>
          <w:tcPr>
            <w:tcW w:w="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1,254,174</w:t>
            </w:r>
          </w:p>
        </w:tc>
        <w:tc>
          <w:tcPr>
            <w:tcW w:w="6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233,203</w:t>
            </w:r>
          </w:p>
        </w:tc>
        <w:tc>
          <w:tcPr>
            <w:tcW w:w="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1,487,377</w:t>
            </w:r>
          </w:p>
        </w:tc>
        <w:tc>
          <w:tcPr>
            <w:tcW w:w="0" w:type="dxa"/>
            <w:vAlign w:val="bottom"/>
          </w:tcPr>
          <w:p>
            <w:pPr>
              <w:spacing w:after="0"/>
              <w:rPr>
                <w:sz w:val="1"/>
                <w:szCs w:val="1"/>
                <w:color w:val="auto"/>
              </w:rPr>
            </w:pPr>
          </w:p>
        </w:tc>
      </w:tr>
      <w:tr>
        <w:trPr>
          <w:trHeight w:val="95"/>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Cumulative-effect adjustment due to the adoption</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21,800</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21,800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21,800</w:t>
            </w:r>
          </w:p>
        </w:tc>
        <w:tc>
          <w:tcPr>
            <w:tcW w:w="0" w:type="dxa"/>
            <w:vAlign w:val="bottom"/>
          </w:tcPr>
          <w:p>
            <w:pPr>
              <w:spacing w:after="0"/>
              <w:rPr>
                <w:sz w:val="1"/>
                <w:szCs w:val="1"/>
                <w:color w:val="auto"/>
              </w:rPr>
            </w:pPr>
          </w:p>
        </w:tc>
      </w:tr>
      <w:tr>
        <w:trPr>
          <w:trHeight w:val="126"/>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of ASU 2023-08, net of tax</w:t>
            </w:r>
          </w:p>
        </w:tc>
        <w:tc>
          <w:tcPr>
            <w:tcW w:w="6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Deconsolidation of RFQ-hub</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(35,608)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(35,608)</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Share 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3,306,413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99,498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99,498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99,498</w:t>
            </w:r>
          </w:p>
        </w:tc>
        <w:tc>
          <w:tcPr>
            <w:tcW w:w="0" w:type="dxa"/>
            <w:vAlign w:val="bottom"/>
          </w:tcPr>
          <w:p>
            <w:pPr>
              <w:spacing w:after="0"/>
              <w:rPr>
                <w:sz w:val="1"/>
                <w:szCs w:val="1"/>
                <w:color w:val="auto"/>
              </w:rPr>
            </w:pPr>
          </w:p>
        </w:tc>
      </w:tr>
      <w:tr>
        <w:trPr>
          <w:trHeight w:val="118"/>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Repurchase of Class C common stock</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(24,861)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(1,018)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(1,018)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(1,018)</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(1,289,169)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(3,454,312)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(135,753)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(52,108)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(187,861)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(187,861)</w:t>
            </w:r>
          </w:p>
        </w:tc>
        <w:tc>
          <w:tcPr>
            <w:tcW w:w="0" w:type="dxa"/>
            <w:vAlign w:val="bottom"/>
          </w:tcPr>
          <w:p>
            <w:pPr>
              <w:spacing w:after="0"/>
              <w:rPr>
                <w:sz w:val="1"/>
                <w:szCs w:val="1"/>
                <w:color w:val="auto"/>
              </w:rPr>
            </w:pPr>
          </w:p>
        </w:tc>
      </w:tr>
      <w:tr>
        <w:trPr>
          <w:trHeight w:val="118"/>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Stock option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813,750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15,461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15,461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15,461</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Income</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468,361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468,361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443,903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912,264</w:t>
            </w:r>
          </w:p>
        </w:tc>
        <w:tc>
          <w:tcPr>
            <w:tcW w:w="0" w:type="dxa"/>
            <w:vAlign w:val="bottom"/>
          </w:tcPr>
          <w:p>
            <w:pPr>
              <w:spacing w:after="0"/>
              <w:rPr>
                <w:sz w:val="1"/>
                <w:szCs w:val="1"/>
                <w:color w:val="auto"/>
              </w:rPr>
            </w:pPr>
          </w:p>
        </w:tc>
      </w:tr>
      <w:tr>
        <w:trPr>
          <w:trHeight w:val="109"/>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Foreign exchange translation adjustment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8,995</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8,995</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6,736</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15,731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400" w:top="125"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92"/>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80" w:type="dxa"/>
            <w:vAlign w:val="bottom"/>
          </w:tcPr>
          <w:p>
            <w:pPr>
              <w:spacing w:after="0"/>
              <w:rPr>
                <w:sz w:val="7"/>
                <w:szCs w:val="7"/>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7"/>
                <w:szCs w:val="7"/>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Total Virtu</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00" w:type="dxa"/>
            <w:vAlign w:val="bottom"/>
          </w:tcPr>
          <w:p>
            <w:pPr>
              <w:spacing w:after="0"/>
              <w:rPr>
                <w:sz w:val="7"/>
                <w:szCs w:val="7"/>
                <w:color w:val="auto"/>
              </w:rPr>
            </w:pPr>
          </w:p>
        </w:tc>
        <w:tc>
          <w:tcPr>
            <w:tcW w:w="580" w:type="dxa"/>
            <w:vAlign w:val="bottom"/>
            <w:gridSpan w:val="2"/>
          </w:tcPr>
          <w:p>
            <w:pPr>
              <w:jc w:val="center"/>
              <w:ind w:right="160"/>
              <w:spacing w:after="0" w:line="85"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7"/>
                <w:szCs w:val="7"/>
                <w:color w:val="auto"/>
              </w:rPr>
            </w:pPr>
          </w:p>
        </w:tc>
        <w:tc>
          <w:tcPr>
            <w:tcW w:w="640" w:type="dxa"/>
            <w:vAlign w:val="bottom"/>
            <w:gridSpan w:val="2"/>
          </w:tcPr>
          <w:p>
            <w:pPr>
              <w:jc w:val="center"/>
              <w:ind w:right="140"/>
              <w:spacing w:after="0" w:line="85" w:lineRule="exact"/>
              <w:rPr>
                <w:sz w:val="20"/>
                <w:szCs w:val="20"/>
                <w:color w:val="auto"/>
              </w:rPr>
            </w:pPr>
            <w:r>
              <w:rPr>
                <w:rFonts w:ascii="Times New Roman" w:cs="Times New Roman" w:eastAsia="Times New Roman" w:hAnsi="Times New Roman"/>
                <w:sz w:val="8"/>
                <w:szCs w:val="8"/>
                <w:b w:val="1"/>
                <w:bCs w:val="1"/>
                <w:color w:val="auto"/>
              </w:rPr>
              <w:t>Other</w:t>
            </w:r>
          </w:p>
        </w:tc>
        <w:tc>
          <w:tcPr>
            <w:tcW w:w="60" w:type="dxa"/>
            <w:vAlign w:val="bottom"/>
          </w:tcPr>
          <w:p>
            <w:pPr>
              <w:spacing w:after="0"/>
              <w:rPr>
                <w:sz w:val="7"/>
                <w:szCs w:val="7"/>
                <w:color w:val="auto"/>
              </w:rPr>
            </w:pPr>
          </w:p>
        </w:tc>
        <w:tc>
          <w:tcPr>
            <w:tcW w:w="620" w:type="dxa"/>
            <w:vAlign w:val="bottom"/>
            <w:gridSpan w:val="2"/>
          </w:tcPr>
          <w:p>
            <w:pPr>
              <w:jc w:val="center"/>
              <w:ind w:right="120"/>
              <w:spacing w:after="0" w:line="85"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Class A Common Stock</w:t>
            </w: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Class C Common Stock</w:t>
            </w:r>
          </w:p>
        </w:tc>
        <w:tc>
          <w:tcPr>
            <w:tcW w:w="1100" w:type="dxa"/>
            <w:vAlign w:val="bottom"/>
            <w:gridSpan w:val="3"/>
            <w:vMerge w:val="restart"/>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Class D Common Stock</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4"/>
            <w:vMerge w:val="restart"/>
          </w:tcPr>
          <w:p>
            <w:pPr>
              <w:ind w:left="300"/>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680" w:type="dxa"/>
            <w:vAlign w:val="bottom"/>
            <w:gridSpan w:val="3"/>
          </w:tcPr>
          <w:p>
            <w:pPr>
              <w:jc w:val="center"/>
              <w:ind w:right="60"/>
              <w:spacing w:after="0" w:line="8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720" w:type="dxa"/>
            <w:vAlign w:val="bottom"/>
            <w:gridSpan w:val="3"/>
          </w:tcPr>
          <w:p>
            <w:pPr>
              <w:jc w:val="center"/>
              <w:ind w:right="80"/>
              <w:spacing w:after="0" w:line="8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60" w:type="dxa"/>
            <w:vAlign w:val="bottom"/>
          </w:tcPr>
          <w:p>
            <w:pPr>
              <w:spacing w:after="0"/>
              <w:rPr>
                <w:sz w:val="7"/>
                <w:szCs w:val="7"/>
                <w:color w:val="auto"/>
              </w:rPr>
            </w:pPr>
          </w:p>
        </w:tc>
        <w:tc>
          <w:tcPr>
            <w:tcW w:w="620" w:type="dxa"/>
            <w:vAlign w:val="bottom"/>
            <w:gridSpan w:val="2"/>
          </w:tcPr>
          <w:p>
            <w:pPr>
              <w:jc w:val="center"/>
              <w:ind w:right="12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0" w:type="dxa"/>
            <w:vAlign w:val="bottom"/>
          </w:tcPr>
          <w:p>
            <w:pPr>
              <w:spacing w:after="0"/>
              <w:rPr>
                <w:sz w:val="1"/>
                <w:szCs w:val="1"/>
                <w:color w:val="auto"/>
              </w:rPr>
            </w:pPr>
          </w:p>
        </w:tc>
      </w:tr>
      <w:tr>
        <w:trPr>
          <w:trHeight w:val="118"/>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Paid-in Capital</w:t>
            </w:r>
          </w:p>
        </w:tc>
        <w:tc>
          <w:tcPr>
            <w:tcW w:w="100" w:type="dxa"/>
            <w:vAlign w:val="bottom"/>
          </w:tcPr>
          <w:p>
            <w:pPr>
              <w:spacing w:after="0"/>
              <w:rPr>
                <w:sz w:val="10"/>
                <w:szCs w:val="10"/>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Income (loss)</w:t>
            </w:r>
          </w:p>
        </w:tc>
        <w:tc>
          <w:tcPr>
            <w:tcW w:w="6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Equity</w:t>
            </w:r>
          </w:p>
        </w:tc>
        <w:tc>
          <w:tcPr>
            <w:tcW w:w="12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tcPr>
          <w:p>
            <w:pPr>
              <w:jc w:val="center"/>
              <w:ind w:right="180"/>
              <w:spacing w:after="0" w:line="74" w:lineRule="exact"/>
              <w:rPr>
                <w:sz w:val="20"/>
                <w:szCs w:val="20"/>
                <w:color w:val="auto"/>
              </w:rPr>
            </w:pPr>
            <w:r>
              <w:rPr>
                <w:rFonts w:ascii="Times New Roman" w:cs="Times New Roman" w:eastAsia="Times New Roman" w:hAnsi="Times New Roman"/>
                <w:sz w:val="8"/>
                <w:szCs w:val="8"/>
                <w:b w:val="1"/>
                <w:bCs w:val="1"/>
                <w:color w:val="auto"/>
              </w:rPr>
              <w:t>Retained</w:t>
            </w:r>
          </w:p>
        </w:tc>
        <w:tc>
          <w:tcPr>
            <w:tcW w:w="80" w:type="dxa"/>
            <w:vAlign w:val="bottom"/>
          </w:tcPr>
          <w:p>
            <w:pPr>
              <w:spacing w:after="0"/>
              <w:rPr>
                <w:sz w:val="6"/>
                <w:szCs w:val="6"/>
                <w:color w:val="auto"/>
              </w:rPr>
            </w:pPr>
          </w:p>
        </w:tc>
        <w:tc>
          <w:tcPr>
            <w:tcW w:w="640" w:type="dxa"/>
            <w:vAlign w:val="bottom"/>
            <w:gridSpan w:val="2"/>
          </w:tcPr>
          <w:p>
            <w:pPr>
              <w:jc w:val="center"/>
              <w:ind w:right="160"/>
              <w:spacing w:after="0" w:line="74"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6"/>
                <w:szCs w:val="6"/>
                <w:color w:val="auto"/>
              </w:rPr>
            </w:pPr>
          </w:p>
        </w:tc>
        <w:tc>
          <w:tcPr>
            <w:tcW w:w="620" w:type="dxa"/>
            <w:vAlign w:val="bottom"/>
            <w:gridSpan w:val="2"/>
          </w:tcPr>
          <w:p>
            <w:pPr>
              <w:jc w:val="center"/>
              <w:ind w:right="140"/>
              <w:spacing w:after="0" w:line="74" w:lineRule="exact"/>
              <w:rPr>
                <w:sz w:val="20"/>
                <w:szCs w:val="20"/>
                <w:color w:val="auto"/>
              </w:rPr>
            </w:pPr>
            <w:r>
              <w:rPr>
                <w:rFonts w:ascii="Times New Roman" w:cs="Times New Roman" w:eastAsia="Times New Roman" w:hAnsi="Times New Roman"/>
                <w:sz w:val="8"/>
                <w:szCs w:val="8"/>
                <w:b w:val="1"/>
                <w:bCs w:val="1"/>
                <w:color w:val="auto"/>
              </w:rPr>
              <w:t>Total Virtu</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center"/>
              <w:ind w:right="160"/>
              <w:spacing w:after="0" w:line="85"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7"/>
                <w:szCs w:val="7"/>
                <w:color w:val="auto"/>
              </w:rPr>
            </w:pPr>
          </w:p>
        </w:tc>
        <w:tc>
          <w:tcPr>
            <w:tcW w:w="640" w:type="dxa"/>
            <w:vAlign w:val="bottom"/>
            <w:gridSpan w:val="2"/>
          </w:tcPr>
          <w:p>
            <w:pPr>
              <w:jc w:val="center"/>
              <w:ind w:right="140"/>
              <w:spacing w:after="0" w:line="85" w:lineRule="exact"/>
              <w:rPr>
                <w:sz w:val="20"/>
                <w:szCs w:val="20"/>
                <w:color w:val="auto"/>
              </w:rPr>
            </w:pPr>
            <w:r>
              <w:rPr>
                <w:rFonts w:ascii="Times New Roman" w:cs="Times New Roman" w:eastAsia="Times New Roman" w:hAnsi="Times New Roman"/>
                <w:sz w:val="8"/>
                <w:szCs w:val="8"/>
                <w:b w:val="1"/>
                <w:bCs w:val="1"/>
                <w:color w:val="auto"/>
              </w:rPr>
              <w:t>Other</w:t>
            </w:r>
          </w:p>
        </w:tc>
        <w:tc>
          <w:tcPr>
            <w:tcW w:w="60" w:type="dxa"/>
            <w:vAlign w:val="bottom"/>
          </w:tcPr>
          <w:p>
            <w:pPr>
              <w:spacing w:after="0"/>
              <w:rPr>
                <w:sz w:val="7"/>
                <w:szCs w:val="7"/>
                <w:color w:val="auto"/>
              </w:rPr>
            </w:pPr>
          </w:p>
        </w:tc>
        <w:tc>
          <w:tcPr>
            <w:tcW w:w="620" w:type="dxa"/>
            <w:vAlign w:val="bottom"/>
            <w:gridSpan w:val="2"/>
          </w:tcPr>
          <w:p>
            <w:pPr>
              <w:jc w:val="center"/>
              <w:ind w:right="120"/>
              <w:spacing w:after="0" w:line="85"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(in thousands, except share and interest data)</w:t>
            </w: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00" w:type="dxa"/>
            <w:vAlign w:val="bottom"/>
          </w:tcPr>
          <w:p>
            <w:pPr>
              <w:spacing w:after="0"/>
              <w:rPr>
                <w:sz w:val="7"/>
                <w:szCs w:val="7"/>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tcPr>
          <w:p>
            <w:pPr>
              <w:spacing w:after="0"/>
              <w:rPr>
                <w:sz w:val="7"/>
                <w:szCs w:val="7"/>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Amounts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80" w:type="dxa"/>
            <w:vAlign w:val="bottom"/>
          </w:tcPr>
          <w:p>
            <w:pPr>
              <w:spacing w:after="0"/>
              <w:rPr>
                <w:sz w:val="7"/>
                <w:szCs w:val="7"/>
                <w:color w:val="auto"/>
              </w:rPr>
            </w:pPr>
          </w:p>
        </w:tc>
        <w:tc>
          <w:tcPr>
            <w:tcW w:w="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80" w:type="dxa"/>
            <w:vAlign w:val="bottom"/>
            <w:gridSpan w:val="3"/>
          </w:tcPr>
          <w:p>
            <w:pPr>
              <w:jc w:val="center"/>
              <w:ind w:right="60"/>
              <w:spacing w:after="0" w:line="8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720" w:type="dxa"/>
            <w:vAlign w:val="bottom"/>
            <w:gridSpan w:val="3"/>
          </w:tcPr>
          <w:p>
            <w:pPr>
              <w:jc w:val="center"/>
              <w:ind w:right="80"/>
              <w:spacing w:after="0" w:line="8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60" w:type="dxa"/>
            <w:vAlign w:val="bottom"/>
          </w:tcPr>
          <w:p>
            <w:pPr>
              <w:spacing w:after="0"/>
              <w:rPr>
                <w:sz w:val="7"/>
                <w:szCs w:val="7"/>
                <w:color w:val="auto"/>
              </w:rPr>
            </w:pPr>
          </w:p>
        </w:tc>
        <w:tc>
          <w:tcPr>
            <w:tcW w:w="620" w:type="dxa"/>
            <w:vAlign w:val="bottom"/>
            <w:gridSpan w:val="2"/>
          </w:tcPr>
          <w:p>
            <w:pPr>
              <w:jc w:val="center"/>
              <w:ind w:right="12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0" w:type="dxa"/>
            <w:vAlign w:val="bottom"/>
          </w:tcPr>
          <w:p>
            <w:pPr>
              <w:spacing w:after="0"/>
              <w:rPr>
                <w:sz w:val="1"/>
                <w:szCs w:val="1"/>
                <w:color w:val="auto"/>
              </w:rPr>
            </w:pPr>
          </w:p>
        </w:tc>
      </w:tr>
      <w:tr>
        <w:trPr>
          <w:trHeight w:val="118"/>
        </w:trPr>
        <w:tc>
          <w:tcPr>
            <w:tcW w:w="19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Income (loss)</w:t>
            </w:r>
          </w:p>
        </w:tc>
        <w:tc>
          <w:tcPr>
            <w:tcW w:w="6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Equity</w:t>
            </w:r>
          </w:p>
        </w:tc>
        <w:tc>
          <w:tcPr>
            <w:tcW w:w="12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change in unrealized cash flow hedges gains</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8"/>
                <w:szCs w:val="8"/>
                <w:color w:val="auto"/>
              </w:rPr>
              <w:t>(4,943)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(4,943)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4,546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(397)</w:t>
            </w:r>
          </w:p>
        </w:tc>
        <w:tc>
          <w:tcPr>
            <w:tcW w:w="0" w:type="dxa"/>
            <w:vAlign w:val="bottom"/>
          </w:tcPr>
          <w:p>
            <w:pPr>
              <w:spacing w:after="0"/>
              <w:rPr>
                <w:sz w:val="1"/>
                <w:szCs w:val="1"/>
                <w:color w:val="auto"/>
              </w:rPr>
            </w:pPr>
          </w:p>
        </w:tc>
      </w:tr>
      <w:tr>
        <w:trPr>
          <w:trHeight w:val="86"/>
        </w:trPr>
        <w:tc>
          <w:tcPr>
            <w:tcW w:w="1940" w:type="dxa"/>
            <w:vAlign w:val="bottom"/>
            <w:gridSpan w:val="2"/>
          </w:tcPr>
          <w:p>
            <w:pPr>
              <w:ind w:left="100"/>
              <w:spacing w:after="0" w:line="86" w:lineRule="exact"/>
              <w:rPr>
                <w:sz w:val="20"/>
                <w:szCs w:val="20"/>
                <w:color w:val="auto"/>
              </w:rPr>
            </w:pPr>
            <w:r>
              <w:rPr>
                <w:rFonts w:ascii="Times New Roman" w:cs="Times New Roman" w:eastAsia="Times New Roman" w:hAnsi="Times New Roman"/>
                <w:sz w:val="8"/>
                <w:szCs w:val="8"/>
                <w:color w:val="auto"/>
              </w:rPr>
              <w:t>Dividends ($0.24 per share of Class A common</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8"/>
                <w:szCs w:val="8"/>
                <w:color w:val="auto"/>
              </w:rPr>
              <w:t>stock and participating Restricted Stock Unit 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8"/>
                <w:szCs w:val="8"/>
                <w:color w:val="auto"/>
              </w:rPr>
              <w:t>Restricted Stock Award) and distributions from</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(87,691)</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(87,691)</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(261,656)</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(349,347)</w:t>
            </w:r>
          </w:p>
        </w:tc>
        <w:tc>
          <w:tcPr>
            <w:tcW w:w="0" w:type="dxa"/>
            <w:vAlign w:val="bottom"/>
          </w:tcPr>
          <w:p>
            <w:pPr>
              <w:spacing w:after="0"/>
              <w:rPr>
                <w:sz w:val="1"/>
                <w:szCs w:val="1"/>
                <w:color w:val="auto"/>
              </w:rPr>
            </w:pPr>
          </w:p>
        </w:tc>
      </w:tr>
      <w:tr>
        <w:trPr>
          <w:trHeight w:val="117"/>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Virtu Financial to non-controlling interest</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Issuance of Common Stock in connection with</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566,924</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6"/>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employee exchanges</w:t>
            </w:r>
          </w:p>
        </w:tc>
        <w:tc>
          <w:tcPr>
            <w:tcW w:w="5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940" w:type="dxa"/>
            <w:vAlign w:val="bottom"/>
            <w:gridSpan w:val="2"/>
          </w:tcPr>
          <w:p>
            <w:pPr>
              <w:ind w:left="100"/>
              <w:spacing w:after="0" w:line="86" w:lineRule="exact"/>
              <w:rPr>
                <w:sz w:val="20"/>
                <w:szCs w:val="20"/>
                <w:color w:val="auto"/>
              </w:rPr>
            </w:pPr>
            <w:r>
              <w:rPr>
                <w:rFonts w:ascii="Times New Roman" w:cs="Times New Roman" w:eastAsia="Times New Roman" w:hAnsi="Times New Roman"/>
                <w:sz w:val="8"/>
                <w:szCs w:val="8"/>
                <w:color w:val="auto"/>
              </w:rPr>
              <w:t>Repurchase of Virtu Financial Units 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8"/>
                <w:szCs w:val="8"/>
                <w:color w:val="auto"/>
              </w:rPr>
              <w:t>corresponding number of Class C common stock</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(566,924)</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7"/>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in connection with employee exchanges</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Issuance of tax receivable agreements in</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4"/>
              </w:rPr>
              <w:t>—</w:t>
            </w:r>
          </w:p>
        </w:tc>
        <w:tc>
          <w:tcPr>
            <w:tcW w:w="6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shd w:val="clear" w:color="auto" w:fill="CCEEFF"/>
          </w:tcPr>
          <w:p>
            <w:pPr>
              <w:spacing w:after="0"/>
              <w:rPr>
                <w:sz w:val="8"/>
                <w:szCs w:val="8"/>
                <w:color w:val="auto"/>
              </w:rPr>
            </w:pPr>
          </w:p>
        </w:tc>
        <w:tc>
          <w:tcPr>
            <w:tcW w:w="5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(4,497)</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(4,497)</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(4,497)</w:t>
            </w:r>
          </w:p>
        </w:tc>
        <w:tc>
          <w:tcPr>
            <w:tcW w:w="0" w:type="dxa"/>
            <w:vAlign w:val="bottom"/>
          </w:tcPr>
          <w:p>
            <w:pPr>
              <w:spacing w:after="0"/>
              <w:rPr>
                <w:sz w:val="1"/>
                <w:szCs w:val="1"/>
                <w:color w:val="auto"/>
              </w:rPr>
            </w:pPr>
          </w:p>
        </w:tc>
      </w:tr>
      <w:tr>
        <w:trPr>
          <w:trHeight w:val="117"/>
        </w:trPr>
        <w:tc>
          <w:tcPr>
            <w:tcW w:w="18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connection with employee exchange</w:t>
            </w:r>
          </w:p>
        </w:tc>
        <w:tc>
          <w:tcPr>
            <w:tcW w:w="80" w:type="dxa"/>
            <w:vAlign w:val="bottom"/>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94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Balance at December 31, 2025</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140,877,669</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7,970,185</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60,091,740</w:t>
            </w:r>
          </w:p>
        </w:tc>
        <w:tc>
          <w:tcPr>
            <w:tcW w:w="60" w:type="dxa"/>
            <w:vAlign w:val="bottom"/>
          </w:tcPr>
          <w:p>
            <w:pPr>
              <w:spacing w:after="0"/>
              <w:rPr>
                <w:sz w:val="11"/>
                <w:szCs w:val="11"/>
                <w:color w:val="auto"/>
              </w:rPr>
            </w:pPr>
          </w:p>
        </w:tc>
        <w:tc>
          <w:tcPr>
            <w:tcW w:w="460" w:type="dxa"/>
            <w:vAlign w:val="bottom"/>
          </w:tcPr>
          <w:p>
            <w:pPr>
              <w:jc w:val="right"/>
              <w:ind w:right="358"/>
              <w:spacing w:after="0"/>
              <w:rPr>
                <w:sz w:val="20"/>
                <w:szCs w:val="20"/>
                <w:color w:val="auto"/>
              </w:rPr>
            </w:pPr>
            <w:r>
              <w:rPr>
                <w:rFonts w:ascii="Times New Roman" w:cs="Times New Roman" w:eastAsia="Times New Roman" w:hAnsi="Times New Roman"/>
                <w:sz w:val="8"/>
                <w:szCs w:val="8"/>
                <w:color w:val="auto"/>
                <w:w w:val="98"/>
              </w:rPr>
              <w:t>$</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(55,957,738)</w:t>
            </w:r>
          </w:p>
        </w:tc>
        <w:tc>
          <w:tcPr>
            <w:tcW w:w="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8"/>
                <w:szCs w:val="8"/>
                <w:color w:val="auto"/>
              </w:rPr>
              <w:t>$  (1,475,666)</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1,541,684</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1,519,270</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8"/>
                <w:szCs w:val="8"/>
                <w:color w:val="auto"/>
              </w:rPr>
              <w:t>(3,011)</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1,582,279</w:t>
            </w:r>
          </w:p>
        </w:tc>
        <w:tc>
          <w:tcPr>
            <w:tcW w:w="60" w:type="dxa"/>
            <w:vAlign w:val="bottom"/>
          </w:tcPr>
          <w:p>
            <w:pPr>
              <w:spacing w:after="0"/>
              <w:rPr>
                <w:sz w:val="11"/>
                <w:szCs w:val="11"/>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391,124</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1,973,403</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76" w:lineRule="exact"/>
        <w:rPr>
          <w:sz w:val="20"/>
          <w:szCs w:val="20"/>
          <w:color w:val="auto"/>
        </w:rPr>
      </w:pPr>
    </w:p>
    <w:tbl>
      <w:tblPr>
        <w:tblLayout w:type="fixed"/>
        <w:tblInd w:w="180" w:type="dxa"/>
        <w:tblCellMar>
          <w:top w:w="0" w:type="dxa"/>
          <w:left w:w="0" w:type="dxa"/>
          <w:bottom w:w="0" w:type="dxa"/>
          <w:right w:w="0" w:type="dxa"/>
        </w:tblCellMar>
      </w:tblPr>
      <w:tr>
        <w:trPr>
          <w:trHeight w:val="158"/>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7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912,264</w:t>
            </w:r>
          </w:p>
        </w:tc>
        <w:tc>
          <w:tcPr>
            <w:tcW w:w="380" w:type="dxa"/>
            <w:vAlign w:val="bottom"/>
            <w:gridSpan w:val="2"/>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534,535</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263,921</w:t>
            </w:r>
          </w:p>
        </w:tc>
      </w:tr>
      <w:tr>
        <w:trPr>
          <w:trHeight w:val="176"/>
        </w:trPr>
        <w:tc>
          <w:tcPr>
            <w:tcW w:w="7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(used in) operating activities: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5"/>
        </w:trPr>
        <w:tc>
          <w:tcPr>
            <w:tcW w:w="7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63,306</w:t>
            </w:r>
          </w:p>
        </w:tc>
      </w:tr>
      <w:tr>
        <w:trPr>
          <w:trHeight w:val="153"/>
        </w:trPr>
        <w:tc>
          <w:tcPr>
            <w:tcW w:w="71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Amortization of purchased intangibles and acquired capitalized software</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47,132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63,960</w:t>
            </w:r>
          </w:p>
        </w:tc>
      </w:tr>
      <w:tr>
        <w:trPr>
          <w:trHeight w:val="165"/>
        </w:trPr>
        <w:tc>
          <w:tcPr>
            <w:tcW w:w="7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Debt issue cost related to debt refinancing and prepayment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1,098</w:t>
            </w:r>
          </w:p>
        </w:tc>
      </w:tr>
      <w:tr>
        <w:trPr>
          <w:trHeight w:val="153"/>
        </w:trPr>
        <w:tc>
          <w:tcPr>
            <w:tcW w:w="71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 and deferred financing fees</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11,388</w:t>
            </w:r>
          </w:p>
        </w:tc>
      </w:tr>
      <w:tr>
        <w:trPr>
          <w:trHeight w:val="165"/>
        </w:trPr>
        <w:tc>
          <w:tcPr>
            <w:tcW w:w="7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Termination of office leases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16,224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455</w:t>
            </w:r>
          </w:p>
        </w:tc>
      </w:tr>
      <w:tr>
        <w:trPr>
          <w:trHeight w:val="153"/>
        </w:trPr>
        <w:tc>
          <w:tcPr>
            <w:tcW w:w="71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Share-based compensation</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100,403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63,933</w:t>
            </w:r>
          </w:p>
        </w:tc>
      </w:tr>
      <w:tr>
        <w:trPr>
          <w:trHeight w:val="165"/>
        </w:trPr>
        <w:tc>
          <w:tcPr>
            <w:tcW w:w="7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Deferred taxes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19,069</w:t>
            </w:r>
          </w:p>
        </w:tc>
      </w:tr>
      <w:tr>
        <w:trPr>
          <w:trHeight w:val="153"/>
        </w:trPr>
        <w:tc>
          <w:tcPr>
            <w:tcW w:w="71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Gain on sale of RFQ-hub</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(66,988)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(12,795)</w:t>
            </w:r>
          </w:p>
        </w:tc>
      </w:tr>
      <w:tr>
        <w:trPr>
          <w:trHeight w:val="153"/>
        </w:trPr>
        <w:tc>
          <w:tcPr>
            <w:tcW w:w="71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5"/>
        </w:trPr>
        <w:tc>
          <w:tcPr>
            <w:tcW w:w="7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Securities borrowed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(896,609)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(572,089)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(534,766)</w:t>
            </w:r>
          </w:p>
        </w:tc>
      </w:tr>
      <w:tr>
        <w:trPr>
          <w:trHeight w:val="153"/>
        </w:trPr>
        <w:tc>
          <w:tcPr>
            <w:tcW w:w="71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528,173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(1,175,115)</w:t>
            </w:r>
          </w:p>
        </w:tc>
      </w:tr>
      <w:tr>
        <w:trPr>
          <w:trHeight w:val="165"/>
        </w:trPr>
        <w:tc>
          <w:tcPr>
            <w:tcW w:w="7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(795,873)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(363,320)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290,193</w:t>
            </w:r>
          </w:p>
        </w:tc>
      </w:tr>
      <w:tr>
        <w:trPr>
          <w:trHeight w:val="153"/>
        </w:trPr>
        <w:tc>
          <w:tcPr>
            <w:tcW w:w="71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Trading assets, at fair value</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(2,748,905)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(444,041)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(2,728,059)</w:t>
            </w:r>
          </w:p>
        </w:tc>
      </w:tr>
      <w:tr>
        <w:trPr>
          <w:trHeight w:val="165"/>
        </w:trPr>
        <w:tc>
          <w:tcPr>
            <w:tcW w:w="7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Receivables from customers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(43,559)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(25,415)</w:t>
            </w:r>
          </w:p>
        </w:tc>
      </w:tr>
      <w:tr>
        <w:trPr>
          <w:trHeight w:val="153"/>
        </w:trPr>
        <w:tc>
          <w:tcPr>
            <w:tcW w:w="71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(42,057)</w:t>
            </w:r>
          </w:p>
        </w:tc>
      </w:tr>
      <w:tr>
        <w:trPr>
          <w:trHeight w:val="165"/>
        </w:trPr>
        <w:tc>
          <w:tcPr>
            <w:tcW w:w="7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Other assets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(123,177)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20,331</w:t>
            </w:r>
          </w:p>
        </w:tc>
      </w:tr>
      <w:tr>
        <w:trPr>
          <w:trHeight w:val="153"/>
        </w:trPr>
        <w:tc>
          <w:tcPr>
            <w:tcW w:w="71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Securities loaned</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1,045,953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1,102,432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269,014</w:t>
            </w:r>
          </w:p>
        </w:tc>
      </w:tr>
      <w:tr>
        <w:trPr>
          <w:trHeight w:val="165"/>
        </w:trPr>
        <w:tc>
          <w:tcPr>
            <w:tcW w:w="7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(524,206)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1,168,445</w:t>
            </w:r>
          </w:p>
        </w:tc>
      </w:tr>
      <w:tr>
        <w:trPr>
          <w:trHeight w:val="153"/>
        </w:trPr>
        <w:tc>
          <w:tcPr>
            <w:tcW w:w="71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82,282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(244,057)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886,208</w:t>
            </w:r>
          </w:p>
        </w:tc>
      </w:tr>
      <w:tr>
        <w:trPr>
          <w:trHeight w:val="165"/>
        </w:trPr>
        <w:tc>
          <w:tcPr>
            <w:tcW w:w="7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Payables to customers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(23,296)</w:t>
            </w:r>
          </w:p>
        </w:tc>
      </w:tr>
      <w:tr>
        <w:trPr>
          <w:trHeight w:val="153"/>
        </w:trPr>
        <w:tc>
          <w:tcPr>
            <w:tcW w:w="71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Trading liabilities, at fair value</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2,664,292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369,619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1,874,378</w:t>
            </w:r>
          </w:p>
        </w:tc>
      </w:tr>
      <w:tr>
        <w:trPr>
          <w:trHeight w:val="165"/>
        </w:trPr>
        <w:tc>
          <w:tcPr>
            <w:tcW w:w="7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(48,492)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39,115</w:t>
            </w:r>
          </w:p>
        </w:tc>
      </w:tr>
      <w:tr>
        <w:trPr>
          <w:trHeight w:val="153"/>
        </w:trPr>
        <w:tc>
          <w:tcPr>
            <w:tcW w:w="71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95,666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89,583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(1,534)</w:t>
            </w:r>
          </w:p>
        </w:tc>
      </w:tr>
      <w:tr>
        <w:trPr>
          <w:trHeight w:val="156"/>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518,386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598,991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491,777</w:t>
            </w:r>
          </w:p>
        </w:tc>
      </w:tr>
      <w:tr>
        <w:trPr>
          <w:trHeight w:val="170"/>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9"/>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Development of capitalized software</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(41,886)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(38,355)</w:t>
            </w:r>
          </w:p>
        </w:tc>
      </w:tr>
      <w:tr>
        <w:trPr>
          <w:trHeight w:val="165"/>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Acquisition of property and equipment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(37,774)</w:t>
            </w: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Proceeds from sale of RFQ-hub</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37,932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investing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(15,055)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(7,534)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(18,355)</w:t>
            </w:r>
          </w:p>
        </w:tc>
      </w:tr>
      <w:tr>
        <w:trPr>
          <w:trHeight w:val="144"/>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(61,847)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(94,484)</w:t>
            </w:r>
          </w:p>
        </w:tc>
      </w:tr>
      <w:tr>
        <w:trPr>
          <w:trHeight w:val="176"/>
        </w:trPr>
        <w:tc>
          <w:tcPr>
            <w:tcW w:w="7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54"/>
        </w:trPr>
        <w:tc>
          <w:tcPr>
            <w:tcW w:w="7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4"/>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Dividends to stockholders and distributions from Virtu Financial to noncontrolling interest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(349,347)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(299,403)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(306,136)</w:t>
            </w: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Repurchase of Class C common stock</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w:t>
            </w:r>
          </w:p>
        </w:tc>
      </w:tr>
      <w:tr>
        <w:trPr>
          <w:trHeight w:val="165"/>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(188,794)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(191,138)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(229,012)</w:t>
            </w: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Stock options exercised</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Short-term borrowings, net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38,541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(3,944)</w:t>
            </w: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Proceeds from long-term borrowings</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1,545,000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1,741,888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Repayment of long-term borrowings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(1,245,000)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(1,727,000)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(73,000)</w:t>
            </w: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Proceeds from interest rate swaps</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55,830</w:t>
            </w:r>
          </w:p>
        </w:tc>
      </w:tr>
      <w:tr>
        <w:trPr>
          <w:trHeight w:val="165"/>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Payment of tax receivable agreement obligations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(23,275)</w:t>
            </w:r>
          </w:p>
        </w:tc>
      </w:tr>
      <w:tr>
        <w:trPr>
          <w:trHeight w:val="153"/>
        </w:trPr>
        <w:tc>
          <w:tcPr>
            <w:tcW w:w="7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Debt issuance costs</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(9,867)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(27,392)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(3,929)</w:t>
            </w:r>
          </w:p>
        </w:tc>
      </w:tr>
      <w:tr>
        <w:trPr>
          <w:trHeight w:val="156"/>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(281,045)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(469,565)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(585,032)</w:t>
            </w:r>
          </w:p>
        </w:tc>
      </w:tr>
      <w:tr>
        <w:trPr>
          <w:trHeight w:val="170"/>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9"/>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4,957</w:t>
            </w:r>
          </w:p>
        </w:tc>
      </w:tr>
      <w:tr>
        <w:trPr>
          <w:trHeight w:val="170"/>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9"/>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212,450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58,531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(182,782)</w:t>
            </w:r>
          </w:p>
        </w:tc>
      </w:tr>
      <w:tr>
        <w:trPr>
          <w:trHeight w:val="153"/>
        </w:trPr>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Cash, cash equivalents, and restricted or segregated cash, beginning of period</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913,991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855,460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1,038,242</w:t>
            </w:r>
          </w:p>
        </w:tc>
      </w:tr>
      <w:tr>
        <w:trPr>
          <w:trHeight w:val="15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cash equivalents, and restricted or segregated cash, end of period</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1,126,441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913,991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855,460</w:t>
            </w:r>
          </w:p>
        </w:tc>
      </w:tr>
    </w:tbl>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76" w:lineRule="exact"/>
        <w:rPr>
          <w:sz w:val="20"/>
          <w:szCs w:val="20"/>
          <w:color w:val="auto"/>
        </w:rPr>
      </w:pPr>
    </w:p>
    <w:tbl>
      <w:tblPr>
        <w:tblLayout w:type="fixed"/>
        <w:tblInd w:w="180" w:type="dxa"/>
        <w:tblCellMar>
          <w:top w:w="0" w:type="dxa"/>
          <w:left w:w="0" w:type="dxa"/>
          <w:bottom w:w="0" w:type="dxa"/>
          <w:right w:w="0" w:type="dxa"/>
        </w:tblCellMar>
      </w:tblPr>
      <w:tr>
        <w:trPr>
          <w:trHeight w:val="158"/>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4"/>
        </w:trPr>
        <w:tc>
          <w:tcPr>
            <w:tcW w:w="7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7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159"/>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Supplementary disclosure of cash flow information</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Cash paid for interest</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654,622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586,279</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632,263</w:t>
            </w:r>
          </w:p>
        </w:tc>
      </w:tr>
      <w:tr>
        <w:trPr>
          <w:trHeight w:val="165"/>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paid for taxes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38,687</w:t>
            </w:r>
          </w:p>
        </w:tc>
      </w:tr>
      <w:tr>
        <w:trPr>
          <w:trHeight w:val="170"/>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9"/>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Non-cash investing activities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Share-based and accrued incentive compensation to developers relating to capitalized software</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24,983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23,162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19,691</w:t>
            </w:r>
          </w:p>
        </w:tc>
      </w:tr>
      <w:tr>
        <w:trPr>
          <w:trHeight w:val="176"/>
        </w:trPr>
        <w:tc>
          <w:tcPr>
            <w:tcW w:w="7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54"/>
        </w:trPr>
        <w:tc>
          <w:tcPr>
            <w:tcW w:w="7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Non-cash financing activities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4"/>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Tax receivable agreement described in Note 5</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(3,787)</w:t>
            </w:r>
          </w:p>
        </w:tc>
      </w:tr>
      <w:tr>
        <w:trPr>
          <w:trHeight w:val="153"/>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Repurchase of Class C common stock</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(2,330)</w:t>
            </w:r>
          </w:p>
        </w:tc>
      </w:tr>
      <w:tr>
        <w:trPr>
          <w:trHeight w:val="165"/>
        </w:trPr>
        <w:tc>
          <w:tcPr>
            <w:tcW w:w="7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bl>
    <w:p>
      <w:pPr>
        <w:spacing w:after="0" w:line="1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5" w:right="47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shares and per share amounts, unless otherwise noted)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Basis of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December 31, 2025, VFI owned approximately 57.2% of the membership interests of Virtu Financial. VFI is the sole managing member of Virtu Financial and operates and controls all of the businesses and affairs of Virtu Financial and its subsidiaries (the “Group”).</w:t>
      </w:r>
    </w:p>
    <w:p>
      <w:pPr>
        <w:spacing w:after="0" w:line="162"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4"/>
          <w:szCs w:val="14"/>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250 venues, in 40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spacing w:after="0" w:line="16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spacing w:after="0" w:line="157"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167"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 has two operating segments: (i) Market Making and (ii) Execution Services; and one non-operating segment: Corporate. See Note 23 “Geographic Information and Business Segments” for a further discussion of the Company’s segments.</w:t>
      </w:r>
    </w:p>
    <w:p>
      <w:pPr>
        <w:spacing w:after="0" w:line="145"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On April 19, 2024, the Company entered into a Unit Purchase Agreement with MarketAxess Holdings Inc. (“MarketAxess”) to sell a 49% interest in the multi-asset request-for-quote communication platform joint venture (“JV”), RFQ-hub Holdings LLC (“RFQ-hub Holdings,” or collectively with its wholly owned or controlled subsidiaries, “RFQ-hub”). The sale was completed on May 9, 2025. Upon the closing of the sale, the Company retains a minority interest of approximately 2% in RFQ-hub. The Company ceased to control, and deconsolidated, RFQ-hub at such time. See Note 3 “Sale of RFQ-hub” for further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Consolidation and Form of Presentation</w:t>
      </w:r>
    </w:p>
    <w:p>
      <w:pPr>
        <w:spacing w:after="0" w:line="202"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presented in U.S. dollars, have been prepared pursuant to the rules and regulations of the U.S. Securities and Exchange Commission (“SEC”) regarding financial reporting with respect to Form 10-K and accounting standards generally accepted in the United States of America (“U.S. GAAP”) promulgated by the Financial Accounting Standards Board (“FASB”) in the Accounting Standards Codification (“ASC” or the “Codification”), and reflect all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8" w:name="page89"/>
    <w:bookmarkEnd w:id="88"/>
    <w:p>
      <w:pPr>
        <w:ind w:right="20"/>
        <w:spacing w:after="0" w:line="264" w:lineRule="auto"/>
        <w:rPr>
          <w:sz w:val="20"/>
          <w:szCs w:val="20"/>
          <w:color w:val="auto"/>
        </w:rPr>
      </w:pPr>
      <w:r>
        <w:rPr>
          <w:rFonts w:ascii="Times New Roman" w:cs="Times New Roman" w:eastAsia="Times New Roman" w:hAnsi="Times New Roman"/>
          <w:sz w:val="14"/>
          <w:szCs w:val="14"/>
          <w:color w:val="auto"/>
        </w:rPr>
        <w:t>adjustments that, in the opinion of management, are normal and recurring, and that are necessary for a fair statement of the results for the periods presented. The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Company’s Consolidated Financial Statements are prepared in conformity with U.S. GAAP, which require management to make estimates and assumptions regarding measurements including the fair value of trading assets and liabilities, allowance for doubtful accounts, goodwill and intangibles, compensation accruals, capitalized software, income tax, tax receivable agreements, leases, litigation accruals,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2" w:lineRule="exact"/>
        <w:rPr>
          <w:sz w:val="20"/>
          <w:szCs w:val="20"/>
          <w:color w:val="auto"/>
        </w:rPr>
      </w:pPr>
    </w:p>
    <w:p>
      <w:pPr>
        <w:ind w:right="260" w:firstLine="509"/>
        <w:spacing w:after="0" w:line="264" w:lineRule="auto"/>
        <w:rPr>
          <w:sz w:val="20"/>
          <w:szCs w:val="20"/>
          <w:color w:val="auto"/>
        </w:rPr>
      </w:pPr>
      <w:r>
        <w:rPr>
          <w:rFonts w:ascii="Times New Roman" w:cs="Times New Roman" w:eastAsia="Times New Roman" w:hAnsi="Times New Roman"/>
          <w:sz w:val="14"/>
          <w:szCs w:val="14"/>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The Company grants restricted stock awards (“RSAs”) and restricted stock units (“RSUs”), certain of which entitle recipients to receive non-forfeitable dividends during the vesting period on a basis equivalent to the dividends paid to holders of common stock. As a result, the unvested RSAs and participating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13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Cash restricted or segregated under regulations and other represents (i) special reserve bank accounts for the exclusive benefit of customers (“Special Reserve Bank Account”) maintained by VAL in accordance with Rule 15c3-3 of the Securities Exchange Act of 1934, as amended (“Customer Protection Rule”), and special reserve accounts for the exclusive benefit of proprietary accounts of broker-dealers, (ii) funds on deposit for Canadian and European trade clearing and settlement activity, (iii) segregated balances under a collateral account control agreement for the benefit of certain customers in Hong Kong, and (iv) funds relating to the securitization of bank guarantees supporting certain of the Company’s foreign 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Borrowed and Securities Loaned</w:t>
      </w:r>
    </w:p>
    <w:p>
      <w:pPr>
        <w:spacing w:after="0" w:line="202"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securities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Consolidated Statements of Financial Condition. Interest received or paid by the Company for these transactions is recorded gross on an accrual basis under Interest and dividends income or Interest and dividends expense in the Consolidated Statements of Comprehensive Income.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Purchased Under Agreements to Resell and Securities Sold Under Agreements to Repurchase</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Consolidated Statements of Comprehensive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Receivables from/Payables to Broker-dealers and Clearing Organizations</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spacing w:after="0" w:line="162" w:lineRule="exact"/>
        <w:rPr>
          <w:sz w:val="20"/>
          <w:szCs w:val="20"/>
          <w:color w:val="auto"/>
        </w:rPr>
      </w:pPr>
    </w:p>
    <w:p>
      <w:pPr>
        <w:jc w:val="both"/>
        <w:ind w:right="180" w:firstLine="509"/>
        <w:spacing w:after="0" w:line="270" w:lineRule="auto"/>
        <w:rPr>
          <w:sz w:val="20"/>
          <w:szCs w:val="20"/>
          <w:color w:val="auto"/>
        </w:rPr>
      </w:pPr>
      <w:r>
        <w:rPr>
          <w:rFonts w:ascii="Times New Roman" w:cs="Times New Roman" w:eastAsia="Times New Roman" w:hAnsi="Times New Roman"/>
          <w:sz w:val="14"/>
          <w:szCs w:val="14"/>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to minimize the risk of any losses from these counterparties.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 Owned Including Those Pledged as Collateral and Financial Instruments Sold, Not Yet Purchased</w:t>
      </w:r>
    </w:p>
    <w:p>
      <w:pPr>
        <w:spacing w:after="0" w:line="202"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45"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 Company records Financial instruments owned, Financial instruments owned and pledged, and Financial instruments sold, not yet purchased at fair value. Gains and losses arising from financial instrument transactions are recorded net on a trade-date basis in Trading income, net, in the Consolidated Statements of Comprehensive Income.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20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Financial instruments measured and reported at fair value are classified and disclosed in one of the following categories based on inputs: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18" w:right="33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4"/>
          <w:szCs w:val="14"/>
          <w:color w:val="auto"/>
        </w:rPr>
        <w:t>Level 1 — Unadjusted quoted prices in active markets that are accessible at the measurement date for identical, unrestricted assets or liabilities;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2 — Quoted prices in markets that are not active and financial instruments for which all significant inputs are observable, either directly or indirectly; or</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Prices or valuations that require inputs that are both significant to the fair value measurement and unobservable.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Option</w:t>
      </w:r>
    </w:p>
    <w:p>
      <w:pPr>
        <w:spacing w:after="0" w:line="202"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Consolidated Statements of Comprehensive Income. The decision to elect the fair value option is determined on an instrument by instrument basis, which must be applied to an entire instrument and is irrevocable once 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 - Trading</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Derivative instruments are used for trading purposes, including economic hedges of trading instruments, are carried at fair value, and include futures, forward contracts, and options. The Company does not apply hedge accounting as defined in ASC 815, Derivatives and Hedging, and accordingly gains or losses on these derivative instruments are recognized currently within Trading income, net in the Consolidated Statements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w:t>
      </w:r>
    </w:p>
    <w:p>
      <w:pPr>
        <w:spacing w:after="0" w:line="164"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The Company presents its trading derivatives balances on a net-by-counterparty basis when the criteria for offsetting are met. Cash flows associated with such derivative activities are included in cash flows from operating activities on the Consolidated Statements of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 - Hedging</w:t>
      </w:r>
    </w:p>
    <w:p>
      <w:pPr>
        <w:spacing w:after="0" w:line="202"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The Company may use derivative instruments for risk management purposes, including cash flow hedges used to manage interest rate risk on long-term borrowings. The Company had entered into floating-to-fixed interest rate swap agreements in order to manage interest rate risk associated with its long-term debt obligations.</w:t>
      </w:r>
    </w:p>
    <w:p>
      <w:pPr>
        <w:spacing w:after="0" w:line="14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For interest rate swap agreements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spacing w:after="0" w:line="164"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The Company presents its hedging derivatives balances on a net-by-counterparty basis when the criteria for offsetting are met. Balances associated with hedging derivatives are recorded within Receivables from/Payables to broker-dealers and clearing organizations on the Consolidated Statements of Financial Condition. Cash flows associated with such derivative activities are included in cash flows from operating activities on the Consolidated Statements of Cash Flows.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Assets Held</w:t>
      </w:r>
    </w:p>
    <w:p>
      <w:pPr>
        <w:spacing w:after="0" w:line="200" w:lineRule="exact"/>
        <w:rPr>
          <w:sz w:val="20"/>
          <w:szCs w:val="20"/>
          <w:color w:val="auto"/>
        </w:rPr>
      </w:pPr>
    </w:p>
    <w:p>
      <w:pPr>
        <w:ind w:right="300" w:firstLine="509"/>
        <w:spacing w:after="0" w:line="290" w:lineRule="auto"/>
        <w:rPr>
          <w:sz w:val="20"/>
          <w:szCs w:val="20"/>
          <w:color w:val="auto"/>
        </w:rPr>
      </w:pPr>
      <w:r>
        <w:rPr>
          <w:rFonts w:ascii="Times New Roman" w:cs="Times New Roman" w:eastAsia="Times New Roman" w:hAnsi="Times New Roman"/>
          <w:sz w:val="14"/>
          <w:szCs w:val="14"/>
          <w:color w:val="auto"/>
        </w:rPr>
        <w:t xml:space="preserve">Effective January 1, 2025, the Company adopted Accounting Standards Update (“ASU”) 2023-08, </w:t>
      </w:r>
      <w:r>
        <w:rPr>
          <w:rFonts w:ascii="Times New Roman" w:cs="Times New Roman" w:eastAsia="Times New Roman" w:hAnsi="Times New Roman"/>
          <w:sz w:val="14"/>
          <w:szCs w:val="14"/>
          <w:i w:val="1"/>
          <w:iCs w:val="1"/>
          <w:color w:val="auto"/>
        </w:rPr>
        <w:t>Intangibles—Goodwill and Other—Crypto Assets (Subtopic 350-60)</w:t>
      </w:r>
      <w:r>
        <w:rPr>
          <w:rFonts w:ascii="Times New Roman" w:cs="Times New Roman" w:eastAsia="Times New Roman" w:hAnsi="Times New Roman"/>
          <w:sz w:val="14"/>
          <w:szCs w:val="14"/>
          <w:color w:val="auto"/>
        </w:rPr>
        <w:t xml:space="preserve"> using a modified retrospective approach. This ASU requires measurement of in-scope crypto assets at fair value with gains or losses from remeasurement recognized in net income.</w:t>
      </w:r>
    </w:p>
    <w:p>
      <w:pPr>
        <w:spacing w:after="0" w:line="14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 xml:space="preserve">The Company, through a foreign subsidiary, had previously entered into certain token purchase, grant and/or similar agreements to purchase, be granted and/or otherwise acquire a certain amount of crypto tokens. At December 31, 2024, based on the nature of the assets, these tokens were recorded at cost within Intangibles on the Consolidated Statements of Financial Condition, in accordance with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xml:space="preserve"> Upon adoption, the Company records these tokens at fair value within Other assets on the Consolidated Statements of Financial Condition. As of January 1, 2025, the Company recorded a fair value adjustment of $25.4 million and established a deferred tax liability of $3.6 million, for a net cumulative-effect adjustment of $21.8 million in the beginning balance of Retained earnings. Subsequently, the Company remeasures these tokens at fair value at the end of each reporting period with changes recognized through Other, net on the Consolidated Statements of Comprehensive Income. The Company has other digital assets which were measured at fair value at December 31, 2024 based on the nature of the assets and the specialized accounting applied.</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uses the “first-in, first-out” method to determine the cost basis for its Digital assets held.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Property and equipment are carried at cost, less accumulated depreciation, except for the assets acquired in connection with acquisitions using the purchase accounting method, which were recorded at fair value on date of acquisition.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Capitalized Software</w:t>
      </w:r>
    </w:p>
    <w:p>
      <w:pPr>
        <w:spacing w:after="0" w:line="202"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The Company capitalizes costs of materials, consultants, and payroll and payroll-related costs for employees incurred in developing internal-use software. Costs incurred during the preliminary project and post-implementation stages are charged to expense.</w:t>
      </w:r>
    </w:p>
    <w:p>
      <w:pPr>
        <w:spacing w:after="0" w:line="145"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45"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Capitalized software development costs and related accumulated amortization are included in Property, equipment and capitalized software in the accompanying Consolidated Statements of Financial Condition and are amortized over a period of 1.5 to 3 years, which represents the estimated useful lives of the underlying software.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Company determines if an arrangement is a lease at the inception of the arrangement. Operating leases are included in Operating lease right-of-use (“ROU”) assets and Operating lease liabilities on the Consolidated Statements of Financial Condition. Operating lease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of the lease,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Lease expense related to the leasing of corporate office space is recorded in Operations and Administrative expenses on the Consolidated Statements of Comprehensive Income. Lease expense related to the leasing of data centers and other technology is recorded in Communication and Data Processing on the Consolidated Statements of Comprehensive Income. Certain of the Company’s lease agreements contain fixed lease payments that contain lease and non-lease components; for such leases, the Company accounts for the lease and non-lease components as a single lease component. The Company nets its sublease income against corresponding lease expenses within Operations and Administrative expenses on the Consolidated Statements of Comprehensive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202"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57" w:lineRule="exact"/>
        <w:rPr>
          <w:sz w:val="20"/>
          <w:szCs w:val="20"/>
          <w:color w:val="auto"/>
        </w:rPr>
      </w:pPr>
    </w:p>
    <w:p>
      <w:pPr>
        <w:jc w:val="both"/>
        <w:ind w:right="80" w:firstLine="509"/>
        <w:spacing w:after="0" w:line="270" w:lineRule="auto"/>
        <w:rPr>
          <w:sz w:val="20"/>
          <w:szCs w:val="20"/>
          <w:color w:val="auto"/>
        </w:rPr>
      </w:pPr>
      <w:r>
        <w:rPr>
          <w:rFonts w:ascii="Times New Roman" w:cs="Times New Roman" w:eastAsia="Times New Roman" w:hAnsi="Times New Roman"/>
          <w:sz w:val="14"/>
          <w:szCs w:val="14"/>
          <w:color w:val="auto"/>
        </w:rPr>
        <w:t>The Company assesses goodwill for impairment on an annual basis on July 1 and on an interim basis when certain events occur or certain circumstances exist. In the impairment assessment as of July 1, 2025, the Company assessed qualitative factors as described in ASC 350-20 for each of its reporting units for any indicators that the fair values of the reporting units were less than their carrying values. No impairment was identified.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202" w:lineRule="exact"/>
        <w:rPr>
          <w:sz w:val="20"/>
          <w:szCs w:val="20"/>
          <w:color w:val="auto"/>
        </w:rPr>
      </w:pPr>
    </w:p>
    <w:p>
      <w:pPr>
        <w:jc w:val="both"/>
        <w:ind w:right="60" w:firstLine="509"/>
        <w:spacing w:after="0" w:line="287" w:lineRule="auto"/>
        <w:rPr>
          <w:sz w:val="20"/>
          <w:szCs w:val="20"/>
          <w:color w:val="auto"/>
        </w:rPr>
      </w:pPr>
      <w:r>
        <w:rPr>
          <w:rFonts w:ascii="Times New Roman" w:cs="Times New Roman" w:eastAsia="Times New Roman" w:hAnsi="Times New Roman"/>
          <w:sz w:val="14"/>
          <w:szCs w:val="14"/>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Memberships and Stock</w:t>
      </w:r>
    </w:p>
    <w:p>
      <w:pPr>
        <w:spacing w:after="0" w:line="202"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Exchange memberships are recorded at cost or, if any other than temporary impairment in value has occurred, at a value that reflects management’s estimate of fair value. Exchange stock includes shares that entitle the Company to certain trading privileges.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Trading Income, net</w:t>
      </w:r>
    </w:p>
    <w:p>
      <w:pPr>
        <w:spacing w:after="0" w:line="202" w:lineRule="exact"/>
        <w:rPr>
          <w:sz w:val="20"/>
          <w:szCs w:val="20"/>
          <w:color w:val="auto"/>
        </w:rPr>
      </w:pPr>
    </w:p>
    <w:p>
      <w:pPr>
        <w:jc w:val="both"/>
        <w:ind w:right="180" w:firstLine="509"/>
        <w:spacing w:after="0" w:line="270" w:lineRule="auto"/>
        <w:rPr>
          <w:sz w:val="20"/>
          <w:szCs w:val="20"/>
          <w:color w:val="auto"/>
        </w:rPr>
      </w:pPr>
      <w:r>
        <w:rPr>
          <w:rFonts w:ascii="Times New Roman" w:cs="Times New Roman" w:eastAsia="Times New Roman" w:hAnsi="Times New Roman"/>
          <w:sz w:val="14"/>
          <w:szCs w:val="14"/>
          <w:color w:val="auto"/>
        </w:rPr>
        <w:t>Trading income, net is primarily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Commissions, net and Technology Services</w:t>
      </w:r>
    </w:p>
    <w:p>
      <w:pPr>
        <w:spacing w:after="0" w:line="202"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Commissions, net, which primarily comprise commissions earned on institutional client orders, are recorded on a trade date basis.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93" w:name="page94"/>
    <w:bookmarkEnd w:id="93"/>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57"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Dividends Income/Interest and Dividends Expense</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Brokerage, Exchange, Clearance Fees and Payments for Order Flow, Net</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Brokerage, exchange, clearance fees and payments for order flow, net, comprise the costs of executing and clearing trades and are accrued on a trade date basis in the Consolidated Statements of Comprehensive Income. These costs are net of rebates, which consist of volume discounts, credits or payments received from exchanges or other marketplaces related to the placement and/or removal of liquidity from the order flow in the marketplace. Rebates are recorded on an accrual basis. Payments for order flow represent payments to broker-dealer clients, in the normal course of business, for directing their order flow in U.S. equities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45"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provision for income tax comprises current tax and deferred tax. Current tax represents the tax on current year tax returns, using tax rates enacted at the balance sheet date. Deferred tax assets are recognized in full and then reduced by a valuation allowance if it is more likely than not that some or all of the deferred tax assets will not be recognized.</w:t>
      </w:r>
    </w:p>
    <w:p>
      <w:pPr>
        <w:spacing w:after="0" w:line="145"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Income</w:t>
      </w:r>
    </w:p>
    <w:p>
      <w:pPr>
        <w:spacing w:after="0" w:line="202"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Comprehensive income consists of two components: net income and other comprehensive income (“OCI”). The Company’s OCI comprises foreign currency translation adjustments, net of taxes and mark-to-market gains and losses on the Company’s derivative instruments designated as hedging instruments under ASC 815, net of taxes.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4" w:name="page95"/>
    <w:bookmarkEnd w:id="94"/>
    <w:p>
      <w:pPr>
        <w:ind w:right="220" w:firstLine="509"/>
        <w:spacing w:after="0" w:line="261" w:lineRule="auto"/>
        <w:rPr>
          <w:sz w:val="20"/>
          <w:szCs w:val="20"/>
          <w:color w:val="auto"/>
        </w:rPr>
      </w:pPr>
      <w:r>
        <w:rPr>
          <w:rFonts w:ascii="Times New Roman" w:cs="Times New Roman" w:eastAsia="Times New Roman" w:hAnsi="Times New Roman"/>
          <w:sz w:val="14"/>
          <w:szCs w:val="14"/>
          <w:color w:val="auto"/>
        </w:rPr>
        <w:t>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OCI, a component of stockholders’ equity. While certain of the Company’s foreign subsidiaries use the U.S. dollar as their functional currency, the Company also has subsidiaries that utilize a functional currency other than the U.S. dollar, primarily comprising its subsidiaries domiciled in Ireland, which utilize the Euro and Pound Sterling as the functional currency, and subsidiaries domiciled in Canada, which utilize the Canadian dollar as the functional currency.</w:t>
      </w:r>
    </w:p>
    <w:p>
      <w:pPr>
        <w:spacing w:after="0" w:line="164"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The Company may use derivative instruments for risk management purposes, including cash flow hedges used to manage interest rate risk on long-term borrowings and net investment hedges used to manage foreign exchange risk. For instruments that meet the criteria to be considered hedging instruments under ASC 815, any gains or losses are initially included in Accumulated OCI on the Consolidated Statements of Financial Condition and OCI on the Consolidated Statements of Comprehensive Income, as the hedged item affects earnings.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Share-based awards issued for compensation in connection with or subsequent to the Company’s initial public offering in April 2015 (the “IPO”) and certain reorganization transactions consummated in connection with the IPO (the “Reorganization Transactions”) pursuant to the Virtu Financial, Inc. 2015 Management Incentive Plan (as amended, the “Second Amended and Restated 2015 Management Incentive Plan”) are in the form of stock options, Class A common stock, par value $0.00001 per share (the “Class A Common Stock”), RSAs and RSUs, as applicable. The fair values of the Class A Common Stock and RSUs are determined based on the volume weighted average price for the three days preceding the grant. With respect to the RSUs, forfeitures are accounted for as they occur. The fair value of RSAs is determined based on the closing price as of the grant date. The fair value of share-based awards granted to employees is expensed based on the vesting conditions and is recognized on a straight-line basis over the vesting period, or, in the case of RSAs subject to performance conditions, from the date that achievement of the performance target becomes probable through the remainder of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Entities</w:t>
      </w:r>
    </w:p>
    <w:p>
      <w:pPr>
        <w:spacing w:after="0" w:line="202"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57"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Pronouncements, Recently Adopted</w:t>
      </w:r>
    </w:p>
    <w:p>
      <w:pPr>
        <w:spacing w:after="0" w:line="189"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Combinations—Joint Venture Formations </w:t>
      </w:r>
      <w:r>
        <w:rPr>
          <w:rFonts w:ascii="Times New Roman" w:cs="Times New Roman" w:eastAsia="Times New Roman" w:hAnsi="Times New Roman"/>
          <w:sz w:val="14"/>
          <w:szCs w:val="14"/>
          <w:color w:val="auto"/>
        </w:rPr>
        <w:t>- In August 2023, the FASB issued ASU 2023-05,</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Business Combinations—Joint Venture Formations (Subtopic 805-60)</w:t>
      </w:r>
      <w:r>
        <w:rPr>
          <w:rFonts w:ascii="Times New Roman" w:cs="Times New Roman" w:eastAsia="Times New Roman" w:hAnsi="Times New Roman"/>
          <w:sz w:val="14"/>
          <w:szCs w:val="14"/>
          <w:color w:val="auto"/>
        </w:rPr>
        <w:t>. This ASU</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provides updated guidance on accounting for the formation of joint ventures. The Company adopted this ASU on January 1, 2025, and it did not have a material impact on the Company’s Consolidated Financial Statements.</w:t>
      </w:r>
    </w:p>
    <w:p>
      <w:pPr>
        <w:spacing w:after="0" w:line="15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Intangibles—Goodwill and Other—Crypto Assets </w:t>
      </w:r>
      <w:r>
        <w:rPr>
          <w:rFonts w:ascii="Times New Roman" w:cs="Times New Roman" w:eastAsia="Times New Roman" w:hAnsi="Times New Roman"/>
          <w:sz w:val="14"/>
          <w:szCs w:val="14"/>
          <w:color w:val="auto"/>
        </w:rPr>
        <w:t>- In December 2023, the FASB issued ASU 2023-08,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Intangibles—Goodwill and Other—Crypto Assets (Subtopic 350-60)</w:t>
      </w:r>
      <w:r>
        <w:rPr>
          <w:rFonts w:ascii="Times New Roman" w:cs="Times New Roman" w:eastAsia="Times New Roman" w:hAnsi="Times New Roman"/>
          <w:sz w:val="14"/>
          <w:szCs w:val="14"/>
          <w:color w:val="auto"/>
        </w:rPr>
        <w:t>. This ASU</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requires measurement of in-scope crypto assets at fair value and provides updated guidance on presentation and disclosure requirements for crypto assets. The Company adopted this ASU on January 1, 2025. See above and Note 11 “Digital Assets Held” for details on the impact of the adoption.</w:t>
      </w:r>
    </w:p>
    <w:p>
      <w:pPr>
        <w:spacing w:after="0" w:line="16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Compensation—Stock Compensation </w:t>
      </w:r>
      <w:r>
        <w:rPr>
          <w:rFonts w:ascii="Times New Roman" w:cs="Times New Roman" w:eastAsia="Times New Roman" w:hAnsi="Times New Roman"/>
          <w:sz w:val="14"/>
          <w:szCs w:val="14"/>
          <w:color w:val="auto"/>
        </w:rPr>
        <w:t>- In March 2024, the FASB issued ASU 2024-01,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Compensation—Stock Compensation (Topic 718)</w:t>
      </w:r>
      <w:r>
        <w:rPr>
          <w:rFonts w:ascii="Times New Roman" w:cs="Times New Roman" w:eastAsia="Times New Roman" w:hAnsi="Times New Roman"/>
          <w:sz w:val="14"/>
          <w:szCs w:val="14"/>
          <w:color w:val="auto"/>
        </w:rPr>
        <w:t>. This ASU clarifies ASC 718 scope application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profits interest or similar awards through illustrative examples. The Company adopted this ASU on January 1, 2025, and it did not have a material impact on the Company’s Consolidated Financial Statements.</w:t>
      </w:r>
    </w:p>
    <w:p>
      <w:pPr>
        <w:spacing w:after="0" w:line="155" w:lineRule="exact"/>
        <w:rPr>
          <w:sz w:val="20"/>
          <w:szCs w:val="20"/>
          <w:color w:val="auto"/>
        </w:rPr>
      </w:pPr>
    </w:p>
    <w:p>
      <w:pPr>
        <w:ind w:right="52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Codification Improvements </w:t>
      </w:r>
      <w:r>
        <w:rPr>
          <w:rFonts w:ascii="Times New Roman" w:cs="Times New Roman" w:eastAsia="Times New Roman" w:hAnsi="Times New Roman"/>
          <w:sz w:val="14"/>
          <w:szCs w:val="14"/>
          <w:color w:val="auto"/>
        </w:rPr>
        <w:t>- In March 2024, the FASB issued ASU 2024-02,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Codification Improvements.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This ASU aims to improve and simplify the language and structure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Codification by removing references to Concepts Statements.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The Company adopted this ASU on January 1, 2025, and it did not have a material impact on the Company’s Consolidated Financial Statements.</w:t>
      </w:r>
    </w:p>
    <w:p>
      <w:pPr>
        <w:spacing w:after="0" w:line="198"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 In December 2023, the FASB issued ASU 2023-09,</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Income Taxes (Topic 740)</w:t>
      </w:r>
      <w:r>
        <w:rPr>
          <w:rFonts w:ascii="Times New Roman" w:cs="Times New Roman" w:eastAsia="Times New Roman" w:hAnsi="Times New Roman"/>
          <w:sz w:val="14"/>
          <w:szCs w:val="14"/>
          <w:color w:val="auto"/>
        </w:rPr>
        <w:t>. This ASU requires disclosure of additional disaggregated information on effective tax rate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reconciliation and income taxes paid. This ASU is effective for periods beginning after December 15, 2024. The Company adopted this ASU on a prospective basis during the year ended December 31, 2025 and included additional required disclosures in Note 15 “Income Taxes.” The ASU did not have other material impact on the Company’s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Pronouncements, Not Yet Adopted as of December 31, 2025</w:t>
      </w:r>
    </w:p>
    <w:p>
      <w:pPr>
        <w:spacing w:after="0" w:line="189" w:lineRule="exact"/>
        <w:rPr>
          <w:sz w:val="20"/>
          <w:szCs w:val="20"/>
          <w:color w:val="auto"/>
        </w:rPr>
      </w:pPr>
    </w:p>
    <w:p>
      <w:pPr>
        <w:ind w:right="120" w:firstLine="509"/>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Statement—Reporting Comprehensive Income—Expense Disaggregation Disclosures </w:t>
      </w:r>
      <w:r>
        <w:rPr>
          <w:rFonts w:ascii="Times New Roman" w:cs="Times New Roman" w:eastAsia="Times New Roman" w:hAnsi="Times New Roman"/>
          <w:sz w:val="14"/>
          <w:szCs w:val="14"/>
          <w:color w:val="auto"/>
        </w:rPr>
        <w:t>- In November 2024 and January 2025, the FASB issued ASU 2024-03 and ASU 2025-01,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 xml:space="preserve">Income Statement—Reporting Comprehensive Income—Expense Disaggregation Disclosures (Subtopic 220-40). </w:t>
      </w:r>
      <w:r>
        <w:rPr>
          <w:rFonts w:ascii="Times New Roman" w:cs="Times New Roman" w:eastAsia="Times New Roman" w:hAnsi="Times New Roman"/>
          <w:sz w:val="14"/>
          <w:szCs w:val="14"/>
          <w:color w:val="auto"/>
        </w:rPr>
        <w:t>These ASUs require disclosure of disaggregated information of Income Statement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 captions that include certain costs, such as employee compensation, depreciation, and intangible asset amortization. They also require disclosure of the total amounts of selling expenses, along with an entity's definition of selling expenses. The amendments are effective for annual reporting periods beginning after December 15, 2026 and interim periods within annual reporting periods beginning after December 15, 2027. The Company is currently evaluating the impact of these ASUs, but does not expect them to have a material impact on the Company’s Consolidated Financial Statements and related disclosures.</w:t>
      </w:r>
    </w:p>
    <w:p>
      <w:pPr>
        <w:spacing w:after="0" w:line="176"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Combinations and Consolidation </w:t>
      </w:r>
      <w:r>
        <w:rPr>
          <w:rFonts w:ascii="Times New Roman" w:cs="Times New Roman" w:eastAsia="Times New Roman" w:hAnsi="Times New Roman"/>
          <w:sz w:val="14"/>
          <w:szCs w:val="14"/>
          <w:color w:val="auto"/>
        </w:rPr>
        <w:t>- In May 2025, the FASB issued ASU 2025-03,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Business Combinations (Topic 805) and Consolidation (Topic 810)</w:t>
      </w:r>
      <w:r>
        <w:rPr>
          <w:rFonts w:ascii="Times New Roman" w:cs="Times New Roman" w:eastAsia="Times New Roman" w:hAnsi="Times New Roman"/>
          <w:sz w:val="14"/>
          <w:szCs w:val="14"/>
          <w:color w:val="auto"/>
        </w:rPr>
        <w:t>. This ASU clarifies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requirement for identifying the accounting acquirer in a business combination involving a Variable Interest Entity (“VIE”). This ASU is effective for annual reporting periods beginning after December 15, 2026, and interim periods within those annual reporting periods. The Company is currently evaluating the impact of this ASU but does not expect it to have a material impact on the Company’s Consolidated Financial Statements and related disclosures.</w:t>
      </w:r>
    </w:p>
    <w:p>
      <w:pPr>
        <w:spacing w:after="0" w:line="15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Intangibles—Goodwill and Other—Internal-Use Software </w:t>
      </w:r>
      <w:r>
        <w:rPr>
          <w:rFonts w:ascii="Times New Roman" w:cs="Times New Roman" w:eastAsia="Times New Roman" w:hAnsi="Times New Roman"/>
          <w:sz w:val="14"/>
          <w:szCs w:val="14"/>
          <w:color w:val="auto"/>
        </w:rPr>
        <w:t>- In September 2025, the FASB issued ASU 2025-06,</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Intangibles—Goodwill and Other—Internal-Use Software (Subtopic 350-40)</w:t>
      </w:r>
      <w:r>
        <w:rPr>
          <w:rFonts w:ascii="Times New Roman" w:cs="Times New Roman" w:eastAsia="Times New Roman" w:hAnsi="Times New Roman"/>
          <w:sz w:val="14"/>
          <w:szCs w:val="14"/>
          <w:color w:val="auto"/>
        </w:rPr>
        <w:t>. This ASU updates the capitalization criteria for internal-use software cost by removing references to software development project stages. This ASU is effective for annual reporting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beginning after December 15, 2027, and interim periods within those annual reporting periods. The Company is currently evaluating the impact of this ASU but does not expect it to have a material impact on the Company’s Consolidated Financial Statements and related disclosures.</w:t>
      </w:r>
    </w:p>
    <w:p>
      <w:pPr>
        <w:spacing w:after="0" w:line="159"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Derivatives and Hedging </w:t>
      </w:r>
      <w:r>
        <w:rPr>
          <w:rFonts w:ascii="Times New Roman" w:cs="Times New Roman" w:eastAsia="Times New Roman" w:hAnsi="Times New Roman"/>
          <w:sz w:val="14"/>
          <w:szCs w:val="14"/>
          <w:color w:val="auto"/>
        </w:rPr>
        <w:t>- In November 2025, the FASB issued ASU 2025-09,</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Derivatives and Hedging (Topic 815)</w:t>
      </w:r>
      <w:r>
        <w:rPr>
          <w:rFonts w:ascii="Times New Roman" w:cs="Times New Roman" w:eastAsia="Times New Roman" w:hAnsi="Times New Roman"/>
          <w:sz w:val="14"/>
          <w:szCs w:val="14"/>
          <w:color w:val="auto"/>
        </w:rPr>
        <w:t>. This ASU incorporates targeted improvements to the hedge accounting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guidance intended to better align financial reporting with the economics of an entity’s risk management activities. This ASU is effective for annual reporting periods beginning after December 15, 2026, and interim periods within those annual reporting periods. The Company is currently evaluating the impact of this ASU but does not expect it to have a material impact on the Company’s Consolidated Financial Statements and related disclosures.</w:t>
      </w:r>
    </w:p>
    <w:p>
      <w:pPr>
        <w:spacing w:after="0" w:line="15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Interim Reporting </w:t>
      </w:r>
      <w:r>
        <w:rPr>
          <w:rFonts w:ascii="Times New Roman" w:cs="Times New Roman" w:eastAsia="Times New Roman" w:hAnsi="Times New Roman"/>
          <w:sz w:val="14"/>
          <w:szCs w:val="14"/>
          <w:color w:val="auto"/>
        </w:rPr>
        <w:t>- In December 2025, the FASB issued ASU 2025-11,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Interim Reporting (Topic 270)</w:t>
      </w:r>
      <w:r>
        <w:rPr>
          <w:rFonts w:ascii="Times New Roman" w:cs="Times New Roman" w:eastAsia="Times New Roman" w:hAnsi="Times New Roman"/>
          <w:sz w:val="14"/>
          <w:szCs w:val="14"/>
          <w:color w:val="auto"/>
        </w:rPr>
        <w:t>. This ASU provides clarity and enhances the navigability of existing interim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disclosures required by U.S. GAAP. This ASU is effective for interim reporting periods beginning after December 15, 2027. The Company is currently evaluating the impact of this ASU but does not expect it to have a material impact on the Company’s Consolidated Financial Statements and related disclosures.</w:t>
      </w:r>
    </w:p>
    <w:p>
      <w:pPr>
        <w:spacing w:after="0" w:line="155"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Codification Improvements </w:t>
      </w:r>
      <w:r>
        <w:rPr>
          <w:rFonts w:ascii="Times New Roman" w:cs="Times New Roman" w:eastAsia="Times New Roman" w:hAnsi="Times New Roman"/>
          <w:sz w:val="14"/>
          <w:szCs w:val="14"/>
          <w:color w:val="auto"/>
        </w:rPr>
        <w:t>- In December 2025, the FASB issued ASU 2025-12,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Codification Improvements (Evergreen)</w:t>
      </w:r>
      <w:r>
        <w:rPr>
          <w:rFonts w:ascii="Times New Roman" w:cs="Times New Roman" w:eastAsia="Times New Roman" w:hAnsi="Times New Roman"/>
          <w:sz w:val="14"/>
          <w:szCs w:val="14"/>
          <w:color w:val="auto"/>
        </w:rPr>
        <w:t>. This ASU improves the ASC for a broad range of Topics through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technical corrections, clarifications, and other minor enhancements. This ASU is effective for annual reporting periods beginning after December 15, 2026, and interim periods within those annual reporting periods. The Company is currently evaluating the impact of this ASU but does not expect it to have a material impact on the Company’s Consolidated Financial Statements and related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Sale of RFQ-hub</w:t>
      </w:r>
    </w:p>
    <w:p>
      <w:pPr>
        <w:spacing w:after="0" w:line="171" w:lineRule="exact"/>
        <w:rPr>
          <w:sz w:val="20"/>
          <w:szCs w:val="20"/>
          <w:color w:val="auto"/>
        </w:rPr>
      </w:pPr>
    </w:p>
    <w:p>
      <w:pPr>
        <w:ind w:firstLine="509"/>
        <w:spacing w:after="0" w:line="185" w:lineRule="exact"/>
        <w:rPr>
          <w:sz w:val="20"/>
          <w:szCs w:val="20"/>
          <w:color w:val="auto"/>
        </w:rPr>
      </w:pPr>
      <w:r>
        <w:rPr>
          <w:rFonts w:ascii="Times New Roman" w:cs="Times New Roman" w:eastAsia="Times New Roman" w:hAnsi="Times New Roman"/>
          <w:sz w:val="14"/>
          <w:szCs w:val="14"/>
          <w:color w:val="auto"/>
        </w:rPr>
        <w:t>RFQ</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hub is a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asset platform for global listed and over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counter (“OTC”) financial instruments. It connects buy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side trading desks and portfolio managers with a large network of sell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side market makers in Europe, North America and the APAC region, allowing these trading desks to place requests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quotes (“RFQ”) in negotiated equities, futures, options, swaps, convertible bonds, structured products and commodities. In May 2022, the Company formed a consortium of strategic</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6" w:name="page97"/>
    <w:bookmarkEnd w:id="96"/>
    <w:p>
      <w:pPr>
        <w:ind w:right="280"/>
        <w:spacing w:after="0" w:line="287" w:lineRule="auto"/>
        <w:rPr>
          <w:sz w:val="20"/>
          <w:szCs w:val="20"/>
          <w:color w:val="auto"/>
        </w:rPr>
      </w:pPr>
      <w:r>
        <w:rPr>
          <w:rFonts w:ascii="Times New Roman" w:cs="Times New Roman" w:eastAsia="Times New Roman" w:hAnsi="Times New Roman"/>
          <w:sz w:val="14"/>
          <w:szCs w:val="14"/>
          <w:color w:val="auto"/>
        </w:rPr>
        <w:t>partners and investors to own and support the growth of the RFQ-hub business. Through a series of related transactions, we sold a substantial minority interest in the business to multiple strategic partners and have maintained a majority ownership interest.</w:t>
      </w:r>
    </w:p>
    <w:p>
      <w:pPr>
        <w:spacing w:after="0" w:line="14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On April 19, 2024, the Company entered into a Unit Purchase Agreement with MarketAxess Holdings Inc. (“MarketAxess”) pursuant to which the Company has agreed to sell a 49% interest in the multi-asset request-for-quote communication platform JV, RFQ-hub Holdings LLC (“RFQ-hub Holdings,” or collectively with its wholly owned or controlled subsidiaries, “RFQ-hub”, which includes RFQ-hub Americas LLC, or “RAL”).</w:t>
      </w:r>
    </w:p>
    <w:p>
      <w:pPr>
        <w:spacing w:after="0" w:line="15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On May 9, 2025, the Company completed the sale of a 49% interest in RFQ-hub to MarketAxess for total gross proceeds of $37.9 million in cash. Upon the closing of the sale, the Company retains a minority interest of approximately 2% in RFQ-hub. The Company deconsolidated RFQ-hub and recognized a gain on sale of $67.0 million, which was recorded in Other, net on the Consolidated Statements of Comprehensive Income.</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the gain on sale and deconsolidation of RFQ-hub is as follows:</w:t>
      </w:r>
    </w:p>
    <w:p>
      <w:pPr>
        <w:spacing w:after="0" w:line="36" w:lineRule="exact"/>
        <w:rPr>
          <w:sz w:val="20"/>
          <w:szCs w:val="20"/>
          <w:color w:val="auto"/>
        </w:rPr>
      </w:pPr>
    </w:p>
    <w:tbl>
      <w:tblPr>
        <w:tblLayout w:type="fixed"/>
        <w:tblInd w:w="2120" w:type="dxa"/>
        <w:tblCellMar>
          <w:top w:w="0" w:type="dxa"/>
          <w:left w:w="0" w:type="dxa"/>
          <w:bottom w:w="0" w:type="dxa"/>
          <w:right w:w="0" w:type="dxa"/>
        </w:tblCellMar>
      </w:tblPr>
      <w:tr>
        <w:trPr>
          <w:trHeight w:val="158"/>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May 9, 2025</w:t>
            </w:r>
          </w:p>
        </w:tc>
      </w:tr>
      <w:tr>
        <w:trPr>
          <w:trHeight w:val="15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sale proceeds received</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37,932</w:t>
            </w:r>
          </w:p>
        </w:tc>
      </w:tr>
      <w:tr>
        <w:trPr>
          <w:trHeight w:val="153"/>
        </w:trPr>
        <w:tc>
          <w:tcPr>
            <w:tcW w:w="5920" w:type="dxa"/>
            <w:vAlign w:val="bottom"/>
          </w:tcPr>
          <w:p>
            <w:pPr>
              <w:spacing w:after="0"/>
              <w:rPr>
                <w:sz w:val="20"/>
                <w:szCs w:val="20"/>
                <w:color w:val="auto"/>
              </w:rPr>
            </w:pPr>
            <w:r>
              <w:rPr>
                <w:rFonts w:ascii="Times New Roman" w:cs="Times New Roman" w:eastAsia="Times New Roman" w:hAnsi="Times New Roman"/>
                <w:sz w:val="11"/>
                <w:szCs w:val="11"/>
                <w:color w:val="auto"/>
              </w:rPr>
              <w:t>Retained noncontrolling investments</w:t>
            </w:r>
          </w:p>
        </w:tc>
        <w:tc>
          <w:tcPr>
            <w:tcW w:w="2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1,548</w:t>
            </w:r>
          </w:p>
        </w:tc>
      </w:tr>
      <w:tr>
        <w:trPr>
          <w:trHeight w:val="16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Carrying value of noncontrolling interest deconsolidated</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35,608</w:t>
            </w:r>
          </w:p>
        </w:tc>
      </w:tr>
      <w:tr>
        <w:trPr>
          <w:trHeight w:val="153"/>
        </w:trPr>
        <w:tc>
          <w:tcPr>
            <w:tcW w:w="5920" w:type="dxa"/>
            <w:vAlign w:val="bottom"/>
          </w:tcPr>
          <w:p>
            <w:pPr>
              <w:spacing w:after="0"/>
              <w:rPr>
                <w:sz w:val="20"/>
                <w:szCs w:val="20"/>
                <w:color w:val="auto"/>
              </w:rPr>
            </w:pPr>
            <w:r>
              <w:rPr>
                <w:rFonts w:ascii="Times New Roman" w:cs="Times New Roman" w:eastAsia="Times New Roman" w:hAnsi="Times New Roman"/>
                <w:sz w:val="11"/>
                <w:szCs w:val="11"/>
                <w:color w:val="auto"/>
              </w:rPr>
              <w:t>Carrying value of RFQ-hub’s net assets: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5"/>
        </w:trPr>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1,554</w:t>
            </w:r>
          </w:p>
        </w:tc>
      </w:tr>
      <w:tr>
        <w:trPr>
          <w:trHeight w:val="153"/>
        </w:trPr>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512</w:t>
            </w:r>
          </w:p>
        </w:tc>
      </w:tr>
      <w:tr>
        <w:trPr>
          <w:trHeight w:val="165"/>
        </w:trPr>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Property, equipment and capitalized software (net)</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736</w:t>
            </w:r>
          </w:p>
        </w:tc>
      </w:tr>
      <w:tr>
        <w:trPr>
          <w:trHeight w:val="153"/>
        </w:trPr>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Intangibles (net)</w:t>
            </w:r>
          </w:p>
        </w:tc>
        <w:tc>
          <w:tcPr>
            <w:tcW w:w="2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3,043</w:t>
            </w:r>
          </w:p>
        </w:tc>
      </w:tr>
      <w:tr>
        <w:trPr>
          <w:trHeight w:val="165"/>
        </w:trPr>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assets</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3,939</w:t>
            </w:r>
          </w:p>
        </w:tc>
      </w:tr>
      <w:tr>
        <w:trPr>
          <w:trHeight w:val="153"/>
        </w:trPr>
        <w:tc>
          <w:tcPr>
            <w:tcW w:w="5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Liabilities</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(1,684)</w:t>
            </w:r>
          </w:p>
        </w:tc>
      </w:tr>
      <w:tr>
        <w:trPr>
          <w:trHeight w:val="1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Total carrying value of RFQ-hub’s net assets</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8,100</w:t>
            </w: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1"/>
                <w:szCs w:val="11"/>
                <w:color w:val="auto"/>
              </w:rPr>
              <w:t>Gain on sale of RFQ-hub</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66,988</w:t>
            </w: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20" w:firstLine="509"/>
        <w:spacing w:after="0" w:line="273" w:lineRule="auto"/>
        <w:rPr>
          <w:sz w:val="20"/>
          <w:szCs w:val="20"/>
          <w:color w:val="auto"/>
        </w:rPr>
      </w:pPr>
      <w:r>
        <w:rPr>
          <w:rFonts w:ascii="Times New Roman" w:cs="Times New Roman" w:eastAsia="Times New Roman" w:hAnsi="Times New Roman"/>
          <w:sz w:val="14"/>
          <w:szCs w:val="14"/>
          <w:color w:val="auto"/>
        </w:rPr>
        <w:t>At December 31, 2024, the assets and liabilities of RFQ-hub classified as Assets and Liabilities of business held for sale on the Consolidated Statements of Financial Condition are summarized as follows:</w:t>
      </w:r>
    </w:p>
    <w:p>
      <w:pPr>
        <w:spacing w:after="0" w:line="1" w:lineRule="exact"/>
        <w:rPr>
          <w:sz w:val="20"/>
          <w:szCs w:val="20"/>
          <w:color w:val="auto"/>
        </w:rPr>
      </w:pPr>
    </w:p>
    <w:tbl>
      <w:tblPr>
        <w:tblLayout w:type="fixed"/>
        <w:tblInd w:w="2240" w:type="dxa"/>
        <w:tblCellMar>
          <w:top w:w="0" w:type="dxa"/>
          <w:left w:w="0" w:type="dxa"/>
          <w:bottom w:w="0" w:type="dxa"/>
          <w:right w:w="0" w:type="dxa"/>
        </w:tblCellMar>
      </w:tblPr>
      <w:tr>
        <w:trPr>
          <w:trHeight w:val="15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24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Business assets and liabilities held for sale:</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153"/>
        </w:trPr>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194</w:t>
            </w:r>
          </w:p>
        </w:tc>
      </w:tr>
      <w:tr>
        <w:trPr>
          <w:trHeight w:val="165"/>
        </w:trPr>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Property, equipment and capitalized software (net)</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854</w:t>
            </w:r>
          </w:p>
        </w:tc>
      </w:tr>
      <w:tr>
        <w:trPr>
          <w:trHeight w:val="153"/>
        </w:trPr>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Intangibles (net)</w:t>
            </w:r>
          </w:p>
        </w:tc>
        <w:tc>
          <w:tcPr>
            <w:tcW w:w="14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3,486</w:t>
            </w:r>
          </w:p>
        </w:tc>
      </w:tr>
      <w:tr>
        <w:trPr>
          <w:trHeight w:val="165"/>
        </w:trPr>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assets</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w:t>
            </w:r>
          </w:p>
        </w:tc>
      </w:tr>
      <w:tr>
        <w:trPr>
          <w:trHeight w:val="153"/>
        </w:trPr>
        <w:tc>
          <w:tcPr>
            <w:tcW w:w="5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Liabilities</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(1,526)</w:t>
            </w:r>
          </w:p>
        </w:tc>
      </w:tr>
      <w:tr>
        <w:trPr>
          <w:trHeight w:val="181"/>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carrying value of RFQ-hub</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Earnings per Share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below table contains a reconciliation of Net income before income taxes and noncontrolling interest to Net income available for common stockholders:</w:t>
      </w:r>
    </w:p>
    <w:p>
      <w:pPr>
        <w:spacing w:after="0" w:line="36" w:lineRule="exact"/>
        <w:rPr>
          <w:sz w:val="20"/>
          <w:szCs w:val="20"/>
          <w:color w:val="auto"/>
        </w:rPr>
      </w:pPr>
    </w:p>
    <w:tbl>
      <w:tblPr>
        <w:tblLayout w:type="fixed"/>
        <w:tblInd w:w="740" w:type="dxa"/>
        <w:tblCellMar>
          <w:top w:w="0" w:type="dxa"/>
          <w:left w:w="0" w:type="dxa"/>
          <w:bottom w:w="0" w:type="dxa"/>
          <w:right w:w="0" w:type="dxa"/>
        </w:tblCellMar>
      </w:tblPr>
      <w:tr>
        <w:trPr>
          <w:trHeight w:val="158"/>
        </w:trPr>
        <w:tc>
          <w:tcPr>
            <w:tcW w:w="6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 and noncontrolling interest</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1,094,329</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shd w:val="clear" w:color="auto" w:fill="CCEEFF"/>
          </w:tcPr>
          <w:p>
            <w:pPr>
              <w:jc w:val="center"/>
              <w:ind w:left="383"/>
              <w:spacing w:after="0"/>
              <w:rPr>
                <w:sz w:val="20"/>
                <w:szCs w:val="20"/>
                <w:color w:val="auto"/>
              </w:rPr>
            </w:pPr>
            <w:r>
              <w:rPr>
                <w:rFonts w:ascii="Times New Roman" w:cs="Times New Roman" w:eastAsia="Times New Roman" w:hAnsi="Times New Roman"/>
                <w:sz w:val="11"/>
                <w:szCs w:val="11"/>
                <w:color w:val="auto"/>
              </w:rPr>
              <w:t>644,970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325,131</w:t>
            </w:r>
          </w:p>
        </w:tc>
      </w:tr>
      <w:tr>
        <w:trPr>
          <w:trHeight w:val="153"/>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182,065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1"/>
                <w:szCs w:val="11"/>
                <w:color w:val="auto"/>
              </w:rPr>
              <w:t>110,435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61,210</w:t>
            </w:r>
          </w:p>
        </w:tc>
      </w:tr>
      <w:tr>
        <w:trPr>
          <w:trHeight w:val="15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912,264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left="383"/>
              <w:spacing w:after="0"/>
              <w:rPr>
                <w:sz w:val="20"/>
                <w:szCs w:val="20"/>
                <w:color w:val="auto"/>
              </w:rPr>
            </w:pPr>
            <w:r>
              <w:rPr>
                <w:rFonts w:ascii="Times New Roman" w:cs="Times New Roman" w:eastAsia="Times New Roman" w:hAnsi="Times New Roman"/>
                <w:sz w:val="11"/>
                <w:szCs w:val="11"/>
                <w:color w:val="auto"/>
              </w:rPr>
              <w:t>534,535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263,921</w:t>
            </w:r>
          </w:p>
        </w:tc>
      </w:tr>
      <w:tr>
        <w:trPr>
          <w:trHeight w:val="170"/>
        </w:trPr>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59"/>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Noncontrolling interest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(443,903)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(258,120)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(121,885)</w:t>
            </w:r>
          </w:p>
        </w:tc>
      </w:tr>
      <w:tr>
        <w:trPr>
          <w:trHeight w:val="170"/>
        </w:trPr>
        <w:tc>
          <w:tcPr>
            <w:tcW w:w="60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75"/>
        </w:trPr>
        <w:tc>
          <w:tcPr>
            <w:tcW w:w="6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available for common stockholders</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468,361</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center"/>
              <w:ind w:left="383"/>
              <w:spacing w:after="0"/>
              <w:rPr>
                <w:sz w:val="20"/>
                <w:szCs w:val="20"/>
                <w:color w:val="auto"/>
              </w:rPr>
            </w:pPr>
            <w:r>
              <w:rPr>
                <w:rFonts w:ascii="Times New Roman" w:cs="Times New Roman" w:eastAsia="Times New Roman" w:hAnsi="Times New Roman"/>
                <w:sz w:val="11"/>
                <w:szCs w:val="11"/>
                <w:color w:val="auto"/>
              </w:rPr>
              <w:t>276,415</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142,036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color w:val="auto"/>
        </w:rPr>
        <w:t>The calculation of basic and diluted earnings per share is presented below:</w:t>
      </w:r>
    </w:p>
    <w:p>
      <w:pPr>
        <w:spacing w:after="0" w:line="36"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for share or per share data)</w:t>
            </w:r>
          </w:p>
        </w:tc>
        <w:tc>
          <w:tcPr>
            <w:tcW w:w="280" w:type="dxa"/>
            <w:vAlign w:val="bottom"/>
          </w:tcPr>
          <w:p>
            <w:pPr>
              <w:spacing w:after="0"/>
              <w:rPr>
                <w:sz w:val="13"/>
                <w:szCs w:val="13"/>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 earnings per share:</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5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income available for common stockholders</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468,361</w:t>
            </w:r>
          </w:p>
        </w:tc>
        <w:tc>
          <w:tcPr>
            <w:tcW w:w="380" w:type="dxa"/>
            <w:vAlign w:val="bottom"/>
            <w:gridSpan w:val="2"/>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276,415</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142,036</w:t>
            </w:r>
          </w:p>
        </w:tc>
      </w:tr>
      <w:tr>
        <w:trPr>
          <w:trHeight w:val="165"/>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Dividends and undistributed earnings allocated to participating securities</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(30,600)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(16,021)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(8,151)</w:t>
            </w:r>
          </w:p>
        </w:tc>
      </w:tr>
      <w:tr>
        <w:trPr>
          <w:trHeight w:val="14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income available for common stockholders, net of dividends and undistributed earnings allocated to participating securities</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437,761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260,394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133,885</w:t>
            </w:r>
          </w:p>
        </w:tc>
      </w:tr>
      <w:tr>
        <w:trPr>
          <w:trHeight w:val="176"/>
        </w:trPr>
        <w:tc>
          <w:tcPr>
            <w:tcW w:w="6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5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Weighted average shares of common stock outstanding:</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Class A</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85,216,028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87,482,162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94,076,165</w:t>
            </w:r>
          </w:p>
        </w:tc>
      </w:tr>
      <w:tr>
        <w:trPr>
          <w:trHeight w:val="170"/>
        </w:trPr>
        <w:tc>
          <w:tcPr>
            <w:tcW w:w="6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9"/>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 earnings per share</w:t>
            </w: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6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 except for share or per share data)</w:t>
            </w:r>
          </w:p>
        </w:tc>
        <w:tc>
          <w:tcPr>
            <w:tcW w:w="260" w:type="dxa"/>
            <w:vAlign w:val="bottom"/>
          </w:tcPr>
          <w:p>
            <w:pPr>
              <w:spacing w:after="0"/>
              <w:rPr>
                <w:sz w:val="13"/>
                <w:szCs w:val="13"/>
                <w:color w:val="auto"/>
              </w:rPr>
            </w:pPr>
          </w:p>
        </w:tc>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Diluted earnings per share:</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53"/>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available for common stockholders, net of dividends and undistributed earnings allocated to participating securities</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437,761</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260,394</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133,885</w:t>
            </w:r>
          </w:p>
        </w:tc>
      </w:tr>
      <w:tr>
        <w:trPr>
          <w:trHeight w:val="176"/>
        </w:trPr>
        <w:tc>
          <w:tcPr>
            <w:tcW w:w="6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3"/>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Weighted average shares of common stock outstanding:</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6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Class A</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3"/>
        </w:trPr>
        <w:tc>
          <w:tcPr>
            <w:tcW w:w="61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Issued and outstanding</w:t>
            </w: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85,216,028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87,482,162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94,076,165</w:t>
            </w:r>
          </w:p>
        </w:tc>
      </w:tr>
      <w:tr>
        <w:trPr>
          <w:trHeight w:val="159"/>
        </w:trPr>
        <w:tc>
          <w:tcPr>
            <w:tcW w:w="6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Issuable pursuant to Second Amended and Restated 2015 Management Incentive Plan</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102,408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339,414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6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85,318,436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87,821,576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94,076,165</w:t>
            </w:r>
          </w:p>
        </w:tc>
      </w:tr>
      <w:tr>
        <w:trPr>
          <w:trHeight w:val="176"/>
        </w:trPr>
        <w:tc>
          <w:tcPr>
            <w:tcW w:w="6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r>
      <w:tr>
        <w:trPr>
          <w:trHeight w:val="144"/>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Diluted earnings per share</w:t>
            </w: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2.97</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r>
      <w:tr>
        <w:trPr>
          <w:trHeight w:val="20"/>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040"/>
          </w:cols>
          <w:pgMar w:left="820" w:top="920" w:right="10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color w:val="auto"/>
        </w:rPr>
        <w:t>5. Tax Receivable Agreements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IPO and the Reorganization Transactions, the Company entered into tax receivable agreements (“TRA”) to make payments to certain pre-IPO equity holders (“Virtu</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Members”) or their permitted assignees that are generally equal to 85% of the applicable cash tax savings, if any, that the Company actually realizes as a result of favorable tax attributes that were and</w:t>
      </w:r>
    </w:p>
    <w:p>
      <w:pPr>
        <w:spacing w:after="0" w:line="237" w:lineRule="auto"/>
        <w:rPr>
          <w:sz w:val="20"/>
          <w:szCs w:val="20"/>
          <w:color w:val="auto"/>
        </w:rPr>
      </w:pPr>
      <w:r>
        <w:rPr>
          <w:rFonts w:ascii="Times New Roman" w:cs="Times New Roman" w:eastAsia="Times New Roman" w:hAnsi="Times New Roman"/>
          <w:sz w:val="14"/>
          <w:szCs w:val="14"/>
          <w:color w:val="auto"/>
        </w:rPr>
        <w:t>will continue to be available to the Company as a result of the Reorganization Transactions, exchanges of membership interests for Class A Common Stock or Class B common stock, par value</w:t>
      </w:r>
    </w:p>
    <w:p>
      <w:pPr>
        <w:spacing w:after="0" w:line="237" w:lineRule="auto"/>
        <w:rPr>
          <w:sz w:val="20"/>
          <w:szCs w:val="20"/>
          <w:color w:val="auto"/>
        </w:rPr>
      </w:pPr>
      <w:r>
        <w:rPr>
          <w:rFonts w:ascii="Times New Roman" w:cs="Times New Roman" w:eastAsia="Times New Roman" w:hAnsi="Times New Roman"/>
          <w:sz w:val="14"/>
          <w:szCs w:val="14"/>
          <w:color w:val="auto"/>
        </w:rPr>
        <w:t>$0.00001 per share (the “Class B Common Stock”), (an “Exchange”), and payments made under the tax receivable agreements. An Exchange during the year will give rise to favorable tax attributes</w:t>
      </w:r>
    </w:p>
    <w:p>
      <w:pPr>
        <w:spacing w:after="0" w:line="237" w:lineRule="auto"/>
        <w:rPr>
          <w:sz w:val="20"/>
          <w:szCs w:val="20"/>
          <w:color w:val="auto"/>
        </w:rPr>
      </w:pPr>
      <w:r>
        <w:rPr>
          <w:rFonts w:ascii="Times New Roman" w:cs="Times New Roman" w:eastAsia="Times New Roman" w:hAnsi="Times New Roman"/>
          <w:sz w:val="14"/>
          <w:szCs w:val="14"/>
          <w:color w:val="auto"/>
        </w:rPr>
        <w:t>that may generate cash tax savings specific to the Exchange to be realized over a specific period of time (generally 15 years). At each Exchange, management estimates the Company’s cumulative</w:t>
      </w:r>
    </w:p>
    <w:p>
      <w:pPr>
        <w:spacing w:after="0" w:line="238" w:lineRule="auto"/>
        <w:rPr>
          <w:sz w:val="20"/>
          <w:szCs w:val="20"/>
          <w:color w:val="auto"/>
        </w:rPr>
      </w:pPr>
      <w:r>
        <w:rPr>
          <w:rFonts w:ascii="Times New Roman" w:cs="Times New Roman" w:eastAsia="Times New Roman" w:hAnsi="Times New Roman"/>
          <w:sz w:val="14"/>
          <w:szCs w:val="14"/>
          <w:color w:val="auto"/>
        </w:rPr>
        <w:t>TRA obligations to be reported on the Consolidated Statements of Financial Condition, which amounted to $181.9 million and $196.6 million as of December 31, 2025 and December 31, 2024,</w:t>
      </w:r>
    </w:p>
    <w:p>
      <w:pPr>
        <w:spacing w:after="0" w:line="221" w:lineRule="auto"/>
        <w:rPr>
          <w:sz w:val="20"/>
          <w:szCs w:val="20"/>
          <w:color w:val="auto"/>
        </w:rPr>
      </w:pPr>
      <w:r>
        <w:rPr>
          <w:rFonts w:ascii="Times New Roman" w:cs="Times New Roman" w:eastAsia="Times New Roman" w:hAnsi="Times New Roman"/>
          <w:sz w:val="14"/>
          <w:szCs w:val="14"/>
          <w:color w:val="auto"/>
        </w:rPr>
        <w:t>respectively. The tax attributes are computed as the difference between the Company’s basis in the partnership interest (“outside basis”) as compared to the Company’s share of the adjusted tax basis</w:t>
      </w:r>
    </w:p>
    <w:p>
      <w:pPr>
        <w:spacing w:after="0" w:line="237" w:lineRule="auto"/>
        <w:rPr>
          <w:sz w:val="20"/>
          <w:szCs w:val="20"/>
          <w:color w:val="auto"/>
        </w:rPr>
      </w:pPr>
      <w:r>
        <w:rPr>
          <w:rFonts w:ascii="Times New Roman" w:cs="Times New Roman" w:eastAsia="Times New Roman" w:hAnsi="Times New Roman"/>
          <w:sz w:val="14"/>
          <w:szCs w:val="14"/>
          <w:color w:val="auto"/>
        </w:rPr>
        <w:t>of partnership property (“inside basis”) at the time of each Exchange. The computation of inside basis requires management to make judgments in estimating the components included in the inside</w:t>
      </w:r>
    </w:p>
    <w:p>
      <w:pPr>
        <w:spacing w:after="0" w:line="237" w:lineRule="auto"/>
        <w:rPr>
          <w:sz w:val="20"/>
          <w:szCs w:val="20"/>
          <w:color w:val="auto"/>
        </w:rPr>
      </w:pPr>
      <w:r>
        <w:rPr>
          <w:rFonts w:ascii="Times New Roman" w:cs="Times New Roman" w:eastAsia="Times New Roman" w:hAnsi="Times New Roman"/>
          <w:sz w:val="14"/>
          <w:szCs w:val="14"/>
          <w:color w:val="auto"/>
        </w:rPr>
        <w:t>basis as of the date of the Exchange (i.e., cash received by the Company on hypothetical sale of assets, allocation of gain/loss to the Company at the time of the Exchange taking into account complex</w:t>
      </w:r>
    </w:p>
    <w:p>
      <w:pPr>
        <w:spacing w:after="0" w:line="238" w:lineRule="auto"/>
        <w:rPr>
          <w:sz w:val="20"/>
          <w:szCs w:val="20"/>
          <w:color w:val="auto"/>
        </w:rPr>
      </w:pPr>
      <w:r>
        <w:rPr>
          <w:rFonts w:ascii="Times New Roman" w:cs="Times New Roman" w:eastAsia="Times New Roman" w:hAnsi="Times New Roman"/>
          <w:sz w:val="14"/>
          <w:szCs w:val="14"/>
          <w:color w:val="auto"/>
        </w:rPr>
        <w:t>partnership tax rules). In addition, management estimates the period of time that may generate cash tax savings of such tax attributes and the realizability of the tax attributes. Payments will occur</w:t>
      </w:r>
    </w:p>
    <w:p>
      <w:pPr>
        <w:spacing w:after="0" w:line="237" w:lineRule="auto"/>
        <w:rPr>
          <w:sz w:val="20"/>
          <w:szCs w:val="20"/>
          <w:color w:val="auto"/>
        </w:rPr>
      </w:pPr>
      <w:r>
        <w:rPr>
          <w:rFonts w:ascii="Times New Roman" w:cs="Times New Roman" w:eastAsia="Times New Roman" w:hAnsi="Times New Roman"/>
          <w:sz w:val="14"/>
          <w:szCs w:val="14"/>
          <w:color w:val="auto"/>
        </w:rPr>
        <w:t>only after the filing of the U.S. federal and state income tax returns and realization of the cash tax savings from the favorable tax attributes. The Company made payments totaling $134.8 million from</w:t>
      </w:r>
    </w:p>
    <w:p>
      <w:pPr>
        <w:spacing w:after="0"/>
        <w:rPr>
          <w:sz w:val="20"/>
          <w:szCs w:val="20"/>
          <w:color w:val="auto"/>
        </w:rPr>
      </w:pPr>
      <w:r>
        <w:rPr>
          <w:rFonts w:ascii="Times New Roman" w:cs="Times New Roman" w:eastAsia="Times New Roman" w:hAnsi="Times New Roman"/>
          <w:sz w:val="14"/>
          <w:szCs w:val="14"/>
          <w:color w:val="auto"/>
        </w:rPr>
        <w:t>February 2017 through December 2025 with respect to its TRA obligation.</w:t>
      </w:r>
    </w:p>
    <w:p>
      <w:pPr>
        <w:spacing w:after="0" w:line="17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4"/>
          <w:szCs w:val="14"/>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in connection with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$0.3 million to $22.5 million per year over the next 15 years.</w:t>
      </w:r>
    </w:p>
    <w:p>
      <w:pPr>
        <w:spacing w:after="0" w:line="16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At December 31, 2025 and December 31, 2024, the Company’s remaining deferred tax assets that relate to the matters described above were approximately $91.4 million and $114.4 million, respectively, and the Company’s liabilities over the next 15 years pursuant to the tax receivable agreements were approximately $181.9 million and $196.6 million for December 31, 2025 and December 31, 2024, respectively. The amounts recorded as of December 31, 2025 and December 31, 2024 are based on best estimates available at the respective dates and may be subject to change after the filing of the Company’s U.S. federal and state income tax returns for the years in which tax savings were realized.</w:t>
      </w:r>
    </w:p>
    <w:p>
      <w:pPr>
        <w:spacing w:after="0" w:line="170" w:lineRule="exact"/>
        <w:rPr>
          <w:sz w:val="20"/>
          <w:szCs w:val="20"/>
          <w:color w:val="auto"/>
        </w:rPr>
      </w:pPr>
    </w:p>
    <w:p>
      <w:pPr>
        <w:ind w:right="140" w:firstLine="509"/>
        <w:spacing w:after="0" w:line="249" w:lineRule="auto"/>
        <w:rPr>
          <w:sz w:val="20"/>
          <w:szCs w:val="20"/>
          <w:color w:val="auto"/>
        </w:rPr>
      </w:pPr>
      <w:r>
        <w:rPr>
          <w:rFonts w:ascii="Times New Roman" w:cs="Times New Roman" w:eastAsia="Times New Roman" w:hAnsi="Times New Roman"/>
          <w:sz w:val="14"/>
          <w:szCs w:val="14"/>
          <w:color w:val="auto"/>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Consolidated Statements of Comprehensive Income.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Goodwill and Intangible Assets</w:t>
      </w:r>
    </w:p>
    <w:p>
      <w:pPr>
        <w:spacing w:after="0" w:line="202"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Company has two operating segments: (i) Market Making; and (ii) Execution Services; and one non-operating segment: Corporate. As of December 31, 2025 and December 31, 2024, the Company’s total amount of goodwill recorded was $1,148.9 million. No goodwill impairment was recognized during the years ended December 31, 2025 and 2024.</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details of goodwill by segment as of December 31, 2025 and December 31, 2024:</w:t>
      </w:r>
    </w:p>
    <w:p>
      <w:pPr>
        <w:spacing w:after="0" w:line="36" w:lineRule="exact"/>
        <w:rPr>
          <w:sz w:val="20"/>
          <w:szCs w:val="20"/>
          <w:color w:val="auto"/>
        </w:rPr>
      </w:pPr>
    </w:p>
    <w:tbl>
      <w:tblPr>
        <w:tblLayout w:type="fixed"/>
        <w:tblInd w:w="280" w:type="dxa"/>
        <w:tblCellMar>
          <w:top w:w="0" w:type="dxa"/>
          <w:left w:w="0" w:type="dxa"/>
          <w:bottom w:w="0" w:type="dxa"/>
          <w:right w:w="0" w:type="dxa"/>
        </w:tblCellMar>
      </w:tblPr>
      <w:tr>
        <w:trPr>
          <w:trHeight w:val="15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4"/>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as of period-end</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755,292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393,634</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1,148,926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99" w:name="page100"/>
    <w:bookmarkEnd w:id="99"/>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and December 31, 2024, the Company’s total amount of intangible assets recorded was $154.9 million and $203.2 million, respectively. Acquired intangible assets consisted of the following as of December 31, 2025 and December 31, 2024:</w:t>
      </w:r>
    </w:p>
    <w:p>
      <w:pPr>
        <w:spacing w:after="0" w:line="67"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80" w:type="dxa"/>
            <w:vAlign w:val="bottom"/>
          </w:tcPr>
          <w:p>
            <w:pPr>
              <w:spacing w:after="0"/>
              <w:rPr>
                <w:sz w:val="9"/>
                <w:szCs w:val="9"/>
                <w:color w:val="auto"/>
              </w:rPr>
            </w:pPr>
          </w:p>
        </w:tc>
        <w:tc>
          <w:tcPr>
            <w:tcW w:w="120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9"/>
                <w:szCs w:val="9"/>
                <w:color w:val="auto"/>
              </w:rPr>
            </w:pPr>
          </w:p>
        </w:tc>
        <w:tc>
          <w:tcPr>
            <w:tcW w:w="11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Useful Lives</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040" w:type="dxa"/>
            <w:vAlign w:val="bottom"/>
            <w:gridSpan w:val="2"/>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Customer relationships</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479,130</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(328,411)</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150,719</w:t>
            </w: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0"/>
              </w:rPr>
              <w:t>10</w:t>
            </w: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tcBorders>
              <w:top w:val="single" w:sz="8" w:color="auto"/>
            </w:tcBorders>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color w:val="auto"/>
                <w:w w:val="90"/>
              </w:rPr>
              <w:t>12</w:t>
            </w: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Technology</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136,000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color w:val="auto"/>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Favorable occupancy leases</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5,895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214</w:t>
            </w:r>
          </w:p>
        </w:tc>
        <w:tc>
          <w:tcPr>
            <w:tcW w:w="54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color w:val="auto"/>
                <w:w w:val="90"/>
              </w:rPr>
              <w:t>15</w:t>
            </w: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Exchange memberships</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3,998</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Trade name</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ETF issuer relationships</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ETF buyer relationships</w:t>
            </w:r>
          </w:p>
        </w:tc>
        <w:tc>
          <w:tcPr>
            <w:tcW w:w="4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630,523</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(475,592)</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154,931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200" w:type="dxa"/>
            <w:vAlign w:val="bottom"/>
          </w:tcPr>
          <w:p>
            <w:pPr>
              <w:spacing w:after="0"/>
              <w:rPr>
                <w:sz w:val="9"/>
                <w:szCs w:val="9"/>
                <w:color w:val="auto"/>
              </w:rPr>
            </w:pPr>
          </w:p>
        </w:tc>
        <w:tc>
          <w:tcPr>
            <w:tcW w:w="118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9"/>
                <w:szCs w:val="9"/>
                <w:color w:val="auto"/>
              </w:rPr>
            </w:pPr>
          </w:p>
        </w:tc>
        <w:tc>
          <w:tcPr>
            <w:tcW w:w="11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Useful Lives</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040" w:type="dxa"/>
            <w:vAlign w:val="bottom"/>
            <w:gridSpan w:val="2"/>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Customer relationships</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479,130</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(281,315)</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197,815</w:t>
            </w: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0"/>
              </w:rPr>
              <w:t>10</w:t>
            </w: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tcBorders>
              <w:top w:val="single" w:sz="8" w:color="auto"/>
            </w:tcBorders>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color w:val="auto"/>
                <w:w w:val="90"/>
              </w:rPr>
              <w:t>12</w:t>
            </w: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Technology</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color w:val="auto"/>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Favorable occupancy leases</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5,895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54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color w:val="auto"/>
                <w:w w:val="90"/>
              </w:rPr>
              <w:t>15</w:t>
            </w: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Exchange memberships</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3,998</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Trade name</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ETF issuer relationships</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ETF buyer relationships</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631,648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(428,460)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203,188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At December 31, 2024, as described in Note 3 “Sale of RFQ-hub”, the Company reclassified an aggregated net carrying amount of $3.5 million ($7.5 million of gross carrying amount net of $4.0 million accumulated amortization) from Intangible assets to Assets of business held for sale. The sale of RFQ-hub was completed on May 9, 2025, and the Company disposed of these Assets of business held for sale at such time.</w:t>
      </w:r>
    </w:p>
    <w:p>
      <w:pPr>
        <w:spacing w:after="0" w:line="157"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Amortization expense relating to finite-lived intangible assets was approximately $47.1 million, $50.5 million, and $64.0 million for the years ended December 31, 2025, 2024, and 2023, respectively. This is included in Amortization of purchased intangibles and acquired capitalized software in the accompanying Consolidated Statements of Comprehensive Income.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expects to record amortization expense as follows over the next five subsequent years:</w:t>
      </w:r>
    </w:p>
    <w:p>
      <w:pPr>
        <w:spacing w:after="0" w:line="36" w:lineRule="exact"/>
        <w:rPr>
          <w:sz w:val="20"/>
          <w:szCs w:val="20"/>
          <w:color w:val="auto"/>
        </w:rPr>
      </w:pPr>
    </w:p>
    <w:tbl>
      <w:tblPr>
        <w:tblLayout w:type="fixed"/>
        <w:tblInd w:w="3420" w:type="dxa"/>
        <w:tblCellMar>
          <w:top w:w="0" w:type="dxa"/>
          <w:left w:w="0" w:type="dxa"/>
          <w:bottom w:w="0" w:type="dxa"/>
          <w:right w:w="0" w:type="dxa"/>
        </w:tblCellMar>
      </w:tblPr>
      <w:tr>
        <w:trPr>
          <w:trHeight w:val="158"/>
        </w:trPr>
        <w:tc>
          <w:tcPr>
            <w:tcW w:w="1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9"/>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2026</w:t>
            </w:r>
          </w:p>
        </w:tc>
        <w:tc>
          <w:tcPr>
            <w:tcW w:w="18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47,132</w:t>
            </w:r>
          </w:p>
        </w:tc>
      </w:tr>
      <w:tr>
        <w:trPr>
          <w:trHeight w:val="153"/>
        </w:trPr>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2027</w:t>
            </w:r>
          </w:p>
        </w:tc>
        <w:tc>
          <w:tcPr>
            <w:tcW w:w="186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47,132</w:t>
            </w:r>
          </w:p>
        </w:tc>
      </w:tr>
      <w:tr>
        <w:trPr>
          <w:trHeight w:val="165"/>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2028</w:t>
            </w:r>
          </w:p>
        </w:tc>
        <w:tc>
          <w:tcPr>
            <w:tcW w:w="18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47,132</w:t>
            </w:r>
          </w:p>
        </w:tc>
      </w:tr>
      <w:tr>
        <w:trPr>
          <w:trHeight w:val="153"/>
        </w:trPr>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2029</w:t>
            </w:r>
          </w:p>
        </w:tc>
        <w:tc>
          <w:tcPr>
            <w:tcW w:w="186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9,466</w:t>
            </w:r>
          </w:p>
        </w:tc>
      </w:tr>
      <w:tr>
        <w:trPr>
          <w:trHeight w:val="165"/>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2030</w:t>
            </w:r>
          </w:p>
        </w:tc>
        <w:tc>
          <w:tcPr>
            <w:tcW w:w="18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0"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t>7. Receivables from/Payables to Broker-Dealers and Clearing Organizations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summary of receivables from and payables to brokers-dealers and clearing organizations at December 31, 2025 and December 31, 2024:</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Pr>
          <w:p>
            <w:pPr>
              <w:spacing w:after="0"/>
              <w:rPr>
                <w:sz w:val="13"/>
                <w:szCs w:val="13"/>
                <w:color w:val="auto"/>
              </w:rPr>
            </w:pPr>
          </w:p>
        </w:tc>
        <w:tc>
          <w:tcPr>
            <w:tcW w:w="154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Due from prime brokers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902,859</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344,662</w:t>
            </w:r>
          </w:p>
        </w:tc>
      </w:tr>
      <w:tr>
        <w:trPr>
          <w:trHeight w:val="165"/>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Deposits with clearing organizations</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253,010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223,582</w:t>
            </w: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equity with futures commission merchants</w:t>
            </w:r>
          </w:p>
        </w:tc>
        <w:tc>
          <w:tcPr>
            <w:tcW w:w="26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455,105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199,771</w:t>
            </w:r>
          </w:p>
        </w:tc>
      </w:tr>
      <w:tr>
        <w:trPr>
          <w:trHeight w:val="165"/>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Unsettled trades with clearing organizations</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17,239</w:t>
            </w: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failed to deliver</w:t>
            </w:r>
          </w:p>
        </w:tc>
        <w:tc>
          <w:tcPr>
            <w:tcW w:w="26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220,326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274,072</w:t>
            </w:r>
          </w:p>
        </w:tc>
      </w:tr>
      <w:tr>
        <w:trPr>
          <w:trHeight w:val="15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Commissions and fees</w:t>
            </w:r>
          </w:p>
        </w:tc>
        <w:tc>
          <w:tcPr>
            <w:tcW w:w="26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36,751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41,524</w:t>
            </w:r>
          </w:p>
        </w:tc>
      </w:tr>
      <w:tr>
        <w:trPr>
          <w:trHeight w:val="156"/>
        </w:trPr>
        <w:tc>
          <w:tcPr>
            <w:tcW w:w="70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receivables from broker-dealers and clearing organizations</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1,896,405</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1,100,850</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1"/>
        </w:trPr>
        <w:tc>
          <w:tcPr>
            <w:tcW w:w="6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54"/>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4"/>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Due to prime brokers</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612,679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583,914</w:t>
            </w: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equity with futures commission merchants (1)</w:t>
            </w: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(16,651)</w:t>
            </w:r>
          </w:p>
        </w:tc>
      </w:tr>
      <w:tr>
        <w:trPr>
          <w:trHeight w:val="165"/>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Unsettled trades with clearing organizations</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238,872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251,036</w:t>
            </w: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failed to receive</w:t>
            </w:r>
          </w:p>
        </w:tc>
        <w:tc>
          <w:tcPr>
            <w:tcW w:w="26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145,548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94,941</w:t>
            </w:r>
          </w:p>
        </w:tc>
      </w:tr>
      <w:tr>
        <w:trPr>
          <w:trHeight w:val="15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Commissions and fees</w:t>
            </w:r>
          </w:p>
        </w:tc>
        <w:tc>
          <w:tcPr>
            <w:tcW w:w="26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5,455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5,326</w:t>
            </w:r>
          </w:p>
        </w:tc>
      </w:tr>
      <w:tr>
        <w:trPr>
          <w:trHeight w:val="156"/>
        </w:trPr>
        <w:tc>
          <w:tcPr>
            <w:tcW w:w="70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payables to broker-dealers and clearing organizations</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998,276</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918,566</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260" w:right="60" w:hanging="255"/>
        <w:spacing w:after="0" w:line="295" w:lineRule="auto"/>
        <w:tabs>
          <w:tab w:leader="none" w:pos="22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Included as a deduction from “Due from prime brokers” and “Net equity with futures commission merchants” is the outstanding principal balance on all of the Company’s prime brokerage credit facilities (described in Note 9 “Borrowings”) of approximately $203.8 million and $123.0 million as of December 31, 2025 and December 31, 2024,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Collateralized Transactions</w:t>
      </w:r>
    </w:p>
    <w:p>
      <w:pPr>
        <w:spacing w:after="0" w:line="20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2025 and December 31, 2024, substantially all of the securities received as collateral have been repledged.</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 of the collateralized transactions at December 31, 2025 and December 31, 2024 are summarized as follows: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7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20" w:type="dxa"/>
            <w:vAlign w:val="bottom"/>
          </w:tcPr>
          <w:p>
            <w:pPr>
              <w:spacing w:after="0"/>
              <w:rPr>
                <w:sz w:val="13"/>
                <w:szCs w:val="13"/>
                <w:color w:val="auto"/>
              </w:rPr>
            </w:pPr>
          </w:p>
        </w:tc>
        <w:tc>
          <w:tcPr>
            <w:tcW w:w="14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Securities received as collateral:</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r>
      <w:tr>
        <w:trPr>
          <w:trHeight w:val="153"/>
        </w:trPr>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Securities borrowed</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3,083,612</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2,222,054</w:t>
            </w:r>
          </w:p>
        </w:tc>
      </w:tr>
      <w:tr>
        <w:trPr>
          <w:trHeight w:val="159"/>
        </w:trPr>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988,274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983,753</w:t>
            </w:r>
          </w:p>
        </w:tc>
      </w:tr>
      <w:tr>
        <w:trPr>
          <w:trHeight w:val="150"/>
        </w:trPr>
        <w:tc>
          <w:tcPr>
            <w:tcW w:w="7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4,071,886</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3,205,807</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the normal course of business, the Company pledges qualified securities with clearing organizations to satisfy daily margin and clearing fund requirements.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Financial instruments owned and pledged, where the counterparty has the right to repledge, at December 31, 2025 and December 31, 2024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12" w:right="419" w:bottom="1440" w:gutter="0" w:footer="0" w:header="0"/>
        </w:sectPr>
      </w:pPr>
    </w:p>
    <w:bookmarkStart w:id="101" w:name="page102"/>
    <w:bookmarkEnd w:id="101"/>
    <w:tbl>
      <w:tblPr>
        <w:tblLayout w:type="fixed"/>
        <w:tblInd w:w="160" w:type="dxa"/>
        <w:tblCellMar>
          <w:top w:w="0" w:type="dxa"/>
          <w:left w:w="0" w:type="dxa"/>
          <w:bottom w:w="0" w:type="dxa"/>
          <w:right w:w="0" w:type="dxa"/>
        </w:tblCellMar>
      </w:tblPr>
      <w:tr>
        <w:trPr>
          <w:trHeight w:val="158"/>
        </w:trPr>
        <w:tc>
          <w:tcPr>
            <w:tcW w:w="7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20" w:type="dxa"/>
            <w:vAlign w:val="bottom"/>
          </w:tcPr>
          <w:p>
            <w:pPr>
              <w:spacing w:after="0"/>
              <w:rPr>
                <w:sz w:val="13"/>
                <w:szCs w:val="13"/>
                <w:color w:val="auto"/>
              </w:rPr>
            </w:pPr>
          </w:p>
        </w:tc>
        <w:tc>
          <w:tcPr>
            <w:tcW w:w="14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Equities</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3,200,345</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2,269,299</w:t>
            </w:r>
          </w:p>
        </w:tc>
      </w:tr>
      <w:tr>
        <w:trPr>
          <w:trHeight w:val="153"/>
        </w:trPr>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Exchange traded notes</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13,338</w:t>
            </w:r>
          </w:p>
        </w:tc>
      </w:tr>
      <w:tr>
        <w:trPr>
          <w:trHeight w:val="175"/>
        </w:trPr>
        <w:tc>
          <w:tcPr>
            <w:tcW w:w="7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3,208,525</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2,282,637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Borrowings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Short-term Borrowings, net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summarizes the Company’s short-term borrowing balances outstanding, net of related debt issuance costs, with each described in further detail below.</w:t>
      </w:r>
    </w:p>
    <w:p>
      <w:pPr>
        <w:spacing w:after="0" w:line="36" w:lineRule="exact"/>
        <w:rPr>
          <w:sz w:val="20"/>
          <w:szCs w:val="20"/>
          <w:color w:val="auto"/>
        </w:rPr>
      </w:pPr>
    </w:p>
    <w:tbl>
      <w:tblPr>
        <w:tblLayout w:type="fixed"/>
        <w:tblInd w:w="86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5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Borrowing Outstanding</w:t>
            </w:r>
          </w:p>
        </w:tc>
        <w:tc>
          <w:tcPr>
            <w:tcW w:w="80" w:type="dxa"/>
            <w:vAlign w:val="bottom"/>
          </w:tcPr>
          <w:p>
            <w:pPr>
              <w:spacing w:after="0"/>
              <w:rPr>
                <w:sz w:val="13"/>
                <w:szCs w:val="13"/>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Deferred Debt Issuance Cost</w:t>
            </w:r>
          </w:p>
        </w:tc>
        <w:tc>
          <w:tcPr>
            <w:tcW w:w="12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Short-term Borrowings, net</w:t>
            </w:r>
          </w:p>
        </w:tc>
      </w:tr>
      <w:tr>
        <w:trPr>
          <w:trHeight w:val="155"/>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r>
      <w:tr>
        <w:trPr>
          <w:trHeight w:val="15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Short-term bank loans</w:t>
            </w:r>
          </w:p>
        </w:tc>
        <w:tc>
          <w:tcPr>
            <w:tcW w:w="1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2,382</w:t>
            </w:r>
          </w:p>
        </w:tc>
      </w:tr>
      <w:tr>
        <w:trPr>
          <w:trHeight w:val="175"/>
        </w:trPr>
        <w:tc>
          <w:tcPr>
            <w:tcW w:w="44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12,382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12,382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tbl>
      <w:tblPr>
        <w:tblLayout w:type="fixed"/>
        <w:tblInd w:w="86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5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Borrowing Outstanding</w:t>
            </w:r>
          </w:p>
        </w:tc>
        <w:tc>
          <w:tcPr>
            <w:tcW w:w="80" w:type="dxa"/>
            <w:vAlign w:val="bottom"/>
          </w:tcPr>
          <w:p>
            <w:pPr>
              <w:spacing w:after="0"/>
              <w:rPr>
                <w:sz w:val="13"/>
                <w:szCs w:val="13"/>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Deferred Debt Issuance Cost</w:t>
            </w:r>
          </w:p>
        </w:tc>
        <w:tc>
          <w:tcPr>
            <w:tcW w:w="12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Short-term Borrowings, net</w:t>
            </w:r>
          </w:p>
        </w:tc>
      </w:tr>
      <w:tr>
        <w:trPr>
          <w:trHeight w:val="155"/>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r>
      <w:tr>
        <w:trPr>
          <w:trHeight w:val="15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Short-term bank loans</w:t>
            </w:r>
          </w:p>
        </w:tc>
        <w:tc>
          <w:tcPr>
            <w:tcW w:w="1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28,541</w:t>
            </w:r>
          </w:p>
        </w:tc>
      </w:tr>
      <w:tr>
        <w:trPr>
          <w:trHeight w:val="175"/>
        </w:trPr>
        <w:tc>
          <w:tcPr>
            <w:tcW w:w="44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38,541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38,541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Broker-Dealer Credit Facilities</w:t>
      </w:r>
    </w:p>
    <w:p>
      <w:pPr>
        <w:spacing w:after="0" w:line="20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The Company is a party to two secured credit facilities with a financial institution to finance overnight securities positions purchased as part of its ordinary course U.S.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which was amended to $350 million in February 2025, and bear interest at the adjusted SOFR or base rate plus 2.50% per annum. A commitment fee of 0.50% per annum on the average daily unused portion of this facility is payable quarterly in arrears.</w:t>
      </w:r>
    </w:p>
    <w:p>
      <w:pPr>
        <w:spacing w:after="0" w:line="168"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Virtu Financial Singapore Pte. Ltd. is a party to a revolving credit facility with a financial institution (the “Overdraft Facility”) to provide a source of short-term financing. The facility has an aggregate borrowing limit of $10 million, and bears interest at the adjusted SOFR or base rate plus 3.5% per annum.</w:t>
      </w:r>
    </w:p>
    <w:p>
      <w:pPr>
        <w:spacing w:after="0" w:line="14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summarizes the Company’s broker-dealer credit facilities’ carrying values, net of unamortized debt issuance costs, where applicable. These balances are included within Short-term borrowings on the Consolidated Statements of Financial Condition.</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At December 31, 2025</w:t>
            </w:r>
          </w:p>
        </w:tc>
        <w:tc>
          <w:tcPr>
            <w:tcW w:w="6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4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Financing Available</w:t>
            </w: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Borrowing Outstanding</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Deferred Debt Issuance Cost</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Outstanding Borrowings, net</w:t>
            </w:r>
          </w:p>
        </w:tc>
      </w:tr>
      <w:tr>
        <w:trPr>
          <w:trHeight w:val="155"/>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Uncommitted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4.81%</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Committed facility (1)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Overdraft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r>
      <w:tr>
        <w:trPr>
          <w:trHeight w:val="175"/>
        </w:trPr>
        <w:tc>
          <w:tcPr>
            <w:tcW w:w="36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20" w:right="180" w:firstLine="10"/>
        <w:spacing w:after="0" w:line="249" w:lineRule="auto"/>
        <w:tabs>
          <w:tab w:leader="none" w:pos="16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$2.5 million of deferred debt issuance costs are included within Other assets on the Consolidated Statements of Financial Condition. Interest rate for Borrowing Base A Loan and Borrowing Base B Loan under the Committed Facility was 5.09% and 6.58%, respectively. There was no balance outstanding under Borrowing Base B Loan as of December 31, 2025.</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At December 31, 2024</w:t>
            </w:r>
          </w:p>
        </w:tc>
        <w:tc>
          <w:tcPr>
            <w:tcW w:w="6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4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Financing Available</w:t>
            </w: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Borrowing Outstanding</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Deferred Debt Issuance Cost</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Outstanding Borrowings, net</w:t>
            </w:r>
          </w:p>
        </w:tc>
      </w:tr>
      <w:tr>
        <w:trPr>
          <w:trHeight w:val="155"/>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Uncommitted facility (1)</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Committed facility (2)</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Overdraft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r>
      <w:tr>
        <w:trPr>
          <w:trHeight w:val="157"/>
        </w:trPr>
        <w:tc>
          <w:tcPr>
            <w:tcW w:w="36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r>
    </w:tbl>
    <w:p>
      <w:pPr>
        <w:ind w:left="160" w:hanging="130"/>
        <w:spacing w:after="0"/>
        <w:tabs>
          <w:tab w:leader="none" w:pos="16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$0.3 million of deferred debt issuance costs are included within Other assets on the Consolidated Statements of Financial Condition.</w:t>
      </w:r>
    </w:p>
    <w:p>
      <w:pPr>
        <w:spacing w:after="0" w:line="20" w:lineRule="exact"/>
        <w:rPr>
          <w:rFonts w:ascii="Times New Roman" w:cs="Times New Roman" w:eastAsia="Times New Roman" w:hAnsi="Times New Roman"/>
          <w:sz w:val="10"/>
          <w:szCs w:val="10"/>
          <w:color w:val="auto"/>
        </w:rPr>
      </w:pPr>
    </w:p>
    <w:p>
      <w:pPr>
        <w:ind w:left="160" w:hanging="130"/>
        <w:spacing w:after="0"/>
        <w:tabs>
          <w:tab w:leader="none" w:pos="16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Interest rate for Borrowing Base A Loan and Borrowing Base B Loan under the Committed Facility was 5.75% and 7.00%, respectively. There was no balance outstanding under Borrowing Base B Loan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-151765</wp:posOffset>
            </wp:positionV>
            <wp:extent cx="382016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20160" cy="6985"/>
                    </a:xfrm>
                    <a:prstGeom prst="rect">
                      <a:avLst/>
                    </a:prstGeom>
                    <a:noFill/>
                  </pic:spPr>
                </pic:pic>
              </a:graphicData>
            </a:graphic>
          </wp:anchor>
        </w:drawing>
      </w:r>
    </w:p>
    <w:p>
      <w:pPr>
        <w:spacing w:after="0" w:line="267"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following summarizes interest expense for the broker-dealer facilities. Interest expense is included within Interest and dividends expense in the accompanying Consolidated Statements of Comprehensive Income.</w:t>
      </w:r>
    </w:p>
    <w:p>
      <w:pPr>
        <w:spacing w:after="0" w:line="173" w:lineRule="exact"/>
        <w:rPr>
          <w:sz w:val="20"/>
          <w:szCs w:val="20"/>
          <w:color w:val="auto"/>
        </w:rPr>
      </w:pPr>
    </w:p>
    <w:tbl>
      <w:tblPr>
        <w:tblLayout w:type="fixed"/>
        <w:tblInd w:w="2300" w:type="dxa"/>
        <w:tblCellMar>
          <w:top w:w="0" w:type="dxa"/>
          <w:left w:w="0" w:type="dxa"/>
          <w:bottom w:w="0" w:type="dxa"/>
          <w:right w:w="0" w:type="dxa"/>
        </w:tblCellMar>
      </w:tblPr>
      <w:tr>
        <w:trPr>
          <w:trHeight w:val="158"/>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4"/>
        </w:trPr>
        <w:tc>
          <w:tcPr>
            <w:tcW w:w="2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3"/>
                <w:szCs w:val="13"/>
                <w:color w:val="auto"/>
              </w:rPr>
            </w:pPr>
          </w:p>
        </w:tc>
        <w:tc>
          <w:tcPr>
            <w:tcW w:w="106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53"/>
        </w:trPr>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Uncommitted facility</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4,399</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3,823</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5,431</w:t>
            </w:r>
          </w:p>
        </w:tc>
      </w:tr>
      <w:tr>
        <w:trPr>
          <w:trHeight w:val="165"/>
        </w:trPr>
        <w:tc>
          <w:tcPr>
            <w:tcW w:w="2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Committed facility</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3,614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533</w:t>
            </w:r>
          </w:p>
        </w:tc>
      </w:tr>
      <w:tr>
        <w:trPr>
          <w:trHeight w:val="153"/>
        </w:trPr>
        <w:tc>
          <w:tcPr>
            <w:tcW w:w="2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Overdraft facility</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671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274</w:t>
            </w:r>
          </w:p>
        </w:tc>
      </w:tr>
      <w:tr>
        <w:trPr>
          <w:trHeight w:val="175"/>
        </w:trPr>
        <w:tc>
          <w:tcPr>
            <w:tcW w:w="2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8,427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7,909</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6,238</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Bank Loans</w:t>
      </w:r>
    </w:p>
    <w:p>
      <w:pPr>
        <w:spacing w:after="0" w:line="202" w:lineRule="exact"/>
        <w:rPr>
          <w:sz w:val="20"/>
          <w:szCs w:val="20"/>
          <w:color w:val="auto"/>
        </w:rPr>
      </w:pPr>
    </w:p>
    <w:p>
      <w:pPr>
        <w:jc w:val="both"/>
        <w:ind w:right="60" w:firstLine="509"/>
        <w:spacing w:after="0" w:line="264" w:lineRule="auto"/>
        <w:rPr>
          <w:sz w:val="20"/>
          <w:szCs w:val="20"/>
          <w:color w:val="auto"/>
        </w:rPr>
      </w:pPr>
      <w:r>
        <w:rPr>
          <w:rFonts w:ascii="Times New Roman" w:cs="Times New Roman" w:eastAsia="Times New Roman" w:hAnsi="Times New Roman"/>
          <w:sz w:val="14"/>
          <w:szCs w:val="14"/>
          <w:color w:val="auto"/>
        </w:rPr>
        <w:t>The Company’s international securities clearance and settlement activities are funded with operating cash or with short-term bank loans in the form of overdraft facilities. At December 31, 2025 and December 31, 2024, there were $2.4 million and $28.5 million, respectively, of short-term bank loans associated with international settlement activities outstanding under these facilities, at a weighted average interest rate of approximately 1.3% and 5.0%, respectively. Outstanding short-term bank loan balances are included within Short-term borrowings on the Consolidated Statements of Financial Condition.</w:t>
      </w:r>
    </w:p>
    <w:p>
      <w:pPr>
        <w:spacing w:after="0" w:line="16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In November 2024, Virtu Financial Singapore Pte. Ltd. entered into an agreement with a financial institution for a short-term bank loan with a total capacity of $50.0 million. At December 31, 2025 and December 31, 2024, there was no balance outstanding under this short-term bank loan.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Prime Brokerage Credit Facilities</w:t>
      </w:r>
    </w:p>
    <w:p>
      <w:pPr>
        <w:spacing w:after="0" w:line="202"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At December 31, 2025</w:t>
            </w: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34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340" w:type="dxa"/>
            <w:vAlign w:val="bottom"/>
          </w:tcPr>
          <w:p>
            <w:pPr>
              <w:spacing w:after="0"/>
              <w:rPr>
                <w:sz w:val="9"/>
                <w:szCs w:val="9"/>
                <w:color w:val="auto"/>
              </w:rPr>
            </w:pPr>
          </w:p>
        </w:tc>
        <w:tc>
          <w:tcPr>
            <w:tcW w:w="2020" w:type="dxa"/>
            <w:vAlign w:val="bottom"/>
            <w:gridSpan w:val="2"/>
          </w:tcPr>
          <w:p>
            <w:pPr>
              <w:jc w:val="center"/>
              <w:ind w:right="420"/>
              <w:spacing w:after="0" w:line="106" w:lineRule="exact"/>
              <w:rPr>
                <w:sz w:val="20"/>
                <w:szCs w:val="20"/>
                <w:color w:val="auto"/>
              </w:rPr>
            </w:pPr>
            <w:r>
              <w:rPr>
                <w:rFonts w:ascii="Times New Roman" w:cs="Times New Roman" w:eastAsia="Times New Roman" w:hAnsi="Times New Roman"/>
                <w:sz w:val="11"/>
                <w:szCs w:val="11"/>
                <w:b w:val="1"/>
                <w:bCs w:val="1"/>
                <w:color w:val="auto"/>
              </w:rPr>
              <w:t>Financing</w:t>
            </w:r>
          </w:p>
        </w:tc>
        <w:tc>
          <w:tcPr>
            <w:tcW w:w="460" w:type="dxa"/>
            <w:vAlign w:val="bottom"/>
          </w:tcPr>
          <w:p>
            <w:pPr>
              <w:spacing w:after="0"/>
              <w:rPr>
                <w:sz w:val="9"/>
                <w:szCs w:val="9"/>
                <w:color w:val="auto"/>
              </w:rPr>
            </w:pPr>
          </w:p>
        </w:tc>
        <w:tc>
          <w:tcPr>
            <w:tcW w:w="1800" w:type="dxa"/>
            <w:vAlign w:val="bottom"/>
          </w:tcPr>
          <w:p>
            <w:pPr>
              <w:jc w:val="right"/>
              <w:ind w:right="803"/>
              <w:spacing w:after="0" w:line="106" w:lineRule="exact"/>
              <w:rPr>
                <w:sz w:val="20"/>
                <w:szCs w:val="20"/>
                <w:color w:val="auto"/>
              </w:rPr>
            </w:pPr>
            <w:r>
              <w:rPr>
                <w:rFonts w:ascii="Times New Roman" w:cs="Times New Roman" w:eastAsia="Times New Roman" w:hAnsi="Times New Roman"/>
                <w:sz w:val="11"/>
                <w:szCs w:val="11"/>
                <w:b w:val="1"/>
                <w:bCs w:val="1"/>
                <w:color w:val="auto"/>
              </w:rPr>
              <w:t>Borrowing</w:t>
            </w:r>
          </w:p>
        </w:tc>
        <w:tc>
          <w:tcPr>
            <w:tcW w:w="0" w:type="dxa"/>
            <w:vAlign w:val="bottom"/>
          </w:tcPr>
          <w:p>
            <w:pPr>
              <w:spacing w:after="0"/>
              <w:rPr>
                <w:sz w:val="1"/>
                <w:szCs w:val="1"/>
                <w:color w:val="auto"/>
              </w:rPr>
            </w:pPr>
          </w:p>
        </w:tc>
      </w:tr>
      <w:tr>
        <w:trPr>
          <w:trHeight w:val="154"/>
        </w:trPr>
        <w:tc>
          <w:tcPr>
            <w:tcW w:w="4240" w:type="dxa"/>
            <w:vAlign w:val="bottom"/>
            <w:gridSpan w:val="2"/>
            <w:vMerge w:val="continue"/>
          </w:tcPr>
          <w:p>
            <w:pPr>
              <w:spacing w:after="0"/>
              <w:rPr>
                <w:sz w:val="13"/>
                <w:szCs w:val="13"/>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340" w:type="dxa"/>
            <w:vAlign w:val="bottom"/>
          </w:tcPr>
          <w:p>
            <w:pPr>
              <w:spacing w:after="0"/>
              <w:rPr>
                <w:sz w:val="13"/>
                <w:szCs w:val="13"/>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8"/>
              </w:rPr>
              <w:t>Available</w:t>
            </w:r>
          </w:p>
        </w:tc>
        <w:tc>
          <w:tcPr>
            <w:tcW w:w="460" w:type="dxa"/>
            <w:vAlign w:val="bottom"/>
          </w:tcPr>
          <w:p>
            <w:pPr>
              <w:spacing w:after="0"/>
              <w:rPr>
                <w:sz w:val="13"/>
                <w:szCs w:val="13"/>
                <w:color w:val="auto"/>
              </w:rPr>
            </w:pPr>
          </w:p>
        </w:tc>
        <w:tc>
          <w:tcPr>
            <w:tcW w:w="1800" w:type="dxa"/>
            <w:vAlign w:val="bottom"/>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55"/>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Prime Brokerage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5.71%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645,622</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203,816</w:t>
            </w:r>
          </w:p>
        </w:tc>
        <w:tc>
          <w:tcPr>
            <w:tcW w:w="0" w:type="dxa"/>
            <w:vAlign w:val="bottom"/>
          </w:tcPr>
          <w:p>
            <w:pPr>
              <w:spacing w:after="0"/>
              <w:rPr>
                <w:sz w:val="1"/>
                <w:szCs w:val="1"/>
                <w:color w:val="auto"/>
              </w:rPr>
            </w:pPr>
          </w:p>
        </w:tc>
      </w:tr>
      <w:tr>
        <w:trPr>
          <w:trHeight w:val="175"/>
        </w:trPr>
        <w:tc>
          <w:tcPr>
            <w:tcW w:w="4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645,622</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203,816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At December 31, 2024</w:t>
            </w: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vMerge w:val="restart"/>
          </w:tcPr>
          <w:p>
            <w:pPr>
              <w:spacing w:after="0"/>
              <w:rPr>
                <w:sz w:val="9"/>
                <w:szCs w:val="9"/>
                <w:color w:val="auto"/>
              </w:rPr>
            </w:pPr>
          </w:p>
        </w:tc>
        <w:tc>
          <w:tcPr>
            <w:tcW w:w="23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340" w:type="dxa"/>
            <w:vAlign w:val="bottom"/>
          </w:tcPr>
          <w:p>
            <w:pPr>
              <w:spacing w:after="0"/>
              <w:rPr>
                <w:sz w:val="9"/>
                <w:szCs w:val="9"/>
                <w:color w:val="auto"/>
              </w:rPr>
            </w:pPr>
          </w:p>
        </w:tc>
        <w:tc>
          <w:tcPr>
            <w:tcW w:w="202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1"/>
                <w:szCs w:val="11"/>
                <w:b w:val="1"/>
                <w:bCs w:val="1"/>
                <w:color w:val="auto"/>
              </w:rPr>
              <w:t>Financing</w:t>
            </w:r>
          </w:p>
        </w:tc>
        <w:tc>
          <w:tcPr>
            <w:tcW w:w="460" w:type="dxa"/>
            <w:vAlign w:val="bottom"/>
          </w:tcPr>
          <w:p>
            <w:pPr>
              <w:spacing w:after="0"/>
              <w:rPr>
                <w:sz w:val="9"/>
                <w:szCs w:val="9"/>
                <w:color w:val="auto"/>
              </w:rPr>
            </w:pPr>
          </w:p>
        </w:tc>
        <w:tc>
          <w:tcPr>
            <w:tcW w:w="1800" w:type="dxa"/>
            <w:vAlign w:val="bottom"/>
          </w:tcPr>
          <w:p>
            <w:pPr>
              <w:jc w:val="right"/>
              <w:ind w:right="803"/>
              <w:spacing w:after="0" w:line="108" w:lineRule="exact"/>
              <w:rPr>
                <w:sz w:val="20"/>
                <w:szCs w:val="20"/>
                <w:color w:val="auto"/>
              </w:rPr>
            </w:pPr>
            <w:r>
              <w:rPr>
                <w:rFonts w:ascii="Times New Roman" w:cs="Times New Roman" w:eastAsia="Times New Roman" w:hAnsi="Times New Roman"/>
                <w:sz w:val="11"/>
                <w:szCs w:val="11"/>
                <w:b w:val="1"/>
                <w:bCs w:val="1"/>
                <w:color w:val="auto"/>
              </w:rPr>
              <w:t>Borrowing</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w w:val="98"/>
              </w:rPr>
              <w:t>Available</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96"/>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Prime Brokerage Credit Facilities: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6.69%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623,168</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122,953</w:t>
            </w:r>
          </w:p>
        </w:tc>
        <w:tc>
          <w:tcPr>
            <w:tcW w:w="0" w:type="dxa"/>
            <w:vAlign w:val="bottom"/>
          </w:tcPr>
          <w:p>
            <w:pPr>
              <w:spacing w:after="0"/>
              <w:rPr>
                <w:sz w:val="1"/>
                <w:szCs w:val="1"/>
                <w:color w:val="auto"/>
              </w:rPr>
            </w:pPr>
          </w:p>
        </w:tc>
      </w:tr>
      <w:tr>
        <w:trPr>
          <w:trHeight w:val="182"/>
        </w:trPr>
        <w:tc>
          <w:tcPr>
            <w:tcW w:w="4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623,168</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122,953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Outstanding borrowings are included with Receivables from/Payables to broker-dealers and clearing organizations within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9" w:right="319" w:bottom="1440" w:gutter="0" w:footer="0" w:header="0"/>
        </w:sectPr>
      </w:pPr>
    </w:p>
    <w:bookmarkStart w:id="103" w:name="page104"/>
    <w:bookmarkEnd w:id="103"/>
    <w:p>
      <w:pPr>
        <w:ind w:left="520"/>
        <w:spacing w:after="0"/>
        <w:rPr>
          <w:sz w:val="20"/>
          <w:szCs w:val="20"/>
          <w:color w:val="auto"/>
        </w:rPr>
      </w:pPr>
      <w:r>
        <w:rPr>
          <w:rFonts w:ascii="Times New Roman" w:cs="Times New Roman" w:eastAsia="Times New Roman" w:hAnsi="Times New Roman"/>
          <w:sz w:val="14"/>
          <w:szCs w:val="14"/>
          <w:color w:val="auto"/>
        </w:rPr>
        <w:t>Interest expense in relation to the facilities was $10.3 million, $9.7 million, and $13.1 million for the years ended December 31, 2025,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Borrowings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summarizes the Company’s long-term borrowings, net of unamortized discount and debt issuance costs, where applicable:</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At December 31, 2025</w:t>
            </w: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90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Outstanding Principal</w:t>
            </w:r>
          </w:p>
        </w:tc>
        <w:tc>
          <w:tcPr>
            <w:tcW w:w="180" w:type="dxa"/>
            <w:vAlign w:val="bottom"/>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132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Deferred Debt Issuance</w:t>
            </w:r>
          </w:p>
        </w:tc>
        <w:tc>
          <w:tcPr>
            <w:tcW w:w="80" w:type="dxa"/>
            <w:vAlign w:val="bottom"/>
          </w:tcPr>
          <w:p>
            <w:pPr>
              <w:spacing w:after="0"/>
              <w:rPr>
                <w:sz w:val="9"/>
                <w:szCs w:val="9"/>
                <w:color w:val="auto"/>
              </w:rPr>
            </w:pPr>
          </w:p>
        </w:tc>
        <w:tc>
          <w:tcPr>
            <w:tcW w:w="1320" w:type="dxa"/>
            <w:vAlign w:val="bottom"/>
          </w:tcPr>
          <w:p>
            <w:pPr>
              <w:jc w:val="right"/>
              <w:ind w:right="43"/>
              <w:spacing w:after="0" w:line="108" w:lineRule="exact"/>
              <w:rPr>
                <w:sz w:val="20"/>
                <w:szCs w:val="20"/>
                <w:color w:val="auto"/>
              </w:rPr>
            </w:pPr>
            <w:r>
              <w:rPr>
                <w:rFonts w:ascii="Times New Roman" w:cs="Times New Roman" w:eastAsia="Times New Roman" w:hAnsi="Times New Roman"/>
                <w:sz w:val="11"/>
                <w:szCs w:val="11"/>
                <w:b w:val="1"/>
                <w:bCs w:val="1"/>
                <w:color w:val="auto"/>
              </w:rPr>
              <w:t>Outstanding Borrowings,</w:t>
            </w:r>
          </w:p>
        </w:tc>
        <w:tc>
          <w:tcPr>
            <w:tcW w:w="0" w:type="dxa"/>
            <w:vAlign w:val="bottom"/>
          </w:tcPr>
          <w:p>
            <w:pPr>
              <w:spacing w:after="0"/>
              <w:rPr>
                <w:sz w:val="1"/>
                <w:szCs w:val="1"/>
                <w:color w:val="auto"/>
              </w:rPr>
            </w:pPr>
          </w:p>
        </w:tc>
      </w:tr>
      <w:tr>
        <w:trPr>
          <w:trHeight w:val="153"/>
        </w:trPr>
        <w:tc>
          <w:tcPr>
            <w:tcW w:w="3900" w:type="dxa"/>
            <w:vAlign w:val="bottom"/>
            <w:gridSpan w:val="2"/>
            <w:vMerge w:val="continue"/>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12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32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4"/>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Long-term borrowings:</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First Lien Term B-2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June 2031</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6.22%</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1,545,000</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(2,432)</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(18,102)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1,524,466</w:t>
            </w:r>
          </w:p>
        </w:tc>
        <w:tc>
          <w:tcPr>
            <w:tcW w:w="0" w:type="dxa"/>
            <w:vAlign w:val="bottom"/>
          </w:tcPr>
          <w:p>
            <w:pPr>
              <w:spacing w:after="0"/>
              <w:rPr>
                <w:sz w:val="1"/>
                <w:szCs w:val="1"/>
                <w:color w:val="auto"/>
              </w:rPr>
            </w:pPr>
          </w:p>
        </w:tc>
      </w:tr>
      <w:tr>
        <w:trPr>
          <w:trHeight w:val="165"/>
        </w:trPr>
        <w:tc>
          <w:tcPr>
            <w:tcW w:w="3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Senior Secured First Lien Notes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June 2031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492,663</w:t>
            </w:r>
          </w:p>
        </w:tc>
        <w:tc>
          <w:tcPr>
            <w:tcW w:w="0" w:type="dxa"/>
            <w:vAlign w:val="bottom"/>
          </w:tcPr>
          <w:p>
            <w:pPr>
              <w:spacing w:after="0"/>
              <w:rPr>
                <w:sz w:val="1"/>
                <w:szCs w:val="1"/>
                <w:color w:val="auto"/>
              </w:rPr>
            </w:pPr>
          </w:p>
        </w:tc>
      </w:tr>
      <w:tr>
        <w:trPr>
          <w:trHeight w:val="153"/>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SBI bonds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22,334</w:t>
            </w:r>
          </w:p>
        </w:tc>
        <w:tc>
          <w:tcPr>
            <w:tcW w:w="0" w:type="dxa"/>
            <w:vAlign w:val="bottom"/>
          </w:tcPr>
          <w:p>
            <w:pPr>
              <w:spacing w:after="0"/>
              <w:rPr>
                <w:sz w:val="1"/>
                <w:szCs w:val="1"/>
                <w:color w:val="auto"/>
              </w:rPr>
            </w:pPr>
          </w:p>
        </w:tc>
      </w:tr>
      <w:tr>
        <w:trPr>
          <w:trHeight w:val="175"/>
        </w:trPr>
        <w:tc>
          <w:tcPr>
            <w:tcW w:w="38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2,067,334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2,039,463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At December 31, 2024</w:t>
            </w: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8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vMerge w:val="restart"/>
          </w:tcPr>
          <w:p>
            <w:pPr>
              <w:spacing w:after="0"/>
              <w:rPr>
                <w:sz w:val="9"/>
                <w:szCs w:val="9"/>
                <w:color w:val="auto"/>
              </w:rPr>
            </w:pPr>
          </w:p>
        </w:tc>
        <w:tc>
          <w:tcPr>
            <w:tcW w:w="134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90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1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Outstanding Principal</w:t>
            </w:r>
          </w:p>
        </w:tc>
        <w:tc>
          <w:tcPr>
            <w:tcW w:w="1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100" w:type="dxa"/>
            <w:vAlign w:val="bottom"/>
            <w:vMerge w:val="restart"/>
          </w:tcPr>
          <w:p>
            <w:pPr>
              <w:spacing w:after="0"/>
              <w:rPr>
                <w:sz w:val="9"/>
                <w:szCs w:val="9"/>
                <w:color w:val="auto"/>
              </w:rPr>
            </w:pPr>
          </w:p>
        </w:tc>
        <w:tc>
          <w:tcPr>
            <w:tcW w:w="1320" w:type="dxa"/>
            <w:vAlign w:val="bottom"/>
            <w:gridSpan w:val="3"/>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Deferred Debt Issuance</w:t>
            </w:r>
          </w:p>
        </w:tc>
        <w:tc>
          <w:tcPr>
            <w:tcW w:w="80" w:type="dxa"/>
            <w:vAlign w:val="bottom"/>
          </w:tcPr>
          <w:p>
            <w:pPr>
              <w:spacing w:after="0"/>
              <w:rPr>
                <w:sz w:val="9"/>
                <w:szCs w:val="9"/>
                <w:color w:val="auto"/>
              </w:rPr>
            </w:pPr>
          </w:p>
        </w:tc>
        <w:tc>
          <w:tcPr>
            <w:tcW w:w="1320" w:type="dxa"/>
            <w:vAlign w:val="bottom"/>
          </w:tcPr>
          <w:p>
            <w:pPr>
              <w:jc w:val="right"/>
              <w:ind w:right="43"/>
              <w:spacing w:after="0" w:line="106" w:lineRule="exact"/>
              <w:rPr>
                <w:sz w:val="20"/>
                <w:szCs w:val="20"/>
                <w:color w:val="auto"/>
              </w:rPr>
            </w:pPr>
            <w:r>
              <w:rPr>
                <w:rFonts w:ascii="Times New Roman" w:cs="Times New Roman" w:eastAsia="Times New Roman" w:hAnsi="Times New Roman"/>
                <w:sz w:val="11"/>
                <w:szCs w:val="11"/>
                <w:b w:val="1"/>
                <w:bCs w:val="1"/>
                <w:color w:val="auto"/>
              </w:rPr>
              <w:t>Outstanding Borrowings,</w:t>
            </w:r>
          </w:p>
        </w:tc>
        <w:tc>
          <w:tcPr>
            <w:tcW w:w="0" w:type="dxa"/>
            <w:vAlign w:val="bottom"/>
          </w:tcPr>
          <w:p>
            <w:pPr>
              <w:spacing w:after="0"/>
              <w:rPr>
                <w:sz w:val="1"/>
                <w:szCs w:val="1"/>
                <w:color w:val="auto"/>
              </w:rPr>
            </w:pPr>
          </w:p>
        </w:tc>
      </w:tr>
      <w:tr>
        <w:trPr>
          <w:trHeight w:val="154"/>
        </w:trPr>
        <w:tc>
          <w:tcPr>
            <w:tcW w:w="3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97"/>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Long-term borrowings: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First Lien Term B-1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June 2031</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7.11%</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1,245,000</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(2,876)</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(15,242)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1,226,882</w:t>
            </w:r>
          </w:p>
        </w:tc>
        <w:tc>
          <w:tcPr>
            <w:tcW w:w="0" w:type="dxa"/>
            <w:vAlign w:val="bottom"/>
          </w:tcPr>
          <w:p>
            <w:pPr>
              <w:spacing w:after="0"/>
              <w:rPr>
                <w:sz w:val="1"/>
                <w:szCs w:val="1"/>
                <w:color w:val="auto"/>
              </w:rPr>
            </w:pPr>
          </w:p>
        </w:tc>
      </w:tr>
      <w:tr>
        <w:trPr>
          <w:trHeight w:val="165"/>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Senior Secured First Lien Notes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June 2031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491,320</w:t>
            </w:r>
          </w:p>
        </w:tc>
        <w:tc>
          <w:tcPr>
            <w:tcW w:w="0" w:type="dxa"/>
            <w:vAlign w:val="bottom"/>
          </w:tcPr>
          <w:p>
            <w:pPr>
              <w:spacing w:after="0"/>
              <w:rPr>
                <w:sz w:val="1"/>
                <w:szCs w:val="1"/>
                <w:color w:val="auto"/>
              </w:rPr>
            </w:pPr>
          </w:p>
        </w:tc>
      </w:tr>
      <w:tr>
        <w:trPr>
          <w:trHeight w:val="15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SBI bonds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January 2026</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22,265</w:t>
            </w:r>
          </w:p>
        </w:tc>
        <w:tc>
          <w:tcPr>
            <w:tcW w:w="0" w:type="dxa"/>
            <w:vAlign w:val="bottom"/>
          </w:tcPr>
          <w:p>
            <w:pPr>
              <w:spacing w:after="0"/>
              <w:rPr>
                <w:sz w:val="1"/>
                <w:szCs w:val="1"/>
                <w:color w:val="auto"/>
              </w:rPr>
            </w:pPr>
          </w:p>
        </w:tc>
      </w:tr>
      <w:tr>
        <w:trPr>
          <w:trHeight w:val="175"/>
        </w:trPr>
        <w:tc>
          <w:tcPr>
            <w:tcW w:w="38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1,767,265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(23,922)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1,740,467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Agreement</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168"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167"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w:t>
      </w:r>
    </w:p>
    <w:p>
      <w:pPr>
        <w:spacing w:after="0" w:line="14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 January 2022, in order to align the swap agreements with the Original Credit Agreement, the Company amended its existing five-year $525.0 million floating-to-fixed interest rate swap agreement and five-year $1,000.0 million floating-to-fixed interest rate swap agreement to align the floating rate term of such swap agreements to SOFR. These two interest rate swaps met the criteria to be considered and were designated as qualifying cash flow hedges under ASC 815, and they effectively fixed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4" w:name="page105"/>
    <w:bookmarkEnd w:id="104"/>
    <w:p>
      <w:pPr>
        <w:ind w:right="120"/>
        <w:spacing w:after="0" w:line="287" w:lineRule="auto"/>
        <w:rPr>
          <w:sz w:val="20"/>
          <w:szCs w:val="20"/>
          <w:color w:val="auto"/>
        </w:rPr>
      </w:pPr>
      <w:r>
        <w:rPr>
          <w:rFonts w:ascii="Times New Roman" w:cs="Times New Roman" w:eastAsia="Times New Roman" w:hAnsi="Times New Roman"/>
          <w:sz w:val="14"/>
          <w:szCs w:val="14"/>
          <w:color w:val="auto"/>
        </w:rPr>
        <w:t>interest payment obligations on $525.0 million and $1,000.0 million of principal under the first lien term loan facility in relation to the Original Credit Agreement at rates of 4.5% and 4.6% through September 2024 and January 2025, respectively.</w:t>
      </w:r>
    </w:p>
    <w:p>
      <w:pPr>
        <w:spacing w:after="0" w:line="14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4"/>
          <w:szCs w:val="14"/>
          <w:color w:val="auto"/>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spacing w:after="0" w:line="16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On June 21, 2024 (the “Amendment No. 1 Effective Date”), the Company entered into Amendment No. 1 to the Original Credit Agreement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spacing w:after="0" w:line="16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spacing w:after="0" w:line="164"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remaining interest rate swap effectively fixed interest payment obligations on the $1,075.0 million of principal of the Term B-1 Loans at a rate of 7.17% through November 2025, based on the interest rates set forth in the First Amended Credit Agreement.</w:t>
      </w:r>
    </w:p>
    <w:p>
      <w:pPr>
        <w:spacing w:after="0" w:line="16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On February 19, 2025 (the “Amendment No. 2 Effective Date”), the Company entered into Amendment No. 2 to the First Amended Credit Agreement (“Amendment No. 2”). Amendment No. 2 amended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“Original Term B-2 Loans”), the proceeds of which were used to repay in full the Term B-1 Loans on the Amendment No. 2 Effective Date.</w:t>
      </w:r>
    </w:p>
    <w:p>
      <w:pPr>
        <w:spacing w:after="0" w:line="16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On September 23, 2025 (the “Amendment No. 3 Effective Date”), the Company entered into Amendment No. 3 to the First Amended Credit Agreement (“Amendment No. 3”). Amendment No. 3 amended the Credit Agreement to effect the issuance of incremental Senior Secured First Lien Term B-2 Loans in the amount of $300.0 million, the proceeds of which were used for general corporate purposes, for a total Term B-2 Loan balance of $1,545.0 million (collectively, the “Term B-2 Loans”).</w:t>
      </w:r>
    </w:p>
    <w:p>
      <w:pPr>
        <w:spacing w:after="0" w:line="15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105" w:name="page106"/>
    <w:bookmarkEnd w:id="105"/>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interest rate swap effectively fixed interest payment obligations on $1,075.0 million of principal of the Term B-2 Loans at a rate of 6.92% through November 2025, based on the interest rates set forth in the Credit Agreement. The cash flow hedge was discontinued upon the termination of the interest rate swap in November 2025.</w:t>
      </w:r>
    </w:p>
    <w:p>
      <w:pPr>
        <w:spacing w:after="0" w:line="145"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6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2025, $1,545.0 million was outstanding under the current term loans, and there were no amounts outstanding under the first lien revolving facility.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Secured First Lien Notes</w:t>
      </w:r>
    </w:p>
    <w:p>
      <w:pPr>
        <w:spacing w:after="0" w:line="202"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spacing w:after="0" w:line="162"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4"/>
          <w:szCs w:val="14"/>
          <w:color w:val="auto"/>
        </w:rPr>
        <w:t>The Notes and the related guarantees are secured by first-priority perfected liens on substantially all of the Issuers’ and guarantors’ existing and future assets, subject to certain exceptions, including all material personal property, a pledge of the</w:t>
      </w:r>
    </w:p>
    <w:p>
      <w:pPr>
        <w:spacing w:after="0" w:line="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4"/>
          <w:szCs w:val="14"/>
          <w:color w:val="auto"/>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 obligations under the Credit Agreement on a first-priority basis.</w:t>
      </w:r>
    </w:p>
    <w:p>
      <w:pPr>
        <w:spacing w:after="0" w:line="16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64"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Prior to June 15, 2027, we may redeem some or all of the Notes at a redemption price equal to 100% of the principal amount plus accrued and unpaid interest, if any, to (but not including) the date of redemption, plus an applicable “make whole” premium.</w:t>
      </w:r>
    </w:p>
    <w:p>
      <w:pPr>
        <w:spacing w:after="0" w:line="145"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spacing w:after="0" w:line="145"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spacing w:after="0" w:line="145"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106" w:name="page107"/>
    <w:bookmarkEnd w:id="106"/>
    <w:tbl>
      <w:tblPr>
        <w:tblLayout w:type="fixed"/>
        <w:tblInd w:w="3440" w:type="dxa"/>
        <w:tblCellMar>
          <w:top w:w="0" w:type="dxa"/>
          <w:left w:w="0" w:type="dxa"/>
          <w:bottom w:w="0" w:type="dxa"/>
          <w:right w:w="0" w:type="dxa"/>
        </w:tblCellMar>
      </w:tblPr>
      <w:tr>
        <w:trPr>
          <w:trHeight w:val="158"/>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300" w:type="dxa"/>
            <w:vAlign w:val="bottom"/>
            <w:tcBorders>
              <w:bottom w:val="single" w:sz="8" w:color="auto"/>
            </w:tcBorders>
          </w:tcPr>
          <w:p>
            <w:pPr>
              <w:jc w:val="center"/>
              <w:ind w:left="643"/>
              <w:spacing w:after="0"/>
              <w:rPr>
                <w:sz w:val="20"/>
                <w:szCs w:val="20"/>
                <w:color w:val="auto"/>
              </w:rPr>
            </w:pPr>
            <w:r>
              <w:rPr>
                <w:rFonts w:ascii="Times New Roman" w:cs="Times New Roman" w:eastAsia="Times New Roman" w:hAnsi="Times New Roman"/>
                <w:sz w:val="11"/>
                <w:szCs w:val="11"/>
                <w:b w:val="1"/>
                <w:bCs w:val="1"/>
                <w:color w:val="auto"/>
              </w:rPr>
              <w:t>Percentage</w:t>
            </w:r>
          </w:p>
        </w:tc>
      </w:tr>
      <w:tr>
        <w:trPr>
          <w:trHeight w:val="15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2027</w:t>
            </w:r>
          </w:p>
        </w:tc>
        <w:tc>
          <w:tcPr>
            <w:tcW w:w="230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1"/>
                <w:szCs w:val="11"/>
                <w:color w:val="auto"/>
              </w:rPr>
              <w:t>103.750%</w:t>
            </w:r>
          </w:p>
        </w:tc>
      </w:tr>
      <w:tr>
        <w:trPr>
          <w:trHeight w:val="153"/>
        </w:trPr>
        <w:tc>
          <w:tcPr>
            <w:tcW w:w="2120" w:type="dxa"/>
            <w:vAlign w:val="bottom"/>
          </w:tcPr>
          <w:p>
            <w:pPr>
              <w:spacing w:after="0"/>
              <w:rPr>
                <w:sz w:val="20"/>
                <w:szCs w:val="20"/>
                <w:color w:val="auto"/>
              </w:rPr>
            </w:pPr>
            <w:r>
              <w:rPr>
                <w:rFonts w:ascii="Times New Roman" w:cs="Times New Roman" w:eastAsia="Times New Roman" w:hAnsi="Times New Roman"/>
                <w:sz w:val="11"/>
                <w:szCs w:val="11"/>
                <w:color w:val="auto"/>
              </w:rPr>
              <w:t>2028</w:t>
            </w:r>
          </w:p>
        </w:tc>
        <w:tc>
          <w:tcPr>
            <w:tcW w:w="2300" w:type="dxa"/>
            <w:vAlign w:val="bottom"/>
          </w:tcPr>
          <w:p>
            <w:pPr>
              <w:jc w:val="center"/>
              <w:ind w:left="643"/>
              <w:spacing w:after="0"/>
              <w:rPr>
                <w:sz w:val="20"/>
                <w:szCs w:val="20"/>
                <w:color w:val="auto"/>
              </w:rPr>
            </w:pPr>
            <w:r>
              <w:rPr>
                <w:rFonts w:ascii="Times New Roman" w:cs="Times New Roman" w:eastAsia="Times New Roman" w:hAnsi="Times New Roman"/>
                <w:sz w:val="11"/>
                <w:szCs w:val="11"/>
                <w:color w:val="auto"/>
              </w:rPr>
              <w:t>101.875%</w:t>
            </w:r>
          </w:p>
        </w:tc>
      </w:tr>
      <w:tr>
        <w:trPr>
          <w:trHeight w:val="16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2029 and thereafter</w:t>
            </w:r>
          </w:p>
        </w:tc>
        <w:tc>
          <w:tcPr>
            <w:tcW w:w="230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1"/>
                <w:szCs w:val="11"/>
                <w:color w:val="auto"/>
              </w:rPr>
              <w:t>100.000%</w:t>
            </w:r>
          </w:p>
        </w:tc>
      </w:tr>
    </w:tbl>
    <w:p>
      <w:pPr>
        <w:spacing w:after="0" w:line="251"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Upon the occurrence of specified change of control events as defined in the Indenture, we must offer to repurchase the outstanding Notes at 101% of the aggregate principal amount, plus accrued and unpaid interest, if any, to (but excluding) the purchase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SBI Bonds</w:t>
      </w:r>
    </w:p>
    <w:p>
      <w:pPr>
        <w:spacing w:after="0" w:line="202"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Consolidated Statements of Comprehensive Income. In December 2022, the maturity of the SBI Bonds was extended to 2026, and in December 2025, the maturity of the SBI Bonds was extended to 2029. The principal balance was ¥3.5 billion ($22.3 million) as of December 31, 2025 and December 31, 2024. The Company had a loss of $0.1 million, a gain of $2.6 million, and a gain of $1.9 million during the years ended December 31, 2025, 2024, and 2023, respectively, due to changes in foreign currency rates.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2025, aggregate future required minimum principal payments based on the terms of the long-term borrowings were as follows:</w:t>
      </w:r>
    </w:p>
    <w:p>
      <w:pPr>
        <w:spacing w:after="0" w:line="227" w:lineRule="exact"/>
        <w:rPr>
          <w:sz w:val="20"/>
          <w:szCs w:val="20"/>
          <w:color w:val="auto"/>
        </w:rPr>
      </w:pPr>
    </w:p>
    <w:tbl>
      <w:tblPr>
        <w:tblLayout w:type="fixed"/>
        <w:tblInd w:w="3380" w:type="dxa"/>
        <w:tblCellMar>
          <w:top w:w="0" w:type="dxa"/>
          <w:left w:w="0" w:type="dxa"/>
          <w:bottom w:w="0" w:type="dxa"/>
          <w:right w:w="0" w:type="dxa"/>
        </w:tblCellMar>
      </w:tblPr>
      <w:tr>
        <w:trPr>
          <w:trHeight w:val="158"/>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78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15,450</w:t>
            </w:r>
          </w:p>
        </w:tc>
      </w:tr>
      <w:tr>
        <w:trPr>
          <w:trHeight w:val="153"/>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7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15,450</w:t>
            </w:r>
          </w:p>
        </w:tc>
      </w:tr>
      <w:tr>
        <w:trPr>
          <w:trHeight w:val="16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7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15,450</w:t>
            </w:r>
          </w:p>
        </w:tc>
      </w:tr>
      <w:tr>
        <w:trPr>
          <w:trHeight w:val="153"/>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7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37,784</w:t>
            </w:r>
          </w:p>
        </w:tc>
      </w:tr>
      <w:tr>
        <w:trPr>
          <w:trHeight w:val="16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2030</w:t>
            </w:r>
          </w:p>
        </w:tc>
        <w:tc>
          <w:tcPr>
            <w:tcW w:w="7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15,450</w:t>
            </w:r>
          </w:p>
        </w:tc>
      </w:tr>
      <w:tr>
        <w:trPr>
          <w:trHeight w:val="15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7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1,967,750</w:t>
            </w:r>
          </w:p>
        </w:tc>
      </w:tr>
      <w:tr>
        <w:trPr>
          <w:trHeight w:val="18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principal of long-term borrowings</w:t>
            </w:r>
          </w:p>
        </w:tc>
        <w:tc>
          <w:tcPr>
            <w:tcW w:w="78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2,067,334</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Financial Assets and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 Measured at Fair Value</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fair value of equities, options, on-the-run U.S. government obligations, certain exchange traded notes and digital assets is estimated using recently executed transactions and market price quotations in active markets and are categorized as Level 1 with the exception of inactively traded equities, all other exchange traded notes and certain other financial instruments, which are categorized as Level 2. The Company’s corporate bonds, derivative contracts, other U.S. and non-U.S. government obligations and receivables and payables linked to digital assets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67"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4"/>
          <w:szCs w:val="14"/>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107" w:name="page108"/>
    <w:bookmarkEnd w:id="107"/>
    <w:p>
      <w:pPr>
        <w:ind w:left="480"/>
        <w:spacing w:after="0"/>
        <w:rPr>
          <w:sz w:val="20"/>
          <w:szCs w:val="20"/>
          <w:color w:val="auto"/>
        </w:rPr>
      </w:pPr>
      <w:r>
        <w:rPr>
          <w:rFonts w:ascii="Times New Roman" w:cs="Times New Roman" w:eastAsia="Times New Roman" w:hAnsi="Times New Roman"/>
          <w:sz w:val="14"/>
          <w:szCs w:val="14"/>
          <w:color w:val="auto"/>
        </w:rPr>
        <w:t>Fair value measurements for those items measured on a recurring basis are summarized below as of December 31,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Quoted Prices in Active</w:t>
            </w:r>
          </w:p>
        </w:tc>
        <w:tc>
          <w:tcPr>
            <w:tcW w:w="140" w:type="dxa"/>
            <w:vAlign w:val="bottom"/>
          </w:tcPr>
          <w:p>
            <w:pPr>
              <w:spacing w:after="0"/>
              <w:rPr>
                <w:sz w:val="9"/>
                <w:szCs w:val="9"/>
                <w:color w:val="auto"/>
              </w:rPr>
            </w:pPr>
          </w:p>
        </w:tc>
        <w:tc>
          <w:tcPr>
            <w:tcW w:w="12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Significant Other</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Significant Unobservable</w:t>
            </w:r>
          </w:p>
        </w:tc>
        <w:tc>
          <w:tcPr>
            <w:tcW w:w="80" w:type="dxa"/>
            <w:vAlign w:val="bottom"/>
          </w:tcPr>
          <w:p>
            <w:pPr>
              <w:spacing w:after="0"/>
              <w:rPr>
                <w:sz w:val="9"/>
                <w:szCs w:val="9"/>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Counterparty and Cash</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9"/>
                <w:szCs w:val="9"/>
                <w:color w:val="auto"/>
              </w:rPr>
            </w:pPr>
          </w:p>
        </w:tc>
        <w:tc>
          <w:tcPr>
            <w:tcW w:w="13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Markets for Identical</w:t>
            </w:r>
          </w:p>
        </w:tc>
        <w:tc>
          <w:tcPr>
            <w:tcW w:w="140" w:type="dxa"/>
            <w:vAlign w:val="bottom"/>
          </w:tcPr>
          <w:p>
            <w:pPr>
              <w:spacing w:after="0"/>
              <w:rPr>
                <w:sz w:val="9"/>
                <w:szCs w:val="9"/>
                <w:color w:val="auto"/>
              </w:rPr>
            </w:pPr>
          </w:p>
        </w:tc>
        <w:tc>
          <w:tcPr>
            <w:tcW w:w="12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14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0" w:type="dxa"/>
            <w:vAlign w:val="bottom"/>
          </w:tcPr>
          <w:p>
            <w:pPr>
              <w:spacing w:after="0"/>
              <w:rPr>
                <w:sz w:val="1"/>
                <w:szCs w:val="1"/>
                <w:color w:val="auto"/>
              </w:rPr>
            </w:pPr>
          </w:p>
        </w:tc>
      </w:tr>
      <w:tr>
        <w:trPr>
          <w:trHeight w:val="155"/>
        </w:trPr>
        <w:tc>
          <w:tcPr>
            <w:tcW w:w="4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Assets (Level 1)</w:t>
            </w:r>
          </w:p>
        </w:tc>
        <w:tc>
          <w:tcPr>
            <w:tcW w:w="140" w:type="dxa"/>
            <w:vAlign w:val="bottom"/>
          </w:tcPr>
          <w:p>
            <w:pPr>
              <w:spacing w:after="0"/>
              <w:rPr>
                <w:sz w:val="13"/>
                <w:szCs w:val="13"/>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13"/>
                <w:szCs w:val="13"/>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8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Collateral Netting</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Financial instruments owned, at fair value:</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1,511,213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2,839,183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4,350,396</w:t>
            </w:r>
          </w:p>
        </w:tc>
        <w:tc>
          <w:tcPr>
            <w:tcW w:w="0" w:type="dxa"/>
            <w:vAlign w:val="bottom"/>
          </w:tcPr>
          <w:p>
            <w:pPr>
              <w:spacing w:after="0"/>
              <w:rPr>
                <w:sz w:val="1"/>
                <w:szCs w:val="1"/>
                <w:color w:val="auto"/>
              </w:rPr>
            </w:pPr>
          </w:p>
        </w:tc>
      </w:tr>
      <w:tr>
        <w:trPr>
          <w:trHeight w:val="153"/>
        </w:trPr>
        <w:tc>
          <w:tcPr>
            <w:tcW w:w="44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459,943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1,210,309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1,670,252</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Corporate Bonds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1,207,385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1,207,385</w:t>
            </w:r>
          </w:p>
        </w:tc>
        <w:tc>
          <w:tcPr>
            <w:tcW w:w="0" w:type="dxa"/>
            <w:vAlign w:val="bottom"/>
          </w:tcPr>
          <w:p>
            <w:pPr>
              <w:spacing w:after="0"/>
              <w:rPr>
                <w:sz w:val="1"/>
                <w:szCs w:val="1"/>
                <w:color w:val="auto"/>
              </w:rPr>
            </w:pPr>
          </w:p>
        </w:tc>
      </w:tr>
      <w:tr>
        <w:trPr>
          <w:trHeight w:val="153"/>
        </w:trPr>
        <w:tc>
          <w:tcPr>
            <w:tcW w:w="44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10,459</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Currency forwards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211,856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(204,775)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7,081</w:t>
            </w:r>
          </w:p>
        </w:tc>
        <w:tc>
          <w:tcPr>
            <w:tcW w:w="0" w:type="dxa"/>
            <w:vAlign w:val="bottom"/>
          </w:tcPr>
          <w:p>
            <w:pPr>
              <w:spacing w:after="0"/>
              <w:rPr>
                <w:sz w:val="1"/>
                <w:szCs w:val="1"/>
                <w:color w:val="auto"/>
              </w:rPr>
            </w:pPr>
          </w:p>
        </w:tc>
      </w:tr>
      <w:tr>
        <w:trPr>
          <w:trHeight w:val="153"/>
        </w:trPr>
        <w:tc>
          <w:tcPr>
            <w:tcW w:w="44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Options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97,459</w:t>
            </w:r>
          </w:p>
        </w:tc>
        <w:tc>
          <w:tcPr>
            <w:tcW w:w="0" w:type="dxa"/>
            <w:vAlign w:val="bottom"/>
          </w:tcPr>
          <w:p>
            <w:pPr>
              <w:spacing w:after="0"/>
              <w:rPr>
                <w:sz w:val="1"/>
                <w:szCs w:val="1"/>
                <w:color w:val="auto"/>
              </w:rPr>
            </w:pPr>
          </w:p>
        </w:tc>
      </w:tr>
      <w:tr>
        <w:trPr>
          <w:trHeight w:val="175"/>
        </w:trPr>
        <w:tc>
          <w:tcPr>
            <w:tcW w:w="4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2,068,615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5,479,192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(204,775)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7,343,032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Financial instruments owned, pledged as collateral:</w:t>
            </w: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1,896,091</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1,304,254</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3,200,345</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8,180</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1,896,091</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1,312,434</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3,208,525</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 investment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86,491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86,491</w:t>
            </w:r>
          </w:p>
        </w:tc>
        <w:tc>
          <w:tcPr>
            <w:tcW w:w="0" w:type="dxa"/>
            <w:vAlign w:val="bottom"/>
          </w:tcPr>
          <w:p>
            <w:pPr>
              <w:spacing w:after="0"/>
              <w:rPr>
                <w:sz w:val="1"/>
                <w:szCs w:val="1"/>
                <w:color w:val="auto"/>
              </w:rPr>
            </w:pPr>
          </w:p>
        </w:tc>
      </w:tr>
      <w:tr>
        <w:trPr>
          <w:trHeight w:val="153"/>
        </w:trPr>
        <w:tc>
          <w:tcPr>
            <w:tcW w:w="44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Digital assets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154,610</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Exchange stock</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1,020</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155,630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86,491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242,121</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Receivables from broker dealers and clearing organizations:</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Receivables linked to digital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328,934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328,934</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328,934</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328,934</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Financial instruments sold, not yet purchased, at fair value:</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2,933,027</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2,784,522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5,717,549</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234,169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1,155,901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1,390,070</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Corporate Bonds</w:t>
            </w:r>
          </w:p>
        </w:tc>
        <w:tc>
          <w:tcPr>
            <w:tcW w:w="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1,754,517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1,754,517</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26,135</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Currency forwards</w:t>
            </w:r>
          </w:p>
        </w:tc>
        <w:tc>
          <w:tcPr>
            <w:tcW w:w="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198,463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(198,463)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Options</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216,992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216,992</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3,384,188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5,919,538</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1"/>
                <w:szCs w:val="11"/>
                <w:color w:val="auto"/>
              </w:rPr>
              <w:t>(198,463)</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9,105,263</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Payables to broker dealers and clearing organizations:</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Payables linked to digital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181,272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181,272</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181,272</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181,272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Fair value measurements for those items measured on a recurring basis are summarized below as of December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920" w:right="339" w:bottom="1440" w:gutter="0" w:footer="0" w:header="0"/>
        </w:sectPr>
      </w:pPr>
    </w:p>
    <w:bookmarkStart w:id="108" w:name="page109"/>
    <w:bookmarkEnd w:id="108"/>
    <w:tbl>
      <w:tblPr>
        <w:tblLayout w:type="fixed"/>
        <w:tblInd w:w="4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Quoted Prices in Active</w:t>
            </w:r>
          </w:p>
        </w:tc>
        <w:tc>
          <w:tcPr>
            <w:tcW w:w="140" w:type="dxa"/>
            <w:vAlign w:val="bottom"/>
          </w:tcPr>
          <w:p>
            <w:pPr>
              <w:spacing w:after="0"/>
              <w:rPr>
                <w:sz w:val="9"/>
                <w:szCs w:val="9"/>
                <w:color w:val="auto"/>
              </w:rPr>
            </w:pPr>
          </w:p>
        </w:tc>
        <w:tc>
          <w:tcPr>
            <w:tcW w:w="12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Significant Other</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Significant Unobservable</w:t>
            </w:r>
          </w:p>
        </w:tc>
        <w:tc>
          <w:tcPr>
            <w:tcW w:w="80" w:type="dxa"/>
            <w:vAlign w:val="bottom"/>
          </w:tcPr>
          <w:p>
            <w:pPr>
              <w:spacing w:after="0"/>
              <w:rPr>
                <w:sz w:val="9"/>
                <w:szCs w:val="9"/>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Counterparty and Cash</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9"/>
                <w:szCs w:val="9"/>
                <w:color w:val="auto"/>
              </w:rPr>
            </w:pPr>
          </w:p>
        </w:tc>
        <w:tc>
          <w:tcPr>
            <w:tcW w:w="13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Markets for Identical</w:t>
            </w:r>
          </w:p>
        </w:tc>
        <w:tc>
          <w:tcPr>
            <w:tcW w:w="140" w:type="dxa"/>
            <w:vAlign w:val="bottom"/>
          </w:tcPr>
          <w:p>
            <w:pPr>
              <w:spacing w:after="0"/>
              <w:rPr>
                <w:sz w:val="9"/>
                <w:szCs w:val="9"/>
                <w:color w:val="auto"/>
              </w:rPr>
            </w:pPr>
          </w:p>
        </w:tc>
        <w:tc>
          <w:tcPr>
            <w:tcW w:w="12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14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0" w:type="dxa"/>
            <w:vAlign w:val="bottom"/>
          </w:tcPr>
          <w:p>
            <w:pPr>
              <w:spacing w:after="0"/>
              <w:rPr>
                <w:sz w:val="1"/>
                <w:szCs w:val="1"/>
                <w:color w:val="auto"/>
              </w:rPr>
            </w:pPr>
          </w:p>
        </w:tc>
      </w:tr>
      <w:tr>
        <w:trPr>
          <w:trHeight w:val="155"/>
        </w:trPr>
        <w:tc>
          <w:tcPr>
            <w:tcW w:w="4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Assets (Level 1)</w:t>
            </w:r>
          </w:p>
        </w:tc>
        <w:tc>
          <w:tcPr>
            <w:tcW w:w="140" w:type="dxa"/>
            <w:vAlign w:val="bottom"/>
          </w:tcPr>
          <w:p>
            <w:pPr>
              <w:spacing w:after="0"/>
              <w:rPr>
                <w:sz w:val="13"/>
                <w:szCs w:val="13"/>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13"/>
                <w:szCs w:val="13"/>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8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Collateral Netting</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Financial instruments owned, at fair value:</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686,827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2,471,450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3,158,277</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348,761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908,625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1,257,386</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Bonds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967,377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967,377</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40,602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41,487</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Currency forwards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716,970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(676,905)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40,065</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Options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55,423</w:t>
            </w:r>
          </w:p>
        </w:tc>
        <w:tc>
          <w:tcPr>
            <w:tcW w:w="0" w:type="dxa"/>
            <w:vAlign w:val="bottom"/>
          </w:tcPr>
          <w:p>
            <w:pPr>
              <w:spacing w:after="0"/>
              <w:rPr>
                <w:sz w:val="1"/>
                <w:szCs w:val="1"/>
                <w:color w:val="auto"/>
              </w:rPr>
            </w:pPr>
          </w:p>
        </w:tc>
      </w:tr>
      <w:tr>
        <w:trPr>
          <w:trHeight w:val="175"/>
        </w:trPr>
        <w:tc>
          <w:tcPr>
            <w:tcW w:w="4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1,091,896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5,105,024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(676,905)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5,520,015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color w:val="auto"/>
              </w:rPr>
              <w:t>Financial instruments owned, pledged as collateral:</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1,639,404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629,895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2,269,299</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13,338</w:t>
            </w:r>
          </w:p>
        </w:tc>
        <w:tc>
          <w:tcPr>
            <w:tcW w:w="0" w:type="dxa"/>
            <w:vAlign w:val="bottom"/>
          </w:tcPr>
          <w:p>
            <w:pPr>
              <w:spacing w:after="0"/>
              <w:rPr>
                <w:sz w:val="1"/>
                <w:szCs w:val="1"/>
                <w:color w:val="auto"/>
              </w:rPr>
            </w:pPr>
          </w:p>
        </w:tc>
      </w:tr>
      <w:tr>
        <w:trPr>
          <w:trHeight w:val="175"/>
        </w:trPr>
        <w:tc>
          <w:tcPr>
            <w:tcW w:w="4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1,639,404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643,233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2,282,637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 investment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75,843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75,843</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Digital assets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81,671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81,671</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Exchange stock</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812</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82,483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75,843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158,326</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Receivables from broker dealers and clearing organizations:</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Receivables linked to digital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51,595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51,595</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51,595</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51,595</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Financial instruments sold, not yet purchased, at fair value:</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1,837,195</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1,854,883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3,692,078</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1,313,955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1,421,000</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Corporate Bonds</w:t>
            </w:r>
          </w:p>
        </w:tc>
        <w:tc>
          <w:tcPr>
            <w:tcW w:w="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1,249,413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1,249,413</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73,225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73,240</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Currency forwards</w:t>
            </w:r>
          </w:p>
        </w:tc>
        <w:tc>
          <w:tcPr>
            <w:tcW w:w="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681,878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(681,878)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Options</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5,240</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1,949,495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5,173,354</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1"/>
                <w:szCs w:val="11"/>
                <w:color w:val="auto"/>
              </w:rPr>
              <w:t>(681,878)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6,440,971</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Payables to broker dealers and clearing organizations:</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rate swap</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2,572</w:t>
            </w:r>
          </w:p>
        </w:tc>
        <w:tc>
          <w:tcPr>
            <w:tcW w:w="0" w:type="dxa"/>
            <w:vAlign w:val="bottom"/>
          </w:tcPr>
          <w:p>
            <w:pPr>
              <w:spacing w:after="0"/>
              <w:rPr>
                <w:sz w:val="1"/>
                <w:szCs w:val="1"/>
                <w:color w:val="auto"/>
              </w:rPr>
            </w:pPr>
          </w:p>
        </w:tc>
      </w:tr>
      <w:tr>
        <w:trPr>
          <w:trHeight w:val="153"/>
        </w:trPr>
        <w:tc>
          <w:tcPr>
            <w:tcW w:w="44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Payables linked to digital assets</w:t>
            </w:r>
          </w:p>
        </w:tc>
        <w:tc>
          <w:tcPr>
            <w:tcW w:w="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134,164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134,164</w:t>
            </w:r>
          </w:p>
        </w:tc>
        <w:tc>
          <w:tcPr>
            <w:tcW w:w="0" w:type="dxa"/>
            <w:vAlign w:val="bottom"/>
          </w:tcPr>
          <w:p>
            <w:pPr>
              <w:spacing w:after="0"/>
              <w:rPr>
                <w:sz w:val="1"/>
                <w:szCs w:val="1"/>
                <w:color w:val="auto"/>
              </w:rPr>
            </w:pPr>
          </w:p>
        </w:tc>
      </w:tr>
      <w:tr>
        <w:trPr>
          <w:trHeight w:val="175"/>
        </w:trPr>
        <w:tc>
          <w:tcPr>
            <w:tcW w:w="4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136,736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136,736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JNX Investment</w:t>
      </w:r>
    </w:p>
    <w:p>
      <w:pPr>
        <w:spacing w:after="0" w:line="20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9 “Borrowings”) and used the proceeds to partially finance the transaction. The JNX Investment is included within Level 3 of the fair value hierarchy. As of December 31, 2025 and December 31, 2024,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09" w:name="page110"/>
    <w:bookmarkEnd w:id="109"/>
    <w:p>
      <w:pPr>
        <w:ind w:left="520"/>
        <w:spacing w:after="0"/>
        <w:rPr>
          <w:sz w:val="20"/>
          <w:szCs w:val="20"/>
          <w:color w:val="auto"/>
        </w:rPr>
      </w:pPr>
      <w:r>
        <w:rPr>
          <w:rFonts w:ascii="Times New Roman" w:cs="Times New Roman" w:eastAsia="Times New Roman" w:hAnsi="Times New Roman"/>
          <w:sz w:val="14"/>
          <w:szCs w:val="14"/>
          <w:color w:val="auto"/>
        </w:rPr>
        <w:t>The table below presents information on the valuation techniques, significant unobservable inputs and their ranges for the JNX Investment:</w:t>
      </w:r>
    </w:p>
    <w:p>
      <w:pPr>
        <w:spacing w:after="0" w:line="227"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2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Significant Unobservable Input</w:t>
            </w:r>
          </w:p>
        </w:tc>
        <w:tc>
          <w:tcPr>
            <w:tcW w:w="1280" w:type="dxa"/>
            <w:vAlign w:val="bottom"/>
            <w:tcBorders>
              <w:bottom w:val="single" w:sz="8" w:color="auto"/>
            </w:tcBorders>
            <w:gridSpan w:val="2"/>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55"/>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investment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86,491</w:t>
            </w:r>
          </w:p>
        </w:tc>
        <w:tc>
          <w:tcPr>
            <w:tcW w:w="1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Discounted cash flow</w:t>
            </w:r>
          </w:p>
        </w:tc>
        <w:tc>
          <w:tcPr>
            <w:tcW w:w="2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Estimated revenue growth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- 6.0%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5.3 %</w:t>
            </w: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- 16.2%</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16.2 %</w:t>
            </w:r>
          </w:p>
        </w:tc>
        <w:tc>
          <w:tcPr>
            <w:tcW w:w="0" w:type="dxa"/>
            <w:vAlign w:val="bottom"/>
          </w:tcPr>
          <w:p>
            <w:pPr>
              <w:spacing w:after="0"/>
              <w:rPr>
                <w:sz w:val="1"/>
                <w:szCs w:val="1"/>
                <w:color w:val="auto"/>
              </w:rPr>
            </w:pPr>
          </w:p>
        </w:tc>
      </w:tr>
      <w:tr>
        <w:trPr>
          <w:trHeight w:val="116"/>
        </w:trPr>
        <w:tc>
          <w:tcPr>
            <w:tcW w:w="2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Market</w:t>
            </w:r>
          </w:p>
        </w:tc>
        <w:tc>
          <w:tcPr>
            <w:tcW w:w="2060" w:type="dxa"/>
            <w:vAlign w:val="bottom"/>
            <w:shd w:val="clear" w:color="auto" w:fill="CCEEFF"/>
          </w:tcPr>
          <w:p>
            <w:pPr>
              <w:ind w:left="200"/>
              <w:spacing w:after="0" w:line="116" w:lineRule="exact"/>
              <w:rPr>
                <w:sz w:val="20"/>
                <w:szCs w:val="20"/>
                <w:color w:val="auto"/>
              </w:rPr>
            </w:pPr>
            <w:r>
              <w:rPr>
                <w:rFonts w:ascii="Times New Roman" w:cs="Times New Roman" w:eastAsia="Times New Roman" w:hAnsi="Times New Roman"/>
                <w:sz w:val="11"/>
                <w:szCs w:val="11"/>
                <w:color w:val="auto"/>
              </w:rPr>
              <w:t>Future enterprise value/ EBITDA</w:t>
            </w:r>
          </w:p>
        </w:tc>
        <w:tc>
          <w:tcPr>
            <w:tcW w:w="1280" w:type="dxa"/>
            <w:vAlign w:val="bottom"/>
            <w:gridSpan w:val="2"/>
            <w:vMerge w:val="restart"/>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9.5x - 20.1x</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15.0x</w:t>
            </w:r>
          </w:p>
        </w:tc>
        <w:tc>
          <w:tcPr>
            <w:tcW w:w="0" w:type="dxa"/>
            <w:vAlign w:val="bottom"/>
          </w:tcPr>
          <w:p>
            <w:pPr>
              <w:spacing w:after="0"/>
              <w:rPr>
                <w:sz w:val="1"/>
                <w:szCs w:val="1"/>
                <w:color w:val="auto"/>
              </w:rPr>
            </w:pPr>
          </w:p>
        </w:tc>
      </w:tr>
      <w:tr>
        <w:trPr>
          <w:trHeight w:val="155"/>
        </w:trPr>
        <w:tc>
          <w:tcPr>
            <w:tcW w:w="2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0" w:type="dxa"/>
            <w:vAlign w:val="bottom"/>
            <w:vMerge w:val="continue"/>
            <w:shd w:val="clear" w:color="auto" w:fill="CCEEFF"/>
          </w:tcPr>
          <w:p>
            <w:pPr>
              <w:spacing w:after="0"/>
              <w:rPr>
                <w:sz w:val="13"/>
                <w:szCs w:val="13"/>
                <w:color w:val="auto"/>
              </w:rPr>
            </w:pPr>
          </w:p>
        </w:tc>
        <w:tc>
          <w:tcPr>
            <w:tcW w:w="2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ratio</w:t>
            </w:r>
          </w:p>
        </w:tc>
        <w:tc>
          <w:tcPr>
            <w:tcW w:w="1280" w:type="dxa"/>
            <w:vAlign w:val="bottom"/>
            <w:gridSpan w:val="2"/>
            <w:vMerge w:val="continue"/>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tbl>
      <w:tblPr>
        <w:tblLayout w:type="fixed"/>
        <w:tblInd w:w="720" w:type="dxa"/>
        <w:tblCellMar>
          <w:top w:w="0" w:type="dxa"/>
          <w:left w:w="0" w:type="dxa"/>
          <w:bottom w:w="0" w:type="dxa"/>
          <w:right w:w="0" w:type="dxa"/>
        </w:tblCellMar>
      </w:tblPr>
      <w:tr>
        <w:trPr>
          <w:trHeight w:val="158"/>
        </w:trPr>
        <w:tc>
          <w:tcPr>
            <w:tcW w:w="25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Significant Unobservable Input</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5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investment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75,843</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Discounted cash flow</w:t>
            </w:r>
          </w:p>
        </w:tc>
        <w:tc>
          <w:tcPr>
            <w:tcW w:w="2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Estimated revenue growth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- 5.0%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- 16.4%</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16.4 %</w:t>
            </w:r>
          </w:p>
        </w:tc>
        <w:tc>
          <w:tcPr>
            <w:tcW w:w="0" w:type="dxa"/>
            <w:vAlign w:val="bottom"/>
          </w:tcPr>
          <w:p>
            <w:pPr>
              <w:spacing w:after="0"/>
              <w:rPr>
                <w:sz w:val="1"/>
                <w:szCs w:val="1"/>
                <w:color w:val="auto"/>
              </w:rPr>
            </w:pPr>
          </w:p>
        </w:tc>
      </w:tr>
      <w:tr>
        <w:trPr>
          <w:trHeight w:val="112"/>
        </w:trPr>
        <w:tc>
          <w:tcPr>
            <w:tcW w:w="2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5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Market</w:t>
            </w:r>
          </w:p>
        </w:tc>
        <w:tc>
          <w:tcPr>
            <w:tcW w:w="206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Future enterprise value/ EBITDA</w:t>
            </w:r>
          </w:p>
        </w:tc>
        <w:tc>
          <w:tcPr>
            <w:tcW w:w="12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7.5x - 18.0x</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13.2x</w:t>
            </w:r>
          </w:p>
        </w:tc>
        <w:tc>
          <w:tcPr>
            <w:tcW w:w="0" w:type="dxa"/>
            <w:vAlign w:val="bottom"/>
          </w:tcPr>
          <w:p>
            <w:pPr>
              <w:spacing w:after="0"/>
              <w:rPr>
                <w:sz w:val="1"/>
                <w:szCs w:val="1"/>
                <w:color w:val="auto"/>
              </w:rPr>
            </w:pPr>
          </w:p>
        </w:tc>
      </w:tr>
      <w:tr>
        <w:trPr>
          <w:trHeight w:val="159"/>
        </w:trPr>
        <w:tc>
          <w:tcPr>
            <w:tcW w:w="2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580" w:type="dxa"/>
            <w:vAlign w:val="bottom"/>
            <w:vMerge w:val="continue"/>
            <w:shd w:val="clear" w:color="auto" w:fill="CCEEFF"/>
          </w:tcPr>
          <w:p>
            <w:pPr>
              <w:spacing w:after="0"/>
              <w:rPr>
                <w:sz w:val="13"/>
                <w:szCs w:val="13"/>
                <w:color w:val="auto"/>
              </w:rPr>
            </w:pPr>
          </w:p>
        </w:tc>
        <w:tc>
          <w:tcPr>
            <w:tcW w:w="2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ratio</w:t>
            </w:r>
          </w:p>
        </w:tc>
        <w:tc>
          <w:tcPr>
            <w:tcW w:w="1260" w:type="dxa"/>
            <w:vAlign w:val="bottom"/>
            <w:gridSpan w:val="2"/>
            <w:vMerge w:val="continue"/>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Changes in the fair value of the JNX Investment are included within Other, net in the Consolidated Statements of Comprehensive Income.</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presents the changes in the Company’s Level 3 financial instruments measured at fair value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6"/>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99"/>
              </w:rPr>
              <w:t>Year Ended December 31, 2025</w:t>
            </w: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23"/>
              <w:spacing w:after="0" w:line="106" w:lineRule="exact"/>
              <w:rPr>
                <w:sz w:val="20"/>
                <w:szCs w:val="20"/>
                <w:color w:val="auto"/>
              </w:rPr>
            </w:pPr>
            <w:r>
              <w:rPr>
                <w:rFonts w:ascii="Times New Roman" w:cs="Times New Roman" w:eastAsia="Times New Roman" w:hAnsi="Times New Roman"/>
                <w:sz w:val="11"/>
                <w:szCs w:val="11"/>
                <w:b w:val="1"/>
                <w:bCs w:val="1"/>
                <w:color w:val="auto"/>
              </w:rPr>
              <w:t>Change in Net</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Total Realized and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3"/>
              <w:spacing w:after="0" w:line="108" w:lineRule="exact"/>
              <w:rPr>
                <w:sz w:val="20"/>
                <w:szCs w:val="20"/>
                <w:color w:val="auto"/>
              </w:rPr>
            </w:pPr>
            <w:r>
              <w:rPr>
                <w:rFonts w:ascii="Times New Roman" w:cs="Times New Roman" w:eastAsia="Times New Roman" w:hAnsi="Times New Roman"/>
                <w:sz w:val="11"/>
                <w:szCs w:val="11"/>
                <w:b w:val="1"/>
                <w:bCs w:val="1"/>
                <w:color w:val="auto"/>
              </w:rPr>
              <w:t>Unrealized Gains /</w:t>
            </w:r>
          </w:p>
        </w:tc>
        <w:tc>
          <w:tcPr>
            <w:tcW w:w="0" w:type="dxa"/>
            <w:vAlign w:val="bottom"/>
          </w:tcPr>
          <w:p>
            <w:pPr>
              <w:spacing w:after="0"/>
              <w:rPr>
                <w:sz w:val="1"/>
                <w:szCs w:val="1"/>
                <w:color w:val="auto"/>
              </w:rPr>
            </w:pPr>
          </w:p>
        </w:tc>
      </w:tr>
      <w:tr>
        <w:trPr>
          <w:trHeight w:val="115"/>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at December</w:t>
            </w: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Net Transfers into (out</w:t>
            </w: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w:t>
            </w:r>
          </w:p>
        </w:tc>
        <w:tc>
          <w:tcPr>
            <w:tcW w:w="12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(Losses) on Investments</w:t>
            </w:r>
          </w:p>
        </w:tc>
        <w:tc>
          <w:tcPr>
            <w:tcW w:w="0" w:type="dxa"/>
            <w:vAlign w:val="bottom"/>
          </w:tcPr>
          <w:p>
            <w:pPr>
              <w:spacing w:after="0"/>
              <w:rPr>
                <w:sz w:val="1"/>
                <w:szCs w:val="1"/>
                <w:color w:val="auto"/>
              </w:rPr>
            </w:pPr>
          </w:p>
        </w:tc>
      </w:tr>
      <w:tr>
        <w:trPr>
          <w:trHeight w:val="117"/>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20" w:type="dxa"/>
            <w:vAlign w:val="bottom"/>
          </w:tcPr>
          <w:p>
            <w:pPr>
              <w:spacing w:after="0"/>
              <w:rPr>
                <w:sz w:val="10"/>
                <w:szCs w:val="10"/>
                <w:color w:val="auto"/>
              </w:rPr>
            </w:pPr>
          </w:p>
        </w:tc>
        <w:tc>
          <w:tcPr>
            <w:tcW w:w="1040" w:type="dxa"/>
            <w:vAlign w:val="bottom"/>
          </w:tcPr>
          <w:p>
            <w:pPr>
              <w:jc w:val="center"/>
              <w:ind w:right="3"/>
              <w:spacing w:after="0" w:line="117" w:lineRule="exact"/>
              <w:rPr>
                <w:sz w:val="20"/>
                <w:szCs w:val="20"/>
                <w:color w:val="auto"/>
              </w:rPr>
            </w:pPr>
            <w:r>
              <w:rPr>
                <w:rFonts w:ascii="Times New Roman" w:cs="Times New Roman" w:eastAsia="Times New Roman" w:hAnsi="Times New Roman"/>
                <w:sz w:val="11"/>
                <w:szCs w:val="11"/>
                <w:b w:val="1"/>
                <w:bCs w:val="1"/>
                <w:color w:val="auto"/>
              </w:rPr>
              <w:t>Unrealized Gains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Settlement</w:t>
            </w: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23"/>
              <w:spacing w:after="0" w:line="117" w:lineRule="exact"/>
              <w:rPr>
                <w:sz w:val="20"/>
                <w:szCs w:val="20"/>
                <w:color w:val="auto"/>
              </w:rPr>
            </w:pPr>
            <w:r>
              <w:rPr>
                <w:rFonts w:ascii="Times New Roman" w:cs="Times New Roman" w:eastAsia="Times New Roman" w:hAnsi="Times New Roman"/>
                <w:sz w:val="11"/>
                <w:szCs w:val="11"/>
                <w:b w:val="1"/>
                <w:bCs w:val="1"/>
                <w:color w:val="auto"/>
              </w:rPr>
              <w:t>still held at December</w:t>
            </w:r>
          </w:p>
        </w:tc>
        <w:tc>
          <w:tcPr>
            <w:tcW w:w="0" w:type="dxa"/>
            <w:vAlign w:val="bottom"/>
          </w:tcPr>
          <w:p>
            <w:pPr>
              <w:spacing w:after="0"/>
              <w:rPr>
                <w:sz w:val="1"/>
                <w:szCs w:val="1"/>
                <w:color w:val="auto"/>
              </w:rPr>
            </w:pPr>
          </w:p>
        </w:tc>
      </w:tr>
      <w:tr>
        <w:trPr>
          <w:trHeight w:val="154"/>
        </w:trPr>
        <w:tc>
          <w:tcPr>
            <w:tcW w:w="2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(Losses) (1)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of) Level 3</w:t>
            </w: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31, 2025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31, 2025</w:t>
            </w:r>
          </w:p>
        </w:tc>
        <w:tc>
          <w:tcPr>
            <w:tcW w:w="0" w:type="dxa"/>
            <w:vAlign w:val="bottom"/>
          </w:tcPr>
          <w:p>
            <w:pPr>
              <w:spacing w:after="0"/>
              <w:rPr>
                <w:sz w:val="1"/>
                <w:szCs w:val="1"/>
                <w:color w:val="auto"/>
              </w:rPr>
            </w:pPr>
          </w:p>
        </w:tc>
      </w:tr>
      <w:tr>
        <w:trPr>
          <w:trHeight w:val="150"/>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Equity investment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75,843</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10,648</w:t>
            </w:r>
          </w:p>
        </w:tc>
        <w:tc>
          <w:tcPr>
            <w:tcW w:w="340" w:type="dxa"/>
            <w:vAlign w:val="bottom"/>
            <w:gridSpan w:val="3"/>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86,491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10,648</w:t>
            </w:r>
          </w:p>
        </w:tc>
        <w:tc>
          <w:tcPr>
            <w:tcW w:w="0" w:type="dxa"/>
            <w:vAlign w:val="bottom"/>
          </w:tcPr>
          <w:p>
            <w:pPr>
              <w:spacing w:after="0"/>
              <w:rPr>
                <w:sz w:val="1"/>
                <w:szCs w:val="1"/>
                <w:color w:val="auto"/>
              </w:rPr>
            </w:pPr>
          </w:p>
        </w:tc>
      </w:tr>
      <w:tr>
        <w:trPr>
          <w:trHeight w:val="157"/>
        </w:trPr>
        <w:tc>
          <w:tcPr>
            <w:tcW w:w="2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75,843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10,648</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86,491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10,648</w:t>
            </w:r>
          </w:p>
        </w:tc>
        <w:tc>
          <w:tcPr>
            <w:tcW w:w="0" w:type="dxa"/>
            <w:vAlign w:val="bottom"/>
          </w:tcPr>
          <w:p>
            <w:pPr>
              <w:spacing w:after="0"/>
              <w:rPr>
                <w:sz w:val="1"/>
                <w:szCs w:val="1"/>
                <w:color w:val="auto"/>
              </w:rPr>
            </w:pPr>
          </w:p>
        </w:tc>
      </w:tr>
    </w:tbl>
    <w:p>
      <w:pPr>
        <w:ind w:left="180" w:hanging="161"/>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realized and unrealized gains/(losses) includes gains and losses due to fluctuations in currency rates as well as gains and losses recognized on changes in the fair value of the JNX Investment.</w:t>
      </w:r>
    </w:p>
    <w:p>
      <w:pPr>
        <w:spacing w:after="0" w:line="108" w:lineRule="exact"/>
        <w:rPr>
          <w:rFonts w:ascii="Times New Roman" w:cs="Times New Roman" w:eastAsia="Times New Roman" w:hAnsi="Times New Roman"/>
          <w:sz w:val="11"/>
          <w:szCs w:val="11"/>
          <w:color w:val="auto"/>
        </w:rPr>
      </w:pPr>
    </w:p>
    <w:p>
      <w:pPr>
        <w:ind w:left="606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-222250</wp:posOffset>
            </wp:positionV>
            <wp:extent cx="56794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79440" cy="698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23"/>
              <w:spacing w:after="0" w:line="118" w:lineRule="exact"/>
              <w:rPr>
                <w:sz w:val="20"/>
                <w:szCs w:val="20"/>
                <w:color w:val="auto"/>
              </w:rPr>
            </w:pPr>
            <w:r>
              <w:rPr>
                <w:rFonts w:ascii="Times New Roman" w:cs="Times New Roman" w:eastAsia="Times New Roman" w:hAnsi="Times New Roman"/>
                <w:sz w:val="11"/>
                <w:szCs w:val="11"/>
                <w:b w:val="1"/>
                <w:bCs w:val="1"/>
                <w:color w:val="auto"/>
              </w:rPr>
              <w:t>Change in Net</w:t>
            </w: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Realized and</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3"/>
              <w:spacing w:after="0" w:line="117" w:lineRule="exact"/>
              <w:rPr>
                <w:sz w:val="20"/>
                <w:szCs w:val="20"/>
                <w:color w:val="auto"/>
              </w:rPr>
            </w:pPr>
            <w:r>
              <w:rPr>
                <w:rFonts w:ascii="Times New Roman" w:cs="Times New Roman" w:eastAsia="Times New Roman" w:hAnsi="Times New Roman"/>
                <w:sz w:val="11"/>
                <w:szCs w:val="11"/>
                <w:b w:val="1"/>
                <w:bCs w:val="1"/>
                <w:color w:val="auto"/>
              </w:rPr>
              <w:t>Unrealized Gains /</w:t>
            </w:r>
          </w:p>
        </w:tc>
        <w:tc>
          <w:tcPr>
            <w:tcW w:w="0" w:type="dxa"/>
            <w:vAlign w:val="bottom"/>
          </w:tcPr>
          <w:p>
            <w:pPr>
              <w:spacing w:after="0"/>
              <w:rPr>
                <w:sz w:val="1"/>
                <w:szCs w:val="1"/>
                <w:color w:val="auto"/>
              </w:rPr>
            </w:pPr>
          </w:p>
        </w:tc>
      </w:tr>
      <w:tr>
        <w:trPr>
          <w:trHeight w:val="115"/>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at December</w:t>
            </w: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Net Transfers into (out</w:t>
            </w: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w:t>
            </w:r>
          </w:p>
        </w:tc>
        <w:tc>
          <w:tcPr>
            <w:tcW w:w="12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(Losses) on Investments</w:t>
            </w:r>
          </w:p>
        </w:tc>
        <w:tc>
          <w:tcPr>
            <w:tcW w:w="0" w:type="dxa"/>
            <w:vAlign w:val="bottom"/>
          </w:tcPr>
          <w:p>
            <w:pPr>
              <w:spacing w:after="0"/>
              <w:rPr>
                <w:sz w:val="1"/>
                <w:szCs w:val="1"/>
                <w:color w:val="auto"/>
              </w:rPr>
            </w:pPr>
          </w:p>
        </w:tc>
      </w:tr>
      <w:tr>
        <w:trPr>
          <w:trHeight w:val="108"/>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20" w:type="dxa"/>
            <w:vAlign w:val="bottom"/>
          </w:tcPr>
          <w:p>
            <w:pPr>
              <w:spacing w:after="0"/>
              <w:rPr>
                <w:sz w:val="9"/>
                <w:szCs w:val="9"/>
                <w:color w:val="auto"/>
              </w:rPr>
            </w:pPr>
          </w:p>
        </w:tc>
        <w:tc>
          <w:tcPr>
            <w:tcW w:w="11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Unrealized Gains /</w:t>
            </w:r>
          </w:p>
        </w:tc>
        <w:tc>
          <w:tcPr>
            <w:tcW w:w="13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Settlement</w:t>
            </w: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23"/>
              <w:spacing w:after="0" w:line="108" w:lineRule="exact"/>
              <w:rPr>
                <w:sz w:val="20"/>
                <w:szCs w:val="20"/>
                <w:color w:val="auto"/>
              </w:rPr>
            </w:pPr>
            <w:r>
              <w:rPr>
                <w:rFonts w:ascii="Times New Roman" w:cs="Times New Roman" w:eastAsia="Times New Roman" w:hAnsi="Times New Roman"/>
                <w:sz w:val="11"/>
                <w:szCs w:val="11"/>
                <w:b w:val="1"/>
                <w:bCs w:val="1"/>
                <w:color w:val="auto"/>
              </w:rPr>
              <w:t>still held at December</w:t>
            </w:r>
          </w:p>
        </w:tc>
        <w:tc>
          <w:tcPr>
            <w:tcW w:w="0" w:type="dxa"/>
            <w:vAlign w:val="bottom"/>
          </w:tcPr>
          <w:p>
            <w:pPr>
              <w:spacing w:after="0"/>
              <w:rPr>
                <w:sz w:val="1"/>
                <w:szCs w:val="1"/>
                <w:color w:val="auto"/>
              </w:rPr>
            </w:pPr>
          </w:p>
        </w:tc>
      </w:tr>
      <w:tr>
        <w:trPr>
          <w:trHeight w:val="153"/>
        </w:trPr>
        <w:tc>
          <w:tcPr>
            <w:tcW w:w="2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(Losses) (1)</w:t>
            </w:r>
          </w:p>
        </w:tc>
        <w:tc>
          <w:tcPr>
            <w:tcW w:w="20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of) Level 3</w:t>
            </w: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0" w:type="dxa"/>
            <w:vAlign w:val="bottom"/>
          </w:tcPr>
          <w:p>
            <w:pPr>
              <w:spacing w:after="0"/>
              <w:rPr>
                <w:sz w:val="1"/>
                <w:szCs w:val="1"/>
                <w:color w:val="auto"/>
              </w:rPr>
            </w:pPr>
          </w:p>
        </w:tc>
      </w:tr>
      <w:tr>
        <w:trPr>
          <w:trHeight w:val="154"/>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(5,962)</w:t>
            </w:r>
          </w:p>
        </w:tc>
        <w:tc>
          <w:tcPr>
            <w:tcW w:w="0" w:type="dxa"/>
            <w:vAlign w:val="bottom"/>
          </w:tcPr>
          <w:p>
            <w:pPr>
              <w:spacing w:after="0"/>
              <w:rPr>
                <w:sz w:val="1"/>
                <w:szCs w:val="1"/>
                <w:color w:val="auto"/>
              </w:rPr>
            </w:pPr>
          </w:p>
        </w:tc>
      </w:tr>
      <w:tr>
        <w:trPr>
          <w:trHeight w:val="15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81,805</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(5,962)</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75,843</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-635</wp:posOffset>
            </wp:positionV>
            <wp:extent cx="56794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7944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1"/>
          <w:szCs w:val="11"/>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-68580</wp:posOffset>
            </wp:positionV>
            <wp:extent cx="56794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79440" cy="698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color w:val="auto"/>
        </w:rPr>
        <w:t>Financial Instruments Not Measured at Fair Value</w:t>
      </w:r>
    </w:p>
    <w:p>
      <w:pPr>
        <w:spacing w:after="0" w:line="20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table below presents the carrying value, fair value and fair value hierarchy category of certain financial instruments that are not measured at fair value on the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summarizes financial assets and liabilities not carried at fair value on a recurring basis as of December 31, 2025:</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Quoted Prices in Active</w:t>
            </w:r>
          </w:p>
        </w:tc>
        <w:tc>
          <w:tcPr>
            <w:tcW w:w="100" w:type="dxa"/>
            <w:vAlign w:val="bottom"/>
          </w:tcPr>
          <w:p>
            <w:pPr>
              <w:spacing w:after="0"/>
              <w:rPr>
                <w:sz w:val="19"/>
                <w:szCs w:val="19"/>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60" w:type="dxa"/>
            <w:vAlign w:val="bottom"/>
          </w:tcPr>
          <w:p>
            <w:pPr>
              <w:spacing w:after="0"/>
              <w:rPr>
                <w:sz w:val="19"/>
                <w:szCs w:val="19"/>
                <w:color w:val="auto"/>
              </w:rPr>
            </w:pP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Markets for</w:t>
            </w: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Identical Assets</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Observable Inputs</w:t>
            </w:r>
          </w:p>
        </w:tc>
        <w:tc>
          <w:tcPr>
            <w:tcW w:w="6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0" w:type="dxa"/>
            <w:vAlign w:val="bottom"/>
          </w:tcPr>
          <w:p>
            <w:pPr>
              <w:spacing w:after="0"/>
              <w:rPr>
                <w:sz w:val="1"/>
                <w:szCs w:val="1"/>
                <w:color w:val="auto"/>
              </w:rPr>
            </w:pPr>
          </w:p>
        </w:tc>
      </w:tr>
      <w:tr>
        <w:trPr>
          <w:trHeight w:val="169"/>
        </w:trPr>
        <w:tc>
          <w:tcPr>
            <w:tcW w:w="46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4"/>
                <w:szCs w:val="14"/>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Pr>
          <w:p>
            <w:pPr>
              <w:spacing w:after="0"/>
              <w:rPr>
                <w:sz w:val="14"/>
                <w:szCs w:val="14"/>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4"/>
        </w:trPr>
        <w:tc>
          <w:tcPr>
            <w:tcW w:w="4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1,061,697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1,061,697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1,061,697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Cash restricted or segregated under regulations and other</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64,744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64,744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64,744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Securities borrowed</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3,191,138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3,191,138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3,191,138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988,929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988,929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988,929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1,567,471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1,567,471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1,567,471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Receivables from customers</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161,561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161,561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161,561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assets (1)</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39,945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39,945</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16,414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23,531</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7,075,485</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7,075,485</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1,142,855</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5,932,630</w:t>
            </w:r>
          </w:p>
        </w:tc>
        <w:tc>
          <w:tcPr>
            <w:tcW w:w="1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12,382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Long-term borrowings</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2,039,463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2,098,639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2,098,639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Securities loaned</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3,477,831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3,477,831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3,477,831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1,405,639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1,405,639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1,405,639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817,004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817,004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817,004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Payables to customers</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43,103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43,103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43,103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liabilities (2)</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26,039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7,821,461</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7,880,637</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7,880,637</w:t>
            </w: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-635</wp:posOffset>
            </wp:positionV>
            <wp:extent cx="412305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23055" cy="6985"/>
                    </a:xfrm>
                    <a:prstGeom prst="rect">
                      <a:avLst/>
                    </a:prstGeom>
                    <a:noFill/>
                  </pic:spPr>
                </pic:pic>
              </a:graphicData>
            </a:graphic>
          </wp:anchor>
        </w:drawing>
      </w:r>
    </w:p>
    <w:p>
      <w:pPr>
        <w:ind w:left="240" w:hanging="163"/>
        <w:spacing w:after="0"/>
        <w:tabs>
          <w:tab w:leader="none" w:pos="24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cash collateral and deposits, and interest and dividends receivables.</w:t>
      </w:r>
    </w:p>
    <w:p>
      <w:pPr>
        <w:spacing w:after="0" w:line="32" w:lineRule="exact"/>
        <w:rPr>
          <w:rFonts w:ascii="Times New Roman" w:cs="Times New Roman" w:eastAsia="Times New Roman" w:hAnsi="Times New Roman"/>
          <w:sz w:val="11"/>
          <w:szCs w:val="11"/>
          <w:color w:val="auto"/>
        </w:rPr>
      </w:pPr>
    </w:p>
    <w:p>
      <w:pPr>
        <w:ind w:left="240" w:hanging="163"/>
        <w:spacing w:after="0"/>
        <w:tabs>
          <w:tab w:leader="none" w:pos="24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-176530</wp:posOffset>
            </wp:positionV>
            <wp:extent cx="7087870" cy="1009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87870" cy="10096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18" w:right="359" w:bottom="1440" w:gutter="0" w:footer="0" w:header="0"/>
        </w:sectPr>
      </w:pPr>
    </w:p>
    <w:bookmarkStart w:id="111" w:name="page112"/>
    <w:bookmarkEnd w:id="111"/>
    <w:p>
      <w:pPr>
        <w:ind w:left="520"/>
        <w:spacing w:after="0"/>
        <w:rPr>
          <w:sz w:val="20"/>
          <w:szCs w:val="20"/>
          <w:color w:val="auto"/>
        </w:rPr>
      </w:pPr>
      <w:r>
        <w:rPr>
          <w:rFonts w:ascii="Times New Roman" w:cs="Times New Roman" w:eastAsia="Times New Roman" w:hAnsi="Times New Roman"/>
          <w:sz w:val="14"/>
          <w:szCs w:val="14"/>
          <w:color w:val="auto"/>
        </w:rPr>
        <w:t>The table below summarizes financial assets and liabilities not carried at fair value on a recurring basis as of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Quoted Prices in Active</w:t>
            </w:r>
          </w:p>
        </w:tc>
        <w:tc>
          <w:tcPr>
            <w:tcW w:w="120" w:type="dxa"/>
            <w:vAlign w:val="bottom"/>
          </w:tcPr>
          <w:p>
            <w:pPr>
              <w:spacing w:after="0"/>
              <w:rPr>
                <w:sz w:val="19"/>
                <w:szCs w:val="19"/>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80" w:type="dxa"/>
            <w:vAlign w:val="bottom"/>
          </w:tcPr>
          <w:p>
            <w:pPr>
              <w:spacing w:after="0"/>
              <w:rPr>
                <w:sz w:val="19"/>
                <w:szCs w:val="19"/>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5"/>
        </w:trPr>
        <w:tc>
          <w:tcPr>
            <w:tcW w:w="4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Markets for</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Identical Assets</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Observable Inputs</w:t>
            </w:r>
          </w:p>
        </w:tc>
        <w:tc>
          <w:tcPr>
            <w:tcW w:w="80" w:type="dxa"/>
            <w:vAlign w:val="bottom"/>
          </w:tcPr>
          <w:p>
            <w:pPr>
              <w:spacing w:after="0"/>
              <w:rPr>
                <w:sz w:val="13"/>
                <w:szCs w:val="1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0" w:type="dxa"/>
            <w:vAlign w:val="bottom"/>
          </w:tcPr>
          <w:p>
            <w:pPr>
              <w:spacing w:after="0"/>
              <w:rPr>
                <w:sz w:val="1"/>
                <w:szCs w:val="1"/>
                <w:color w:val="auto"/>
              </w:rPr>
            </w:pPr>
          </w:p>
        </w:tc>
      </w:tr>
      <w:tr>
        <w:trPr>
          <w:trHeight w:val="169"/>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872,513</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872,513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872,513</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restricted or segregated under regulations and other</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41,478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Securities borrowed</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2,294,529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2,294,529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2,294,529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983,941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983,941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983,941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1,049,255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1,049,255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1,049,255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Receivables from customers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Other assets (1)</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31,726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31,726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11,121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20,605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5,423,246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5,423,246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925,112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4,498,134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38,541</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38,541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38,541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Long-term borrowings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1,740,467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1,788,719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1,788,719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Securities loaned</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2,431,878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2,431,878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2,431,878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1,271,788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1,271,788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1,271,788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781,830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781,830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781,830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Payables to customers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Other liabilities (2)</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26,114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26,114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6,336,730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6,384,982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6,384,982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ind w:left="180" w:hanging="161"/>
        <w:spacing w:after="0"/>
        <w:tabs>
          <w:tab w:leader="none" w:pos="18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cash collateral and deposits, and interest and dividends receivables.</w:t>
      </w:r>
    </w:p>
    <w:p>
      <w:pPr>
        <w:spacing w:after="0" w:line="25" w:lineRule="exact"/>
        <w:rPr>
          <w:rFonts w:ascii="Times New Roman" w:cs="Times New Roman" w:eastAsia="Times New Roman" w:hAnsi="Times New Roman"/>
          <w:sz w:val="11"/>
          <w:szCs w:val="11"/>
          <w:color w:val="auto"/>
        </w:rPr>
      </w:pPr>
    </w:p>
    <w:p>
      <w:pPr>
        <w:ind w:left="180" w:hanging="161"/>
        <w:spacing w:after="0"/>
        <w:tabs>
          <w:tab w:leader="none" w:pos="18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-169545</wp:posOffset>
            </wp:positionV>
            <wp:extent cx="412305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23055" cy="698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Offsetting of Financial Assets and Liabilities</w:t>
      </w:r>
    </w:p>
    <w:p>
      <w:pPr>
        <w:spacing w:after="0" w:line="202"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The Company does not net securities borrowed and securities loaned, or securities purchased under agreements to resell and securities sold under agreements to repurchase. These financial instruments are presented on a gross basis in the Consolidated Statements of Financial Condition. In the tables below, the amounts of financial instruments owned that are not offset in the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12" w:name="page113"/>
    <w:bookmarkEnd w:id="112"/>
    <w:p>
      <w:pPr>
        <w:ind w:left="480"/>
        <w:spacing w:after="0"/>
        <w:rPr>
          <w:sz w:val="20"/>
          <w:szCs w:val="20"/>
          <w:color w:val="auto"/>
        </w:rPr>
      </w:pPr>
      <w:r>
        <w:rPr>
          <w:rFonts w:ascii="Times New Roman" w:cs="Times New Roman" w:eastAsia="Times New Roman" w:hAnsi="Times New Roman"/>
          <w:sz w:val="14"/>
          <w:szCs w:val="14"/>
          <w:color w:val="auto"/>
        </w:rPr>
        <w:t>The following tables set forth the gross and net presentation of certain financial assets and financial liabilities as of December 31, 2025 and December 31,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6"/>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Amounts Not Offset in the Consolidated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Amounts of Assets</w:t>
            </w:r>
          </w:p>
        </w:tc>
        <w:tc>
          <w:tcPr>
            <w:tcW w:w="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of Financial Condition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Gross Amounts of</w:t>
            </w:r>
          </w:p>
        </w:tc>
        <w:tc>
          <w:tcPr>
            <w:tcW w:w="100" w:type="dxa"/>
            <w:vAlign w:val="bottom"/>
          </w:tcPr>
          <w:p>
            <w:pPr>
              <w:spacing w:after="0"/>
              <w:rPr>
                <w:sz w:val="9"/>
                <w:szCs w:val="9"/>
                <w:color w:val="auto"/>
              </w:rPr>
            </w:pPr>
          </w:p>
        </w:tc>
        <w:tc>
          <w:tcPr>
            <w:tcW w:w="15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Amounts Offset in the</w:t>
            </w:r>
          </w:p>
        </w:tc>
        <w:tc>
          <w:tcPr>
            <w:tcW w:w="164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Presented in the Consolidated</w:t>
            </w:r>
          </w:p>
        </w:tc>
        <w:tc>
          <w:tcPr>
            <w:tcW w:w="80" w:type="dxa"/>
            <w:vAlign w:val="bottom"/>
          </w:tcPr>
          <w:p>
            <w:pPr>
              <w:spacing w:after="0"/>
              <w:rPr>
                <w:sz w:val="9"/>
                <w:szCs w:val="9"/>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Financial Instrument</w:t>
            </w:r>
          </w:p>
        </w:tc>
        <w:tc>
          <w:tcPr>
            <w:tcW w:w="60" w:type="dxa"/>
            <w:vAlign w:val="bottom"/>
          </w:tcPr>
          <w:p>
            <w:pPr>
              <w:spacing w:after="0"/>
              <w:rPr>
                <w:sz w:val="9"/>
                <w:szCs w:val="9"/>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Counterparty Netting/</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Consolidated Statements of</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Statements of Financial</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5"/>
        </w:trPr>
        <w:tc>
          <w:tcPr>
            <w:tcW w:w="2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Recognized Assets</w:t>
            </w:r>
          </w:p>
        </w:tc>
        <w:tc>
          <w:tcPr>
            <w:tcW w:w="10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Financial Condition</w:t>
            </w: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8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6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Cash Collateral</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Offsetting of Financial Assets: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borrowed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3,191,138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3,191,138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(3,083,612)</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(53,461)</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54,065</w:t>
            </w: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988,929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988,929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(988,274)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655</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assets, at fair value:</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Currency forwards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211,856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(204,775)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7,081</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Options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97,459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751</w:t>
            </w:r>
          </w:p>
        </w:tc>
        <w:tc>
          <w:tcPr>
            <w:tcW w:w="0" w:type="dxa"/>
            <w:vAlign w:val="bottom"/>
          </w:tcPr>
          <w:p>
            <w:pPr>
              <w:spacing w:after="0"/>
              <w:rPr>
                <w:sz w:val="1"/>
                <w:szCs w:val="1"/>
                <w:color w:val="auto"/>
              </w:rPr>
            </w:pPr>
          </w:p>
        </w:tc>
      </w:tr>
      <w:tr>
        <w:trPr>
          <w:trHeight w:val="181"/>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4,489,382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(204,775)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4,284,607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(4,071,886)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(150,169)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62,552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Amounts Not Offset in the Consolidated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Net Amounts of Liabilities</w:t>
            </w:r>
          </w:p>
        </w:tc>
        <w:tc>
          <w:tcPr>
            <w:tcW w:w="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of Financial Condition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Gross Amounts of</w:t>
            </w:r>
          </w:p>
        </w:tc>
        <w:tc>
          <w:tcPr>
            <w:tcW w:w="100" w:type="dxa"/>
            <w:vAlign w:val="bottom"/>
          </w:tcPr>
          <w:p>
            <w:pPr>
              <w:spacing w:after="0"/>
              <w:rPr>
                <w:sz w:val="10"/>
                <w:szCs w:val="10"/>
                <w:color w:val="auto"/>
              </w:rPr>
            </w:pPr>
          </w:p>
        </w:tc>
        <w:tc>
          <w:tcPr>
            <w:tcW w:w="154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Amounts Offset in the</w:t>
            </w:r>
          </w:p>
        </w:tc>
        <w:tc>
          <w:tcPr>
            <w:tcW w:w="1640" w:type="dxa"/>
            <w:vAlign w:val="bottom"/>
            <w:gridSpan w:val="3"/>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Presented in the Consolidated</w:t>
            </w:r>
          </w:p>
        </w:tc>
        <w:tc>
          <w:tcPr>
            <w:tcW w:w="80" w:type="dxa"/>
            <w:vAlign w:val="bottom"/>
          </w:tcPr>
          <w:p>
            <w:pPr>
              <w:spacing w:after="0"/>
              <w:rPr>
                <w:sz w:val="10"/>
                <w:szCs w:val="10"/>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Financial Instrument</w:t>
            </w:r>
          </w:p>
        </w:tc>
        <w:tc>
          <w:tcPr>
            <w:tcW w:w="60" w:type="dxa"/>
            <w:vAlign w:val="bottom"/>
          </w:tcPr>
          <w:p>
            <w:pPr>
              <w:spacing w:after="0"/>
              <w:rPr>
                <w:sz w:val="10"/>
                <w:szCs w:val="10"/>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Counterparty Netting/</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Consolidated Statements of</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Statements of Financial</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4"/>
        </w:trPr>
        <w:tc>
          <w:tcPr>
            <w:tcW w:w="2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Recognized Liabilities</w:t>
            </w:r>
          </w:p>
        </w:tc>
        <w:tc>
          <w:tcPr>
            <w:tcW w:w="10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Financial Condition</w:t>
            </w: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8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6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Cash Collateral</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Offsetting of Financial Liabilities: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loaned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3,477,831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3,477,831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(3,382,370)</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(67,690)</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27,771</w:t>
            </w: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1,405,639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1,405,639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(1,404,924)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715</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liabilities, at fair value:</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Currency forwards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198,463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(198,463)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Options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216,992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216,992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120,284</w:t>
            </w:r>
          </w:p>
        </w:tc>
        <w:tc>
          <w:tcPr>
            <w:tcW w:w="0" w:type="dxa"/>
            <w:vAlign w:val="bottom"/>
          </w:tcPr>
          <w:p>
            <w:pPr>
              <w:spacing w:after="0"/>
              <w:rPr>
                <w:sz w:val="1"/>
                <w:szCs w:val="1"/>
                <w:color w:val="auto"/>
              </w:rPr>
            </w:pPr>
          </w:p>
        </w:tc>
      </w:tr>
      <w:tr>
        <w:trPr>
          <w:trHeight w:val="181"/>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5,298,925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(198,463)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5,100,462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(4,787,294)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(164,398)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148,770</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Amounts Not Offset in the Consolidated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Amounts of Assets</w:t>
            </w:r>
          </w:p>
        </w:tc>
        <w:tc>
          <w:tcPr>
            <w:tcW w:w="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of Financial Condition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Gross Amounts of</w:t>
            </w:r>
          </w:p>
        </w:tc>
        <w:tc>
          <w:tcPr>
            <w:tcW w:w="100" w:type="dxa"/>
            <w:vAlign w:val="bottom"/>
          </w:tcPr>
          <w:p>
            <w:pPr>
              <w:spacing w:after="0"/>
              <w:rPr>
                <w:sz w:val="10"/>
                <w:szCs w:val="10"/>
                <w:color w:val="auto"/>
              </w:rPr>
            </w:pPr>
          </w:p>
        </w:tc>
        <w:tc>
          <w:tcPr>
            <w:tcW w:w="154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Amounts Offset in the</w:t>
            </w:r>
          </w:p>
        </w:tc>
        <w:tc>
          <w:tcPr>
            <w:tcW w:w="1640" w:type="dxa"/>
            <w:vAlign w:val="bottom"/>
            <w:gridSpan w:val="3"/>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Presented in the Consolidated</w:t>
            </w:r>
          </w:p>
        </w:tc>
        <w:tc>
          <w:tcPr>
            <w:tcW w:w="80" w:type="dxa"/>
            <w:vAlign w:val="bottom"/>
          </w:tcPr>
          <w:p>
            <w:pPr>
              <w:spacing w:after="0"/>
              <w:rPr>
                <w:sz w:val="10"/>
                <w:szCs w:val="10"/>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Financial Instrument</w:t>
            </w:r>
          </w:p>
        </w:tc>
        <w:tc>
          <w:tcPr>
            <w:tcW w:w="60" w:type="dxa"/>
            <w:vAlign w:val="bottom"/>
          </w:tcPr>
          <w:p>
            <w:pPr>
              <w:spacing w:after="0"/>
              <w:rPr>
                <w:sz w:val="10"/>
                <w:szCs w:val="10"/>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Counterparty Netting/</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Consolidated Statements of</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Statements of Financial</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4"/>
        </w:trPr>
        <w:tc>
          <w:tcPr>
            <w:tcW w:w="2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Recognized Assets</w:t>
            </w:r>
          </w:p>
        </w:tc>
        <w:tc>
          <w:tcPr>
            <w:tcW w:w="10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Financial Condition</w:t>
            </w: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8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6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Cash Collateral</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Offsetting of Financial Assets: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borrowed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2,294,529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2,294,529</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(2,222,054)</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(39,309)</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33,166</w:t>
            </w: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983,941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983,941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(983,753)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assets, at fair value:</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Currency forwards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716,970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(676,905)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40,065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40,065</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Options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55,423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4,050,863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(676,905)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3,373,958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(3,205,807)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73,419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9" w:right="339" w:bottom="1440" w:gutter="0" w:footer="0" w:header="0"/>
        </w:sectPr>
      </w:pPr>
    </w:p>
    <w:bookmarkStart w:id="113" w:name="page114"/>
    <w:bookmarkEnd w:id="113"/>
    <w:tbl>
      <w:tblPr>
        <w:tblLayout w:type="fixed"/>
        <w:tblInd w:w="40" w:type="dxa"/>
        <w:tblCellMar>
          <w:top w:w="0" w:type="dxa"/>
          <w:left w:w="0" w:type="dxa"/>
          <w:bottom w:w="0" w:type="dxa"/>
          <w:right w:w="0" w:type="dxa"/>
        </w:tblCellMar>
      </w:tblPr>
      <w:tr>
        <w:trPr>
          <w:trHeight w:val="126"/>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Amounts Not Offset in the Consolidated Statements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Net Amounts of Liabilities</w:t>
            </w:r>
          </w:p>
        </w:tc>
        <w:tc>
          <w:tcPr>
            <w:tcW w:w="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of Financial Condition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Gross Amounts of</w:t>
            </w:r>
          </w:p>
        </w:tc>
        <w:tc>
          <w:tcPr>
            <w:tcW w:w="100" w:type="dxa"/>
            <w:vAlign w:val="bottom"/>
          </w:tcPr>
          <w:p>
            <w:pPr>
              <w:spacing w:after="0"/>
              <w:rPr>
                <w:sz w:val="9"/>
                <w:szCs w:val="9"/>
                <w:color w:val="auto"/>
              </w:rPr>
            </w:pPr>
          </w:p>
        </w:tc>
        <w:tc>
          <w:tcPr>
            <w:tcW w:w="15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Amounts Offset in the</w:t>
            </w:r>
          </w:p>
        </w:tc>
        <w:tc>
          <w:tcPr>
            <w:tcW w:w="164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Presented in the Consolidated</w:t>
            </w:r>
          </w:p>
        </w:tc>
        <w:tc>
          <w:tcPr>
            <w:tcW w:w="80" w:type="dxa"/>
            <w:vAlign w:val="bottom"/>
          </w:tcPr>
          <w:p>
            <w:pPr>
              <w:spacing w:after="0"/>
              <w:rPr>
                <w:sz w:val="9"/>
                <w:szCs w:val="9"/>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Financial Instrument</w:t>
            </w:r>
          </w:p>
        </w:tc>
        <w:tc>
          <w:tcPr>
            <w:tcW w:w="60" w:type="dxa"/>
            <w:vAlign w:val="bottom"/>
          </w:tcPr>
          <w:p>
            <w:pPr>
              <w:spacing w:after="0"/>
              <w:rPr>
                <w:sz w:val="9"/>
                <w:szCs w:val="9"/>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Counterparty Netting/</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Consolidated Statements of</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Statements of Financial</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5"/>
        </w:trPr>
        <w:tc>
          <w:tcPr>
            <w:tcW w:w="2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Recognized Liabilities</w:t>
            </w:r>
          </w:p>
        </w:tc>
        <w:tc>
          <w:tcPr>
            <w:tcW w:w="10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Financial Condition</w:t>
            </w: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8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6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Cash Collateral</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Offsetting of Financial Liabilities: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loaned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2,431,878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2,431,878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(2,375,372)</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(48,545)</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7,961</w:t>
            </w: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1,271,788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1,271,788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(1,271,573)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215</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rate swaps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2,572</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liabilities, at fair value:</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Currency forwards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681,878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(681,878)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Options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81"/>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4,393,356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(681,878)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3,711,478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(3,646,945)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10,775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presents gross obligations for securities sold under agreements to repurchase and for securities lending transactions by remaining contractual maturity and the class of collateral pledged as of December 31, 2025 and December 31, 2024:</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Remaining Contractual Maturity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Overnight and Continuous</w:t>
            </w:r>
          </w:p>
        </w:tc>
        <w:tc>
          <w:tcPr>
            <w:tcW w:w="100" w:type="dxa"/>
            <w:vAlign w:val="bottom"/>
          </w:tcPr>
          <w:p>
            <w:pPr>
              <w:spacing w:after="0"/>
              <w:rPr>
                <w:sz w:val="8"/>
                <w:szCs w:val="8"/>
                <w:color w:val="auto"/>
              </w:rPr>
            </w:pPr>
          </w:p>
        </w:tc>
        <w:tc>
          <w:tcPr>
            <w:tcW w:w="114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Less than 30 days</w:t>
            </w:r>
          </w:p>
        </w:tc>
        <w:tc>
          <w:tcPr>
            <w:tcW w:w="140" w:type="dxa"/>
            <w:vAlign w:val="bottom"/>
          </w:tcPr>
          <w:p>
            <w:pPr>
              <w:spacing w:after="0"/>
              <w:rPr>
                <w:sz w:val="8"/>
                <w:szCs w:val="8"/>
                <w:color w:val="auto"/>
              </w:rPr>
            </w:pPr>
          </w:p>
        </w:tc>
        <w:tc>
          <w:tcPr>
            <w:tcW w:w="980" w:type="dxa"/>
            <w:vAlign w:val="bottom"/>
          </w:tcPr>
          <w:p>
            <w:pPr>
              <w:jc w:val="center"/>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30 - 60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jc w:val="center"/>
              <w:ind w:right="263"/>
              <w:spacing w:after="0" w:line="102" w:lineRule="exact"/>
              <w:rPr>
                <w:sz w:val="20"/>
                <w:szCs w:val="20"/>
                <w:color w:val="auto"/>
              </w:rPr>
            </w:pPr>
            <w:r>
              <w:rPr>
                <w:rFonts w:ascii="Times New Roman" w:cs="Times New Roman" w:eastAsia="Times New Roman" w:hAnsi="Times New Roman"/>
                <w:sz w:val="11"/>
                <w:szCs w:val="11"/>
                <w:b w:val="1"/>
                <w:bCs w:val="1"/>
                <w:color w:val="auto"/>
              </w:rPr>
              <w:t>61 - 90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Greater than 90</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40" w:type="dxa"/>
            <w:vAlign w:val="bottom"/>
            <w:gridSpan w:val="3"/>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days</w:t>
            </w:r>
          </w:p>
        </w:tc>
        <w:tc>
          <w:tcPr>
            <w:tcW w:w="320" w:type="dxa"/>
            <w:vAlign w:val="bottom"/>
          </w:tcPr>
          <w:p>
            <w:pPr>
              <w:spacing w:after="0"/>
              <w:rPr>
                <w:sz w:val="13"/>
                <w:szCs w:val="13"/>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Days</w:t>
            </w: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days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Equity securities</w:t>
            </w: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905,639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905,639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50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905,639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315,000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1,405,639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Securities loaned:</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Equity securities</w:t>
            </w:r>
          </w:p>
        </w:tc>
        <w:tc>
          <w:tcPr>
            <w:tcW w:w="50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3,477,831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3,477,831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50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3,477,831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3,477,831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Remaining Contractual Maturity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Overnight and Continuous</w:t>
            </w:r>
          </w:p>
        </w:tc>
        <w:tc>
          <w:tcPr>
            <w:tcW w:w="100" w:type="dxa"/>
            <w:vAlign w:val="bottom"/>
          </w:tcPr>
          <w:p>
            <w:pPr>
              <w:spacing w:after="0"/>
              <w:rPr>
                <w:sz w:val="9"/>
                <w:szCs w:val="9"/>
                <w:color w:val="auto"/>
              </w:rPr>
            </w:pPr>
          </w:p>
        </w:tc>
        <w:tc>
          <w:tcPr>
            <w:tcW w:w="114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Less than 30 days</w:t>
            </w:r>
          </w:p>
        </w:tc>
        <w:tc>
          <w:tcPr>
            <w:tcW w:w="140" w:type="dxa"/>
            <w:vAlign w:val="bottom"/>
          </w:tcPr>
          <w:p>
            <w:pPr>
              <w:spacing w:after="0"/>
              <w:rPr>
                <w:sz w:val="9"/>
                <w:szCs w:val="9"/>
                <w:color w:val="auto"/>
              </w:rPr>
            </w:pPr>
          </w:p>
        </w:tc>
        <w:tc>
          <w:tcPr>
            <w:tcW w:w="980" w:type="dxa"/>
            <w:vAlign w:val="bottom"/>
          </w:tcPr>
          <w:p>
            <w:pPr>
              <w:jc w:val="center"/>
              <w:ind w:right="123"/>
              <w:spacing w:after="0" w:line="104" w:lineRule="exact"/>
              <w:rPr>
                <w:sz w:val="20"/>
                <w:szCs w:val="20"/>
                <w:color w:val="auto"/>
              </w:rPr>
            </w:pPr>
            <w:r>
              <w:rPr>
                <w:rFonts w:ascii="Times New Roman" w:cs="Times New Roman" w:eastAsia="Times New Roman" w:hAnsi="Times New Roman"/>
                <w:sz w:val="11"/>
                <w:szCs w:val="11"/>
                <w:b w:val="1"/>
                <w:bCs w:val="1"/>
                <w:color w:val="auto"/>
              </w:rPr>
              <w:t>30 - 60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jc w:val="center"/>
              <w:ind w:right="263"/>
              <w:spacing w:after="0" w:line="104" w:lineRule="exact"/>
              <w:rPr>
                <w:sz w:val="20"/>
                <w:szCs w:val="20"/>
                <w:color w:val="auto"/>
              </w:rPr>
            </w:pPr>
            <w:r>
              <w:rPr>
                <w:rFonts w:ascii="Times New Roman" w:cs="Times New Roman" w:eastAsia="Times New Roman" w:hAnsi="Times New Roman"/>
                <w:sz w:val="11"/>
                <w:szCs w:val="11"/>
                <w:b w:val="1"/>
                <w:bCs w:val="1"/>
                <w:color w:val="auto"/>
              </w:rPr>
              <w:t>61 - 90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1"/>
                <w:szCs w:val="11"/>
                <w:b w:val="1"/>
                <w:bCs w:val="1"/>
                <w:color w:val="auto"/>
              </w:rPr>
              <w:t>Greater than 90</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days</w:t>
            </w:r>
          </w:p>
        </w:tc>
        <w:tc>
          <w:tcPr>
            <w:tcW w:w="320" w:type="dxa"/>
            <w:vAlign w:val="bottom"/>
          </w:tcPr>
          <w:p>
            <w:pPr>
              <w:spacing w:after="0"/>
              <w:rPr>
                <w:sz w:val="13"/>
                <w:szCs w:val="13"/>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Days</w:t>
            </w: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days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Borders>
              <w:top w:val="single" w:sz="8" w:color="auto"/>
            </w:tcBorders>
            <w:shd w:val="clear" w:color="auto" w:fill="CCEEFF"/>
          </w:tcPr>
          <w:p>
            <w:pPr>
              <w:spacing w:after="0"/>
              <w:rPr>
                <w:sz w:val="13"/>
                <w:szCs w:val="13"/>
                <w:color w:val="auto"/>
              </w:rPr>
            </w:pPr>
          </w:p>
        </w:tc>
        <w:tc>
          <w:tcPr>
            <w:tcW w:w="3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50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5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821,788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821,788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50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821,788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190,000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1,271,788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loaned:</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50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2,431,878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2,431,878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50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2,431,878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2,431,878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6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color w:val="auto"/>
        </w:rPr>
        <w:t>11. Digital Assets Held</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Digital assets held at December 31, 2025 and December 31, 2024:</w:t>
      </w:r>
    </w:p>
    <w:p>
      <w:pPr>
        <w:spacing w:after="0" w:line="121"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units)</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2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Cost Basis</w:t>
            </w:r>
          </w:p>
        </w:tc>
        <w:tc>
          <w:tcPr>
            <w:tcW w:w="3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Carrying Value</w:t>
            </w:r>
          </w:p>
        </w:tc>
      </w:tr>
      <w:tr>
        <w:trPr>
          <w:trHeight w:val="153"/>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Bitcoin</w:t>
            </w:r>
          </w:p>
        </w:tc>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1,274</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112,392</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111,760</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59,925</w:t>
            </w:r>
          </w:p>
        </w:tc>
      </w:tr>
      <w:tr>
        <w:trPr>
          <w:trHeight w:val="159"/>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NM</w:t>
            </w:r>
          </w:p>
        </w:tc>
        <w:tc>
          <w:tcPr>
            <w:tcW w:w="2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41,802</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42,850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22,871</w:t>
            </w:r>
          </w:p>
        </w:tc>
      </w:tr>
      <w:tr>
        <w:trPr>
          <w:trHeight w:val="156"/>
        </w:trPr>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Total Digital assets held</w:t>
            </w:r>
          </w:p>
        </w:tc>
        <w:tc>
          <w:tcPr>
            <w:tcW w:w="56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154,194</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154,610</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82,796</w:t>
            </w: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50.0 million PYTH tokens with a fair value of $2.8 million are subject to selling restrictions. The time-based selling restrictions will unlock annually between 2026 and 2027.</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a reconciliation of the Company’s Digital assets held:</w:t>
      </w:r>
    </w:p>
    <w:p>
      <w:pPr>
        <w:spacing w:after="0" w:line="227" w:lineRule="exact"/>
        <w:rPr>
          <w:sz w:val="20"/>
          <w:szCs w:val="20"/>
          <w:color w:val="auto"/>
        </w:rPr>
      </w:pPr>
    </w:p>
    <w:tbl>
      <w:tblPr>
        <w:tblLayout w:type="fixed"/>
        <w:tblInd w:w="1780" w:type="dxa"/>
        <w:tblCellMar>
          <w:top w:w="0" w:type="dxa"/>
          <w:left w:w="0" w:type="dxa"/>
          <w:bottom w:w="0" w:type="dxa"/>
          <w:right w:w="0" w:type="dxa"/>
        </w:tblCellMar>
      </w:tblPr>
      <w:tr>
        <w:trPr>
          <w:trHeight w:val="15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Value of Digital Assets Held</w:t>
            </w:r>
          </w:p>
        </w:tc>
      </w:tr>
      <w:tr>
        <w:trPr>
          <w:trHeight w:val="15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December 31, 2024</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82,796</w:t>
            </w:r>
          </w:p>
        </w:tc>
      </w:tr>
      <w:tr>
        <w:trPr>
          <w:trHeight w:val="153"/>
        </w:trPr>
        <w:tc>
          <w:tcPr>
            <w:tcW w:w="6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Cumulative-effect adjustment due to the adoption of ASU 2023-08</w:t>
            </w: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25,358</w:t>
            </w:r>
          </w:p>
        </w:tc>
      </w:tr>
      <w:tr>
        <w:trPr>
          <w:trHeight w:val="165"/>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Additions (1)</w:t>
            </w: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118,691,937</w:t>
            </w:r>
          </w:p>
        </w:tc>
      </w:tr>
      <w:tr>
        <w:trPr>
          <w:trHeight w:val="153"/>
        </w:trPr>
        <w:tc>
          <w:tcPr>
            <w:tcW w:w="6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Dispositions (2)</w:t>
            </w: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(118,594,821)</w:t>
            </w:r>
          </w:p>
        </w:tc>
      </w:tr>
      <w:tr>
        <w:trPr>
          <w:trHeight w:val="165"/>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Gains (3)</w:t>
            </w: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20,147</w:t>
            </w:r>
          </w:p>
        </w:tc>
      </w:tr>
      <w:tr>
        <w:trPr>
          <w:trHeight w:val="153"/>
        </w:trPr>
        <w:tc>
          <w:tcPr>
            <w:tcW w:w="6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Losses (3)</w:t>
            </w: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(70,807)</w:t>
            </w:r>
          </w:p>
        </w:tc>
      </w:tr>
      <w:tr>
        <w:trPr>
          <w:trHeight w:val="157"/>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December 31, 2025</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154,610</w:t>
            </w:r>
          </w:p>
        </w:tc>
      </w:tr>
    </w:tbl>
    <w:p>
      <w:pPr>
        <w:ind w:left="1940" w:hanging="139"/>
        <w:spacing w:after="0"/>
        <w:tabs>
          <w:tab w:leader="none" w:pos="194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Additions primarily include purchases of digital assets.</w:t>
      </w:r>
    </w:p>
    <w:p>
      <w:pPr>
        <w:spacing w:after="0" w:line="20" w:lineRule="exact"/>
        <w:rPr>
          <w:rFonts w:ascii="Times New Roman" w:cs="Times New Roman" w:eastAsia="Times New Roman" w:hAnsi="Times New Roman"/>
          <w:sz w:val="10"/>
          <w:szCs w:val="10"/>
          <w:color w:val="auto"/>
        </w:rPr>
      </w:pPr>
    </w:p>
    <w:p>
      <w:pPr>
        <w:ind w:left="1940" w:hanging="139"/>
        <w:spacing w:after="0"/>
        <w:tabs>
          <w:tab w:leader="none" w:pos="194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Dispositions primarily include sales of digital assets.</w:t>
      </w:r>
    </w:p>
    <w:p>
      <w:pPr>
        <w:spacing w:after="0" w:line="22" w:lineRule="exact"/>
        <w:rPr>
          <w:rFonts w:ascii="Times New Roman" w:cs="Times New Roman" w:eastAsia="Times New Roman" w:hAnsi="Times New Roman"/>
          <w:sz w:val="10"/>
          <w:szCs w:val="10"/>
          <w:color w:val="auto"/>
        </w:rPr>
      </w:pPr>
    </w:p>
    <w:p>
      <w:pPr>
        <w:ind w:left="1800" w:right="1220" w:firstLine="1"/>
        <w:spacing w:after="0" w:line="233" w:lineRule="auto"/>
        <w:tabs>
          <w:tab w:leader="none" w:pos="194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Gains and losses are recorded primarily in Trading income, net within the Consolidated Statements of Comprehensive Income. These amounts include cumulative realized gains of $20.2 million and cumulative realized losses of $48.9 million during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-226695</wp:posOffset>
            </wp:positionV>
            <wp:extent cx="5221605" cy="87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21605" cy="87630"/>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-307975</wp:posOffset>
            </wp:positionV>
            <wp:extent cx="111823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812" w:right="6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color w:val="auto"/>
        </w:rPr>
        <w:t>12. Derivative Instruments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 of the Company’s derivative instruments on a gross basis consisted of the following at December 31, 2025 and December 31, 2024:</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Pr>
          <w:p>
            <w:pPr>
              <w:spacing w:after="0"/>
              <w:rPr>
                <w:sz w:val="13"/>
                <w:szCs w:val="13"/>
                <w:color w:val="auto"/>
              </w:rPr>
            </w:pPr>
          </w:p>
        </w:tc>
        <w:tc>
          <w:tcPr>
            <w:tcW w:w="2300" w:type="dxa"/>
            <w:vAlign w:val="bottom"/>
            <w:gridSpan w:val="4"/>
          </w:tcPr>
          <w:p>
            <w:pPr>
              <w:jc w:val="right"/>
              <w:ind w:right="74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2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Assets</w:t>
            </w:r>
          </w:p>
        </w:tc>
        <w:tc>
          <w:tcPr>
            <w:tcW w:w="3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Financial Statement Location</w:t>
            </w:r>
          </w:p>
        </w:tc>
        <w:tc>
          <w:tcPr>
            <w:tcW w:w="2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Notional</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Notional</w:t>
            </w:r>
          </w:p>
        </w:tc>
      </w:tr>
      <w:tr>
        <w:trPr>
          <w:trHeight w:val="99"/>
        </w:trPr>
        <w:tc>
          <w:tcPr>
            <w:tcW w:w="2880" w:type="dxa"/>
            <w:vAlign w:val="bottom"/>
            <w:tcBorders>
              <w:top w:val="single" w:sz="8" w:color="auto"/>
            </w:tcBorders>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Derivative instruments not designated as hedging</w:t>
            </w:r>
          </w:p>
        </w:tc>
        <w:tc>
          <w:tcPr>
            <w:tcW w:w="100" w:type="dxa"/>
            <w:vAlign w:val="bottom"/>
          </w:tcPr>
          <w:p>
            <w:pPr>
              <w:spacing w:after="0"/>
              <w:rPr>
                <w:sz w:val="8"/>
                <w:szCs w:val="8"/>
                <w:color w:val="auto"/>
              </w:rPr>
            </w:pPr>
          </w:p>
        </w:tc>
        <w:tc>
          <w:tcPr>
            <w:tcW w:w="30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Equities futures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1,017,174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1,069,167</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Commodity futures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11,492,904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5,610,161</w:t>
            </w: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Currency futures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4,575,259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5,211,677</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Fixed income futures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11,711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110,748</w:t>
            </w: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Financial instruments owned</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97,459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2,565,169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55,423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808,189</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Currency forwards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Financial instruments owned</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211,856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28,015,291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716,970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42,202,047</w:t>
            </w:r>
          </w:p>
        </w:tc>
      </w:tr>
      <w:tr>
        <w:trPr>
          <w:trHeight w:val="176"/>
        </w:trPr>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Liabilities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Financial Statement Location</w:t>
            </w:r>
          </w:p>
        </w:tc>
        <w:tc>
          <w:tcPr>
            <w:tcW w:w="22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Notional</w:t>
            </w:r>
          </w:p>
        </w:tc>
        <w:tc>
          <w:tcPr>
            <w:tcW w:w="20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tcPr>
          <w:p>
            <w:pPr>
              <w:spacing w:after="0"/>
              <w:rPr>
                <w:sz w:val="13"/>
                <w:szCs w:val="13"/>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Notional</w:t>
            </w:r>
          </w:p>
        </w:tc>
      </w:tr>
      <w:tr>
        <w:trPr>
          <w:trHeight w:val="104"/>
        </w:trPr>
        <w:tc>
          <w:tcPr>
            <w:tcW w:w="2880" w:type="dxa"/>
            <w:vAlign w:val="bottom"/>
            <w:tcBorders>
              <w:top w:val="single" w:sz="8" w:color="auto"/>
            </w:tcBorders>
            <w:shd w:val="clear" w:color="auto" w:fill="CCEEFF"/>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Derivative instruments not designated as hedging</w:t>
            </w:r>
          </w:p>
        </w:tc>
        <w:tc>
          <w:tcPr>
            <w:tcW w:w="100" w:type="dxa"/>
            <w:vAlign w:val="bottom"/>
            <w:tcBorders>
              <w:top w:val="single" w:sz="8" w:color="CCEEFF"/>
            </w:tcBorders>
            <w:shd w:val="clear" w:color="auto" w:fill="CCEEFF"/>
          </w:tcPr>
          <w:p>
            <w:pPr>
              <w:spacing w:after="0"/>
              <w:rPr>
                <w:sz w:val="9"/>
                <w:szCs w:val="9"/>
                <w:color w:val="auto"/>
              </w:rPr>
            </w:pPr>
          </w:p>
        </w:tc>
        <w:tc>
          <w:tcPr>
            <w:tcW w:w="30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r>
      <w:tr>
        <w:trPr>
          <w:trHeight w:val="15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3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Equities futures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1,399</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940,143</w:t>
            </w:r>
          </w:p>
        </w:tc>
        <w:tc>
          <w:tcPr>
            <w:tcW w:w="10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527</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1,774,043</w:t>
            </w: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Commodity futures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171,504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56,331</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Currency futures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212,120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2,232,543</w:t>
            </w: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income futures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383,154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21,077</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Financial instruments sold, not yet purchased</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216,992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2,637,691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820,023</w:t>
            </w: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Currency forwards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Financial instruments sold, not yet purchased</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198,463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28,008,595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681,878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42,184,501</w:t>
            </w:r>
          </w:p>
        </w:tc>
      </w:tr>
      <w:tr>
        <w:trPr>
          <w:trHeight w:val="170"/>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 instruments designated as hedging instruments:</w:t>
            </w:r>
          </w:p>
        </w:tc>
        <w:tc>
          <w:tcPr>
            <w:tcW w:w="3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47"/>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2,572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1,075,000</w:t>
            </w:r>
          </w:p>
        </w:tc>
      </w:tr>
    </w:tbl>
    <w:p>
      <w:pPr>
        <w:spacing w:after="0" w:line="263"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4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Consolidated Statements of Comprehensive Income for the years ended December 31, 2025, 2024, and 2023.</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116" w:name="page117"/>
    <w:bookmarkEnd w:id="116"/>
    <w:tbl>
      <w:tblPr>
        <w:tblLayout w:type="fixed"/>
        <w:tblInd w:w="1020" w:type="dxa"/>
        <w:tblCellMar>
          <w:top w:w="0" w:type="dxa"/>
          <w:left w:w="0" w:type="dxa"/>
          <w:bottom w:w="0" w:type="dxa"/>
          <w:right w:w="0" w:type="dxa"/>
        </w:tblCellMar>
      </w:tblPr>
      <w:tr>
        <w:trPr>
          <w:trHeight w:val="158"/>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30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Financial Statements Location</w:t>
            </w:r>
          </w:p>
        </w:tc>
        <w:tc>
          <w:tcPr>
            <w:tcW w:w="280" w:type="dxa"/>
            <w:vAlign w:val="bottom"/>
          </w:tcPr>
          <w:p>
            <w:pPr>
              <w:spacing w:after="0"/>
              <w:rPr>
                <w:sz w:val="13"/>
                <w:szCs w:val="13"/>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04"/>
        </w:trPr>
        <w:tc>
          <w:tcPr>
            <w:tcW w:w="2880" w:type="dxa"/>
            <w:vAlign w:val="bottom"/>
            <w:tcBorders>
              <w:top w:val="single" w:sz="8" w:color="auto"/>
            </w:tcBorders>
            <w:shd w:val="clear" w:color="auto" w:fill="CCEEFF"/>
          </w:tcPr>
          <w:p>
            <w:pPr>
              <w:spacing w:after="0" w:line="104" w:lineRule="exact"/>
              <w:rPr>
                <w:sz w:val="20"/>
                <w:szCs w:val="20"/>
                <w:color w:val="auto"/>
              </w:rPr>
            </w:pPr>
            <w:r>
              <w:rPr>
                <w:rFonts w:ascii="Times New Roman" w:cs="Times New Roman" w:eastAsia="Times New Roman" w:hAnsi="Times New Roman"/>
                <w:sz w:val="11"/>
                <w:szCs w:val="11"/>
                <w:b w:val="1"/>
                <w:bCs w:val="1"/>
                <w:color w:val="auto"/>
              </w:rPr>
              <w:t>Derivative instruments not designated as hedging</w:t>
            </w:r>
          </w:p>
        </w:tc>
        <w:tc>
          <w:tcPr>
            <w:tcW w:w="12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r>
      <w:tr>
        <w:trPr>
          <w:trHeight w:val="157"/>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2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30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Futures</w:t>
            </w:r>
          </w:p>
        </w:tc>
        <w:tc>
          <w:tcPr>
            <w:tcW w:w="25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Trading income, net</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145,847</w:t>
            </w:r>
          </w:p>
        </w:tc>
        <w:tc>
          <w:tcPr>
            <w:tcW w:w="38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218,016</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297,345</w:t>
            </w:r>
          </w:p>
        </w:tc>
      </w:tr>
      <w:tr>
        <w:trPr>
          <w:trHeight w:val="165"/>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Currency forwards</w:t>
            </w: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Trading income, net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176,339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(150,071)</w:t>
            </w:r>
          </w:p>
        </w:tc>
      </w:tr>
      <w:tr>
        <w:trPr>
          <w:trHeight w:val="153"/>
        </w:trPr>
        <w:tc>
          <w:tcPr>
            <w:tcW w:w="30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Options</w:t>
            </w:r>
          </w:p>
        </w:tc>
        <w:tc>
          <w:tcPr>
            <w:tcW w:w="25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Trading income, net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(13,756)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100,174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21,224</w:t>
            </w:r>
          </w:p>
        </w:tc>
      </w:tr>
      <w:tr>
        <w:trPr>
          <w:trHeight w:val="165"/>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rate swap on term loans (1)</w:t>
            </w: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net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w:t>
            </w:r>
          </w:p>
        </w:tc>
      </w:tr>
      <w:tr>
        <w:trPr>
          <w:trHeight w:val="153"/>
        </w:trPr>
        <w:tc>
          <w:tcPr>
            <w:tcW w:w="3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Terminated interest rate swaps (2)</w:t>
            </w:r>
          </w:p>
        </w:tc>
        <w:tc>
          <w:tcPr>
            <w:tcW w:w="2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Financing interest expense on long-term borrowings</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(39,782)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(3,994)</w:t>
            </w:r>
          </w:p>
        </w:tc>
      </w:tr>
      <w:tr>
        <w:trPr>
          <w:trHeight w:val="175"/>
        </w:trPr>
        <w:tc>
          <w:tcPr>
            <w:tcW w:w="2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305,214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190,447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162,784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7"/>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5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Derivative instruments designated as hedging instruments:</w:t>
            </w:r>
          </w:p>
        </w:tc>
        <w:tc>
          <w:tcPr>
            <w:tcW w:w="2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30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rate swaps (1)</w:t>
            </w:r>
          </w:p>
        </w:tc>
        <w:tc>
          <w:tcPr>
            <w:tcW w:w="25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2,613</w:t>
            </w:r>
          </w:p>
        </w:tc>
        <w:tc>
          <w:tcPr>
            <w:tcW w:w="38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(35,990)</w:t>
            </w:r>
          </w:p>
        </w:tc>
      </w:tr>
      <w:tr>
        <w:trPr>
          <w:trHeight w:val="175"/>
        </w:trPr>
        <w:tc>
          <w:tcPr>
            <w:tcW w:w="28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(35,990)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right="80" w:firstLine="5"/>
        <w:spacing w:after="0" w:line="260" w:lineRule="auto"/>
        <w:tabs>
          <w:tab w:leader="none" w:pos="1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entered into a two-year $1,525 million floating-to-fixed interest rate agreement in December 2023 (the “December 2023 Swap”). The two-year interest rate swap met the criteria to be considered as a qualifying cash flow hedge under ASC 815 as of December 2023, and the mark-to-market gains (losses) on the instrument was deferred within Other comprehensive income on the Consolidated Statements of Comprehensive Income. In June 2024, the Company partially terminated and dedesignated a portion of our ongoing December 2023 Swap to an updated notional of $1,075 million, and recorded a gain of $5.7 million in Other, net. In November 2025, the cash flow hedge was discontinued upon the termination of the December 2023 Swap in accordance with its contractual terms, and no further gains or losses related to this instrument are recorded in Other comprehensive income. See Note 9 “Borrowings” for further details.</w:t>
      </w:r>
    </w:p>
    <w:p>
      <w:pPr>
        <w:spacing w:after="0" w:line="1" w:lineRule="exact"/>
        <w:rPr>
          <w:rFonts w:ascii="Times New Roman" w:cs="Times New Roman" w:eastAsia="Times New Roman" w:hAnsi="Times New Roman"/>
          <w:sz w:val="11"/>
          <w:szCs w:val="11"/>
          <w:color w:val="auto"/>
        </w:rPr>
      </w:pPr>
    </w:p>
    <w:p>
      <w:pPr>
        <w:ind w:right="280" w:firstLine="5"/>
        <w:spacing w:after="0" w:line="283" w:lineRule="auto"/>
        <w:tabs>
          <w:tab w:leader="none" w:pos="1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records the amortization of AOCI balances related to its previously terminated interest rate swaps in Financing interest expense on long-term borrowings on the Consolidated Statements of Comprehensive Income. See Note 9 “Borrowings” for further details on the previously terminated swaps.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Variable Interest Entities</w:t>
      </w:r>
    </w:p>
    <w:p>
      <w:pPr>
        <w:spacing w:after="0" w:line="25"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65"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4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an interest in a joint venture (“JV”) that builds and maintains communication networks and related assets globally. The Company and its JV partners each pay monthly fees for the use of the communication networks in connection with their respective trading activities, and the JV may sell excess bandwidth that is not utilized by the JV members to third parties. As of December 31, 2025, the Company held a noncontrolling interest of 50.0% in the JV.</w:t>
      </w:r>
    </w:p>
    <w:p>
      <w:pPr>
        <w:spacing w:after="0" w:line="157" w:lineRule="exact"/>
        <w:rPr>
          <w:sz w:val="20"/>
          <w:szCs w:val="20"/>
          <w:color w:val="auto"/>
        </w:rPr>
      </w:pPr>
    </w:p>
    <w:p>
      <w:pPr>
        <w:ind w:right="560" w:firstLine="509"/>
        <w:spacing w:after="0" w:line="287" w:lineRule="auto"/>
        <w:rPr>
          <w:sz w:val="20"/>
          <w:szCs w:val="20"/>
          <w:color w:val="auto"/>
        </w:rPr>
      </w:pPr>
      <w:r>
        <w:rPr>
          <w:rFonts w:ascii="Times New Roman" w:cs="Times New Roman" w:eastAsia="Times New Roman" w:hAnsi="Times New Roman"/>
          <w:sz w:val="14"/>
          <w:szCs w:val="14"/>
          <w:color w:val="auto"/>
        </w:rPr>
        <w:t>The Company previously held a noncontrolling interest of 12.5% in another JV that also builds and maintains communication networks and related assets and followed a similar fee arrangement. As of September 1, 2024, the Company had disposed of its interest in this JV.</w:t>
      </w:r>
    </w:p>
    <w:p>
      <w:pPr>
        <w:spacing w:after="0" w:line="145"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The Company has an interest in a JV that offers derivatives trading technology and execution services to broker-dealers, professional traders and select hedge funds. As of December 31, 2025, the Company held approximately a 9.8% noncontrolling interest in this JV.</w:t>
      </w:r>
    </w:p>
    <w:p>
      <w:pPr>
        <w:spacing w:after="0" w:line="145"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Company has an interest in a JV that operates a member-owned equities exchange with the goal of increasing competition and transparency, while reducing fixed costs and simplifying execution of equity trading in the U.S. As of December 31, 2025, the Company held approximately a 12.7% noncontrolling interest in this JV.</w:t>
      </w:r>
    </w:p>
    <w:p>
      <w:pPr>
        <w:spacing w:after="0" w:line="145" w:lineRule="exact"/>
        <w:rPr>
          <w:sz w:val="20"/>
          <w:szCs w:val="20"/>
          <w:color w:val="auto"/>
        </w:rPr>
      </w:pPr>
    </w:p>
    <w:p>
      <w:pPr>
        <w:ind w:right="780" w:firstLine="509"/>
        <w:spacing w:after="0" w:line="287" w:lineRule="auto"/>
        <w:rPr>
          <w:sz w:val="20"/>
          <w:szCs w:val="20"/>
          <w:color w:val="auto"/>
        </w:rPr>
      </w:pPr>
      <w:r>
        <w:rPr>
          <w:rFonts w:ascii="Times New Roman" w:cs="Times New Roman" w:eastAsia="Times New Roman" w:hAnsi="Times New Roman"/>
          <w:sz w:val="14"/>
          <w:szCs w:val="14"/>
          <w:color w:val="auto"/>
        </w:rPr>
        <w:t>The Company has an interest in a JV that was formed for the purpose of developing and operating a cryptocurrency trading platform with the goal of increasing competition and transparency, while improving trading performance and reducing operational risk. As of December 31, 2025, the Company held approximately a 8.5% noncontrolling interest in this JV.</w:t>
      </w:r>
    </w:p>
    <w:p>
      <w:pPr>
        <w:spacing w:after="0" w:line="145"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Company’s JVs noted above meet the criteria to be considered VIEs, which it does not consolidate. The Company records its interest in the JVs under the equity method of accounting and records its investment in the JVs within Other assets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17" w:name="page118"/>
    <w:bookmarkEnd w:id="117"/>
    <w:p>
      <w:pPr>
        <w:ind w:right="40"/>
        <w:spacing w:after="0" w:line="270" w:lineRule="auto"/>
        <w:rPr>
          <w:sz w:val="20"/>
          <w:szCs w:val="20"/>
          <w:color w:val="auto"/>
        </w:rPr>
      </w:pPr>
      <w:r>
        <w:rPr>
          <w:rFonts w:ascii="Times New Roman" w:cs="Times New Roman" w:eastAsia="Times New Roman" w:hAnsi="Times New Roman"/>
          <w:sz w:val="14"/>
          <w:szCs w:val="14"/>
          <w:color w:val="auto"/>
        </w:rPr>
        <w:t>and its amounts payable for communication services provided by the telecommunication JVs within Accounts payable, accrued expenses and other liabilities on the Statements of Financial Condition as applicable. The Company records its pro-rata share of each JV’s earnings or losses within Other, net and fees related to the use of communication services provided by the JVs within Communications and data processing on the Consolidated Statements of Comprehensive Income.</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exposure to the obligations of these VIEs is generally limited to its interests in each respective JV, which is the carrying value of the equity investment in each JV.</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Company’s nonconsolidated VIEs at December 31, 2025:</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24"/>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Asset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Maximum Exposure to Loss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VIEs' assets</w:t>
            </w:r>
          </w:p>
        </w:tc>
      </w:tr>
      <w:tr>
        <w:trPr>
          <w:trHeight w:val="184"/>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investment</w:t>
            </w: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92,127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92,127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422,006</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Company’s nonconsolidated VIEs at December 31, 2024:</w:t>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Asset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Maximum Exposure to 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VIEs' assets</w:t>
            </w:r>
          </w:p>
        </w:tc>
      </w:tr>
      <w:tr>
        <w:trPr>
          <w:trHeight w:val="184"/>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investment</w:t>
            </w: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66,970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66,970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345,235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Company formed a JV to support the growth and expansion of a multi-asset request-for-quote communication platform in 2022. Upon the formation of the JV, the Company held a 51% controlling interest. The JV met the criteria to be considered a VIE, and based on the standard for control set forth above, the Company consolidated this entity and recorded the interest that the Company did not own as noncontrolling interest in the Consolidated Financial Statements. On April 19, 2024, the Company entered into an agreement to sell a 49% interest in the multi-asset request-for-quote communication platform JV. The sale was completed on May 9, 2025. Upon the closing of the sale, the Company retains a minority interest of approximately 2% in RFQ-hub. The Company ceased to control, and deconsolidated, RFQ-hub at such time. See Note 3 “Sale of RFQ-hub” for further details.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Revenues from Contracts with Customers</w:t>
      </w:r>
    </w:p>
    <w:p>
      <w:pPr>
        <w:spacing w:after="0" w:line="200"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Commissions, net</w:t>
      </w:r>
      <w:r>
        <w:rPr>
          <w:rFonts w:ascii="Times New Roman" w:cs="Times New Roman" w:eastAsia="Times New Roman" w:hAnsi="Times New Roman"/>
          <w:sz w:val="14"/>
          <w:szCs w:val="14"/>
          <w:color w:val="auto"/>
        </w:rPr>
        <w:t>. The Company earns commission revenue by acting as an agent on behalf of customers. The Company’s performance obligations consist of trade execution and clearing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and are satisfied on the trade date; accordingly, commission revenues are recorded on the trade date. Commission revenues are received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Workflow technology</w:t>
      </w:r>
      <w:r>
        <w:rPr>
          <w:rFonts w:ascii="Times New Roman" w:cs="Times New Roman" w:eastAsia="Times New Roman" w:hAnsi="Times New Roman"/>
          <w:sz w:val="14"/>
          <w:szCs w:val="14"/>
          <w:color w:val="auto"/>
        </w:rPr>
        <w:t>. Through its front-end workflow solutions and network capabilities, the Company provides order and trade execution management and order routing services.</w:t>
      </w:r>
    </w:p>
    <w:p>
      <w:pPr>
        <w:spacing w:after="0" w:line="202"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The Company provides trade order routing from its execution management system (“EMS”) to its execution services offerings, with each trade order routed through the EMS representing a separate performance obligation, which is the trade date for that trade order routed,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62"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participates in commission sharing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145"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Company provides OMS and related software products and connectivity services to customers and recognizes license fee revenues and monthly connectivity fees. License fee revenues, generated for the use of the Company’s OMS and other software products, are fixed and recognized at the point in time at which the customer is able to use and benefit from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color w:val="auto"/>
        </w:rPr>
        <w:t>license. Connectivity revenue is variable in nature, based on the number of live connections, and is recognized over time on a monthly basis using a time-based measure of progress.</w:t>
      </w:r>
    </w:p>
    <w:p>
      <w:pPr>
        <w:spacing w:after="0" w:line="198" w:lineRule="exact"/>
        <w:rPr>
          <w:sz w:val="20"/>
          <w:szCs w:val="20"/>
          <w:color w:val="auto"/>
        </w:rPr>
      </w:pPr>
    </w:p>
    <w:p>
      <w:pPr>
        <w:jc w:val="both"/>
        <w:ind w:right="4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Analytics</w:t>
      </w:r>
      <w:r>
        <w:rPr>
          <w:rFonts w:ascii="Times New Roman" w:cs="Times New Roman" w:eastAsia="Times New Roman" w:hAnsi="Times New Roman"/>
          <w:sz w:val="14"/>
          <w:szCs w:val="14"/>
          <w:color w:val="auto"/>
        </w:rPr>
        <w:t>. The Company provides customers with analytics products and services, including trading and portfolio analytics tools. The Company provides analytics products and services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63"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45" w:lineRule="exact"/>
        <w:rPr>
          <w:sz w:val="20"/>
          <w:szCs w:val="20"/>
          <w:color w:val="auto"/>
        </w:rPr>
      </w:pPr>
    </w:p>
    <w:p>
      <w:pPr>
        <w:ind w:left="680" w:hanging="166"/>
        <w:spacing w:after="0"/>
        <w:tabs>
          <w:tab w:leader="none" w:pos="6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commission value for each customer for the products and services it receives, which is priced using the value for similar stand-alone subscription arrangements; and</w:t>
      </w:r>
    </w:p>
    <w:p>
      <w:pPr>
        <w:spacing w:after="0" w:line="199"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calculated ratio of the commission value for the products and services relative to the total amount of commissions generated from the customer.</w:t>
      </w:r>
    </w:p>
    <w:p>
      <w:pPr>
        <w:spacing w:after="0" w:line="200"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tables present the Company’s revenue from contracts with customers disaggregated by service, and timing of revenue recognition, reconciled to the Company’s segments, for the years ended December 31, 2025, 2024, and 2023:</w:t>
      </w:r>
    </w:p>
    <w:p>
      <w:pPr>
        <w:spacing w:after="0" w:line="321" w:lineRule="exact"/>
        <w:rPr>
          <w:sz w:val="20"/>
          <w:szCs w:val="20"/>
          <w:color w:val="auto"/>
        </w:rPr>
      </w:pPr>
    </w:p>
    <w:tbl>
      <w:tblPr>
        <w:tblLayout w:type="fixed"/>
        <w:tblInd w:w="52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4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53"/>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Commissions, net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50,949</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429,354</w:t>
            </w:r>
          </w:p>
        </w:tc>
        <w:tc>
          <w:tcPr>
            <w:tcW w:w="80" w:type="dxa"/>
            <w:vAlign w:val="bottom"/>
          </w:tcPr>
          <w:p>
            <w:pPr>
              <w:spacing w:after="0"/>
              <w:rPr>
                <w:sz w:val="13"/>
                <w:szCs w:val="13"/>
                <w:color w:val="auto"/>
              </w:rPr>
            </w:pPr>
          </w:p>
        </w:tc>
        <w:tc>
          <w:tcPr>
            <w:tcW w:w="100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480,303</w:t>
            </w:r>
          </w:p>
        </w:tc>
      </w:tr>
      <w:tr>
        <w:trPr>
          <w:trHeight w:val="165"/>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Workflow technology</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99,227</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99,227</w:t>
            </w:r>
          </w:p>
        </w:tc>
      </w:tr>
      <w:tr>
        <w:trPr>
          <w:trHeight w:val="153"/>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Analytics</w:t>
            </w: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37,495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37,495</w:t>
            </w:r>
          </w:p>
        </w:tc>
      </w:tr>
      <w:tr>
        <w:trPr>
          <w:trHeight w:val="156"/>
        </w:trPr>
        <w:tc>
          <w:tcPr>
            <w:tcW w:w="41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 from contracts with customers</w:t>
            </w: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50,949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566,076</w:t>
            </w: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617,025</w:t>
            </w:r>
          </w:p>
        </w:tc>
      </w:tr>
      <w:tr>
        <w:trPr>
          <w:trHeight w:val="212"/>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5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sources of revenue</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2,898,272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102,116</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14,705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3,015,093</w:t>
            </w:r>
          </w:p>
        </w:tc>
      </w:tr>
      <w:tr>
        <w:trPr>
          <w:trHeight w:val="212"/>
        </w:trPr>
        <w:tc>
          <w:tcPr>
            <w:tcW w:w="4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75"/>
        </w:trPr>
        <w:tc>
          <w:tcPr>
            <w:tcW w:w="4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2,949,221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668,192</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14,705</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3,632,118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Timing of revenue recognition: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Services transferred at a point in time</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2,949,221</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595,149</w:t>
            </w:r>
          </w:p>
        </w:tc>
        <w:tc>
          <w:tcPr>
            <w:tcW w:w="80" w:type="dxa"/>
            <w:vAlign w:val="bottom"/>
          </w:tcPr>
          <w:p>
            <w:pPr>
              <w:spacing w:after="0"/>
              <w:rPr>
                <w:sz w:val="13"/>
                <w:szCs w:val="13"/>
                <w:color w:val="auto"/>
              </w:rPr>
            </w:pPr>
          </w:p>
        </w:tc>
        <w:tc>
          <w:tcPr>
            <w:tcW w:w="100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14,705</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3,559,075</w:t>
            </w:r>
          </w:p>
        </w:tc>
      </w:tr>
      <w:tr>
        <w:trPr>
          <w:trHeight w:val="159"/>
        </w:trPr>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Services transferred over time</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73,043</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73,043</w:t>
            </w:r>
          </w:p>
        </w:tc>
      </w:tr>
      <w:tr>
        <w:trPr>
          <w:trHeight w:val="156"/>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2,949,221</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668,192</w:t>
            </w: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14,705</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3,632,118</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29" w:right="439" w:bottom="1440" w:gutter="0" w:footer="0" w:header="0"/>
        </w:sectPr>
      </w:pPr>
    </w:p>
    <w:bookmarkStart w:id="119" w:name="page120"/>
    <w:bookmarkEnd w:id="119"/>
    <w:tbl>
      <w:tblPr>
        <w:tblLayout w:type="fixed"/>
        <w:tblInd w:w="52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5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Commissions, net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42,376</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340,211</w:t>
            </w:r>
          </w:p>
        </w:tc>
        <w:tc>
          <w:tcPr>
            <w:tcW w:w="100" w:type="dxa"/>
            <w:vAlign w:val="bottom"/>
          </w:tcPr>
          <w:p>
            <w:pPr>
              <w:spacing w:after="0"/>
              <w:rPr>
                <w:sz w:val="13"/>
                <w:szCs w:val="13"/>
                <w:color w:val="auto"/>
              </w:rPr>
            </w:pP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382,587</w:t>
            </w:r>
          </w:p>
        </w:tc>
      </w:tr>
      <w:tr>
        <w:trPr>
          <w:trHeight w:val="165"/>
        </w:trPr>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Workflow technology</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95,827</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95,827</w:t>
            </w:r>
          </w:p>
        </w:tc>
      </w:tr>
      <w:tr>
        <w:trPr>
          <w:trHeight w:val="15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Analytics</w:t>
            </w: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38,369</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38,369</w:t>
            </w:r>
          </w:p>
        </w:tc>
      </w:tr>
      <w:tr>
        <w:trPr>
          <w:trHeight w:val="156"/>
        </w:trPr>
        <w:tc>
          <w:tcPr>
            <w:tcW w:w="4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revenue from contracts with customers</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42,376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474,407</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516,783</w:t>
            </w:r>
          </w:p>
        </w:tc>
      </w:tr>
      <w:tr>
        <w:trPr>
          <w:trHeight w:val="212"/>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59"/>
        </w:trPr>
        <w:tc>
          <w:tcPr>
            <w:tcW w:w="4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sources of revenue</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2,331,720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32,823</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(4,377)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2,360,166</w:t>
            </w:r>
          </w:p>
        </w:tc>
      </w:tr>
      <w:tr>
        <w:trPr>
          <w:trHeight w:val="212"/>
        </w:trPr>
        <w:tc>
          <w:tcPr>
            <w:tcW w:w="4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75"/>
        </w:trPr>
        <w:tc>
          <w:tcPr>
            <w:tcW w:w="4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2,374,096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507,230</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(4,377)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2,876,949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Timing of revenue recognition:</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Services transferred at a point in time</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2,374,096</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435,503</w:t>
            </w:r>
          </w:p>
        </w:tc>
        <w:tc>
          <w:tcPr>
            <w:tcW w:w="100" w:type="dxa"/>
            <w:vAlign w:val="bottom"/>
          </w:tcPr>
          <w:p>
            <w:pPr>
              <w:spacing w:after="0"/>
              <w:rPr>
                <w:sz w:val="13"/>
                <w:szCs w:val="13"/>
                <w:color w:val="auto"/>
              </w:rPr>
            </w:pP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(4,377)</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2,805,222</w:t>
            </w:r>
          </w:p>
        </w:tc>
      </w:tr>
      <w:tr>
        <w:trPr>
          <w:trHeight w:val="159"/>
        </w:trPr>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Services transferred over time</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71,727</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71,727</w:t>
            </w:r>
          </w:p>
        </w:tc>
      </w:tr>
      <w:tr>
        <w:trPr>
          <w:trHeight w:val="156"/>
        </w:trPr>
        <w:tc>
          <w:tcPr>
            <w:tcW w:w="41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2,374,096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507,230</w:t>
            </w:r>
          </w:p>
        </w:tc>
        <w:tc>
          <w:tcPr>
            <w:tcW w:w="1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(4,377)</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2,876,949</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tbl>
      <w:tblPr>
        <w:tblLayout w:type="fixed"/>
        <w:tblInd w:w="52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5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Commissions, net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29,571</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297,089</w:t>
            </w:r>
          </w:p>
        </w:tc>
        <w:tc>
          <w:tcPr>
            <w:tcW w:w="100" w:type="dxa"/>
            <w:vAlign w:val="bottom"/>
          </w:tcPr>
          <w:p>
            <w:pPr>
              <w:spacing w:after="0"/>
              <w:rPr>
                <w:sz w:val="13"/>
                <w:szCs w:val="13"/>
                <w:color w:val="auto"/>
              </w:rPr>
            </w:pP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326,660</w:t>
            </w:r>
          </w:p>
        </w:tc>
      </w:tr>
      <w:tr>
        <w:trPr>
          <w:trHeight w:val="165"/>
        </w:trPr>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Workflow technology</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90,654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90,654</w:t>
            </w:r>
          </w:p>
        </w:tc>
      </w:tr>
      <w:tr>
        <w:trPr>
          <w:trHeight w:val="15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Analytics</w:t>
            </w: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38,284</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38,284</w:t>
            </w:r>
          </w:p>
        </w:tc>
      </w:tr>
      <w:tr>
        <w:trPr>
          <w:trHeight w:val="156"/>
        </w:trPr>
        <w:tc>
          <w:tcPr>
            <w:tcW w:w="4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revenue from contracts with customers</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29,571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426,027</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455,598</w:t>
            </w: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9"/>
        </w:trPr>
        <w:tc>
          <w:tcPr>
            <w:tcW w:w="4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sources of revenue</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1,813,952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20,515</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1,837,775</w:t>
            </w:r>
          </w:p>
        </w:tc>
      </w:tr>
      <w:tr>
        <w:trPr>
          <w:trHeight w:val="170"/>
        </w:trPr>
        <w:tc>
          <w:tcPr>
            <w:tcW w:w="4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75"/>
        </w:trPr>
        <w:tc>
          <w:tcPr>
            <w:tcW w:w="4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1,843,523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446,542</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3,308</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2,293,373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4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5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Timing of revenue recognition:</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Services transferred at a point in time</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1,843,523</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374,306</w:t>
            </w:r>
          </w:p>
        </w:tc>
        <w:tc>
          <w:tcPr>
            <w:tcW w:w="100" w:type="dxa"/>
            <w:vAlign w:val="bottom"/>
          </w:tcPr>
          <w:p>
            <w:pPr>
              <w:spacing w:after="0"/>
              <w:rPr>
                <w:sz w:val="13"/>
                <w:szCs w:val="13"/>
                <w:color w:val="auto"/>
              </w:rPr>
            </w:pP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3,308</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2,221,137</w:t>
            </w:r>
          </w:p>
        </w:tc>
      </w:tr>
      <w:tr>
        <w:trPr>
          <w:trHeight w:val="159"/>
        </w:trPr>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Services transferred over time</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72,236</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72,236</w:t>
            </w:r>
          </w:p>
        </w:tc>
      </w:tr>
      <w:tr>
        <w:trPr>
          <w:trHeight w:val="156"/>
        </w:trPr>
        <w:tc>
          <w:tcPr>
            <w:tcW w:w="41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1,843,523</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446,542</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3,308</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2,293,373</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Obligations and Revenue Recognized from Past Performance Obligations</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and 2024, the aggregate amount of the transaction price allocated to the performance obligations relating to workflow technology and analytics revenues that are unsatisfied (or partially unsatisfied) was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 and Contract Liabilities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45"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Receivables related to revenues from contracts with customers amounted to $64.5 million and $62.1 million as of December 31, 2025 and December 31, 2024, respectively. The Company did not identify any contract assets. There were no impairment losses on receivables as of December 31, 2025.</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Deferred revenue primarily relates to deferred commissions allocated to analytics products and subscription fees billed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20" w:name="page121"/>
    <w:bookmarkEnd w:id="120"/>
    <w:p>
      <w:pPr>
        <w:jc w:val="both"/>
        <w:ind w:right="160"/>
        <w:spacing w:after="0" w:line="287" w:lineRule="auto"/>
        <w:rPr>
          <w:sz w:val="20"/>
          <w:szCs w:val="20"/>
          <w:color w:val="auto"/>
        </w:rPr>
      </w:pPr>
      <w:r>
        <w:rPr>
          <w:rFonts w:ascii="Times New Roman" w:cs="Times New Roman" w:eastAsia="Times New Roman" w:hAnsi="Times New Roman"/>
          <w:sz w:val="14"/>
          <w:szCs w:val="14"/>
          <w:color w:val="auto"/>
        </w:rPr>
        <w:t>in advance of satisfying the performance obligations. Deferred revenue related to contracts with customers was $9.2 million and $8.1 million as of December 31, 2025 and December 31, 2024, respectively. The Company recognized the full amount of revenue during the years ended December 31, 2025 and 2024, that had been recorded as deferred revenue in the respective prior year.</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not identified any costs to obtain or fulfill its contracts under ASC 606.</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Income Taxes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Income before income taxes and noncontrolling interest is as follows for the years ended December 31, 2025, 2024, and 2023:</w:t>
      </w:r>
    </w:p>
    <w:p>
      <w:pPr>
        <w:spacing w:after="0" w:line="36" w:lineRule="exact"/>
        <w:rPr>
          <w:sz w:val="20"/>
          <w:szCs w:val="20"/>
          <w:color w:val="auto"/>
        </w:rPr>
      </w:pPr>
    </w:p>
    <w:tbl>
      <w:tblPr>
        <w:tblLayout w:type="fixed"/>
        <w:tblInd w:w="1100" w:type="dxa"/>
        <w:tblCellMar>
          <w:top w:w="0" w:type="dxa"/>
          <w:left w:w="0" w:type="dxa"/>
          <w:bottom w:w="0" w:type="dxa"/>
          <w:right w:w="0" w:type="dxa"/>
        </w:tblCellMar>
      </w:tblPr>
      <w:tr>
        <w:trPr>
          <w:trHeight w:val="158"/>
        </w:trPr>
        <w:tc>
          <w:tcPr>
            <w:tcW w:w="4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44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3"/>
        </w:trPr>
        <w:tc>
          <w:tcPr>
            <w:tcW w:w="4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operations</w:t>
            </w:r>
          </w:p>
        </w:tc>
        <w:tc>
          <w:tcPr>
            <w:tcW w:w="900" w:type="dxa"/>
            <w:vAlign w:val="bottom"/>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792,839</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456,613</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248,987</w:t>
            </w:r>
          </w:p>
        </w:tc>
      </w:tr>
      <w:tr>
        <w:trPr>
          <w:trHeight w:val="15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Non-U.S. operations</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301,490</w:t>
            </w: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188,357</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76,144</w:t>
            </w:r>
          </w:p>
        </w:tc>
      </w:tr>
      <w:tr>
        <w:trPr>
          <w:trHeight w:val="150"/>
        </w:trPr>
        <w:tc>
          <w:tcPr>
            <w:tcW w:w="4480" w:type="dxa"/>
            <w:vAlign w:val="bottom"/>
          </w:tcPr>
          <w:p>
            <w:pPr>
              <w:spacing w:after="0"/>
              <w:rPr>
                <w:sz w:val="13"/>
                <w:szCs w:val="13"/>
                <w:color w:val="auto"/>
              </w:rPr>
            </w:pPr>
          </w:p>
        </w:tc>
        <w:tc>
          <w:tcPr>
            <w:tcW w:w="90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1,094,329</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644,970</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325,131</w:t>
            </w:r>
          </w:p>
        </w:tc>
      </w:tr>
      <w:tr>
        <w:trPr>
          <w:trHeight w:val="20"/>
        </w:trPr>
        <w:tc>
          <w:tcPr>
            <w:tcW w:w="4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provision for income taxes consists of the following for the years ended December 31, 2025, 2024, and 2023:</w:t>
      </w:r>
    </w:p>
    <w:p>
      <w:pPr>
        <w:spacing w:after="0" w:line="36" w:lineRule="exact"/>
        <w:rPr>
          <w:sz w:val="20"/>
          <w:szCs w:val="20"/>
          <w:color w:val="auto"/>
        </w:rPr>
      </w:pPr>
    </w:p>
    <w:tbl>
      <w:tblPr>
        <w:tblLayout w:type="fixed"/>
        <w:tblInd w:w="106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provision (benefit)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3"/>
        </w:trPr>
        <w:tc>
          <w:tcPr>
            <w:tcW w:w="4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Federal</w:t>
            </w: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71,858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52,009</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14,959</w:t>
            </w:r>
          </w:p>
        </w:tc>
      </w:tr>
      <w:tr>
        <w:trPr>
          <w:trHeight w:val="165"/>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State and Local</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19,512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18,634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12,972</w:t>
            </w:r>
          </w:p>
        </w:tc>
      </w:tr>
      <w:tr>
        <w:trPr>
          <w:trHeight w:val="153"/>
        </w:trPr>
        <w:tc>
          <w:tcPr>
            <w:tcW w:w="4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Foreign</w:t>
            </w:r>
          </w:p>
        </w:tc>
        <w:tc>
          <w:tcPr>
            <w:tcW w:w="3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52,043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33,652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18,016</w:t>
            </w:r>
          </w:p>
        </w:tc>
      </w:tr>
      <w:tr>
        <w:trPr>
          <w:trHeight w:val="165"/>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provision (benefit)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3"/>
        </w:trPr>
        <w:tc>
          <w:tcPr>
            <w:tcW w:w="4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Federal</w:t>
            </w:r>
          </w:p>
        </w:tc>
        <w:tc>
          <w:tcPr>
            <w:tcW w:w="3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34,024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9,125</w:t>
            </w:r>
          </w:p>
        </w:tc>
      </w:tr>
      <w:tr>
        <w:trPr>
          <w:trHeight w:val="165"/>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State and Local</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1,832</w:t>
            </w:r>
          </w:p>
        </w:tc>
      </w:tr>
      <w:tr>
        <w:trPr>
          <w:trHeight w:val="153"/>
        </w:trPr>
        <w:tc>
          <w:tcPr>
            <w:tcW w:w="4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Foreign</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4,306</w:t>
            </w:r>
          </w:p>
        </w:tc>
      </w:tr>
      <w:tr>
        <w:trPr>
          <w:trHeight w:val="18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182,065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110,435</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61,210</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reconciliation of the provision of income taxes to the amount computed by applying the 21% statutory U.S. federal income tax rate to income before income taxes after the adoption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ASU 2023-09 is as follows:</w:t>
      </w:r>
    </w:p>
    <w:p>
      <w:pPr>
        <w:spacing w:after="0" w:line="213" w:lineRule="exact"/>
        <w:rPr>
          <w:sz w:val="20"/>
          <w:szCs w:val="20"/>
          <w:color w:val="auto"/>
        </w:rPr>
      </w:pPr>
    </w:p>
    <w:tbl>
      <w:tblPr>
        <w:tblLayout w:type="fixed"/>
        <w:tblInd w:w="2020" w:type="dxa"/>
        <w:tblCellMar>
          <w:top w:w="0" w:type="dxa"/>
          <w:left w:w="0" w:type="dxa"/>
          <w:bottom w:w="0" w:type="dxa"/>
          <w:right w:w="0" w:type="dxa"/>
        </w:tblCellMar>
      </w:tblPr>
      <w:tr>
        <w:trPr>
          <w:trHeight w:val="158"/>
        </w:trPr>
        <w:tc>
          <w:tcPr>
            <w:tcW w:w="4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r>
      <w:tr>
        <w:trPr>
          <w:trHeight w:val="154"/>
        </w:trPr>
        <w:tc>
          <w:tcPr>
            <w:tcW w:w="4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1283"/>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100" w:type="dxa"/>
            <w:vAlign w:val="bottom"/>
            <w:tcBorders>
              <w:bottom w:val="single" w:sz="8" w:color="auto"/>
            </w:tcBorders>
          </w:tcPr>
          <w:p>
            <w:pPr>
              <w:spacing w:after="0"/>
              <w:rPr>
                <w:sz w:val="13"/>
                <w:szCs w:val="13"/>
                <w:color w:val="auto"/>
              </w:rPr>
            </w:pPr>
          </w:p>
        </w:tc>
      </w:tr>
      <w:tr>
        <w:trPr>
          <w:trHeight w:val="155"/>
        </w:trPr>
        <w:tc>
          <w:tcPr>
            <w:tcW w:w="4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00" w:type="dxa"/>
            <w:vAlign w:val="bottom"/>
            <w:shd w:val="clear" w:color="auto" w:fill="CCEEFF"/>
          </w:tcPr>
          <w:p>
            <w:pPr>
              <w:spacing w:after="0"/>
              <w:rPr>
                <w:sz w:val="13"/>
                <w:szCs w:val="13"/>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1"/>
                <w:szCs w:val="11"/>
                <w:color w:val="auto"/>
              </w:rPr>
              <w:t>U.S. federal statutory tax rate</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229,809</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provision attributable to noncontrolling interest</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(98,361)</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shd w:val="clear" w:color="auto" w:fill="CCEEFF"/>
          </w:tcPr>
          <w:p>
            <w:pPr>
              <w:spacing w:after="0"/>
              <w:rPr>
                <w:sz w:val="14"/>
                <w:szCs w:val="14"/>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1"/>
                <w:szCs w:val="11"/>
                <w:color w:val="auto"/>
              </w:rPr>
              <w:t>State and local income tax, net of federal income tax effects (1)</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24,754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r>
      <w:tr>
        <w:trPr>
          <w:trHeight w:val="16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tax effects</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Ireland</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17,428</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r>
      <w:tr>
        <w:trPr>
          <w:trHeight w:val="165"/>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United Kingdom</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16,246</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Singapore</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11,589</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r>
      <w:tr>
        <w:trPr>
          <w:trHeight w:val="165"/>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All other jurisdictions</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6,734</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shd w:val="clear" w:color="auto" w:fill="CCEEFF"/>
          </w:tcPr>
          <w:p>
            <w:pPr>
              <w:spacing w:after="0"/>
              <w:rPr>
                <w:sz w:val="14"/>
                <w:szCs w:val="14"/>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1"/>
                <w:szCs w:val="11"/>
                <w:color w:val="auto"/>
              </w:rPr>
              <w:t>Effect of cross-border tax laws</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3"/>
                <w:szCs w:val="13"/>
                <w:color w:val="auto"/>
              </w:rPr>
            </w:pPr>
          </w:p>
        </w:tc>
      </w:tr>
      <w:tr>
        <w:trPr>
          <w:trHeight w:val="16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credits</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3"/>
        </w:trPr>
        <w:tc>
          <w:tcPr>
            <w:tcW w:w="46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tax credit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(29,307)</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r>
      <w:tr>
        <w:trPr>
          <w:trHeight w:val="165"/>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All other credits</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(3,491)</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4"/>
                <w:szCs w:val="14"/>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1"/>
                <w:szCs w:val="11"/>
                <w:color w:val="auto"/>
              </w:rPr>
              <w:t>Nontaxable or nondeductible items</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3"/>
                <w:szCs w:val="13"/>
                <w:color w:val="auto"/>
              </w:rPr>
            </w:pPr>
          </w:p>
        </w:tc>
      </w:tr>
      <w:tr>
        <w:trPr>
          <w:trHeight w:val="16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Changes in unrecognized tax benefits</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10,014</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shd w:val="clear" w:color="auto" w:fill="CCEEFF"/>
          </w:tcPr>
          <w:p>
            <w:pPr>
              <w:spacing w:after="0"/>
              <w:rPr>
                <w:sz w:val="14"/>
                <w:szCs w:val="14"/>
                <w:color w:val="auto"/>
              </w:rPr>
            </w:pP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1"/>
                <w:szCs w:val="11"/>
                <w:color w:val="auto"/>
              </w:rPr>
              <w:t>Other, net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Pr>
          <w:p>
            <w:pPr>
              <w:spacing w:after="0"/>
              <w:rPr>
                <w:sz w:val="13"/>
                <w:szCs w:val="13"/>
                <w:color w:val="auto"/>
              </w:rPr>
            </w:pPr>
          </w:p>
        </w:tc>
      </w:tr>
      <w:tr>
        <w:trPr>
          <w:trHeight w:val="157"/>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Effective tax rate</w:t>
            </w: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182,065</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16.6 %</w:t>
            </w:r>
          </w:p>
        </w:tc>
      </w:tr>
    </w:tbl>
    <w:p>
      <w:pPr>
        <w:ind w:left="2020"/>
        <w:spacing w:after="0"/>
        <w:rPr>
          <w:sz w:val="20"/>
          <w:szCs w:val="20"/>
          <w:color w:val="auto"/>
        </w:rPr>
      </w:pPr>
      <w:r>
        <w:rPr>
          <w:rFonts w:ascii="Times New Roman" w:cs="Times New Roman" w:eastAsia="Times New Roman" w:hAnsi="Times New Roman"/>
          <w:sz w:val="10"/>
          <w:szCs w:val="10"/>
          <w:color w:val="auto"/>
        </w:rPr>
        <w:t>(1) State and local taxes in New York and New York City contributed to the majority of the tax effect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-65405</wp:posOffset>
            </wp:positionV>
            <wp:extent cx="198056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80565" cy="69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729" w:right="579" w:bottom="1440" w:gutter="0" w:footer="0" w:header="0"/>
        </w:sectPr>
      </w:pPr>
    </w:p>
    <w:bookmarkStart w:id="121" w:name="page122"/>
    <w:bookmarkEnd w:id="121"/>
    <w:p>
      <w:pPr>
        <w:ind w:right="4400" w:firstLine="509"/>
        <w:spacing w:after="0" w:line="273" w:lineRule="auto"/>
        <w:rPr>
          <w:sz w:val="20"/>
          <w:szCs w:val="20"/>
          <w:color w:val="auto"/>
        </w:rPr>
      </w:pPr>
      <w:r>
        <w:rPr>
          <w:rFonts w:ascii="Times New Roman" w:cs="Times New Roman" w:eastAsia="Times New Roman" w:hAnsi="Times New Roman"/>
          <w:sz w:val="14"/>
          <w:szCs w:val="14"/>
          <w:color w:val="auto"/>
        </w:rPr>
        <w:t>The reconciliation of the tax provision at the U.S. federal statutory rate to the provision for income taxes for the years ended December 31, 2024 and 2023 is as follows:</w:t>
      </w:r>
    </w:p>
    <w:p>
      <w:pPr>
        <w:spacing w:after="0" w:line="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22" w:lineRule="exact"/>
        <w:rPr>
          <w:sz w:val="20"/>
          <w:szCs w:val="20"/>
          <w:color w:val="auto"/>
        </w:rPr>
      </w:pPr>
    </w:p>
    <w:tbl>
      <w:tblPr>
        <w:tblLayout w:type="fixed"/>
        <w:tblInd w:w="520" w:type="dxa"/>
        <w:tblCellMar>
          <w:top w:w="0" w:type="dxa"/>
          <w:left w:w="0" w:type="dxa"/>
          <w:bottom w:w="0" w:type="dxa"/>
          <w:right w:w="0" w:type="dxa"/>
        </w:tblCellMar>
      </w:tblPr>
      <w:tr>
        <w:trPr>
          <w:trHeight w:val="164"/>
        </w:trPr>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3"/>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400" w:type="dxa"/>
            <w:vAlign w:val="bottom"/>
            <w:tcBorders>
              <w:top w:val="single" w:sz="8" w:color="auto"/>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r>
      <w:tr>
        <w:trPr>
          <w:trHeight w:val="144"/>
        </w:trPr>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r>
      <w:tr>
        <w:trPr>
          <w:trHeight w:val="153"/>
        </w:trPr>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Tax provision at the U.S. federal statutory rate</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21.0 %</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21.0 %</w:t>
            </w:r>
          </w:p>
        </w:tc>
        <w:tc>
          <w:tcPr>
            <w:tcW w:w="740" w:type="dxa"/>
            <w:vAlign w:val="bottom"/>
          </w:tcPr>
          <w:p>
            <w:pPr>
              <w:spacing w:after="0"/>
              <w:rPr>
                <w:sz w:val="13"/>
                <w:szCs w:val="13"/>
                <w:color w:val="auto"/>
              </w:rPr>
            </w:pPr>
          </w:p>
        </w:tc>
      </w:tr>
      <w:tr>
        <w:trPr>
          <w:trHeight w:val="165"/>
        </w:trPr>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rate attributable to noncontrolling interest</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740" w:type="dxa"/>
            <w:vAlign w:val="bottom"/>
          </w:tcPr>
          <w:p>
            <w:pPr>
              <w:spacing w:after="0"/>
              <w:rPr>
                <w:sz w:val="14"/>
                <w:szCs w:val="14"/>
                <w:color w:val="auto"/>
              </w:rPr>
            </w:pPr>
          </w:p>
        </w:tc>
      </w:tr>
      <w:tr>
        <w:trPr>
          <w:trHeight w:val="153"/>
        </w:trPr>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State and local taxes, net of federal benefit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740" w:type="dxa"/>
            <w:vAlign w:val="bottom"/>
          </w:tcPr>
          <w:p>
            <w:pPr>
              <w:spacing w:after="0"/>
              <w:rPr>
                <w:sz w:val="13"/>
                <w:szCs w:val="13"/>
                <w:color w:val="auto"/>
              </w:rPr>
            </w:pPr>
          </w:p>
        </w:tc>
      </w:tr>
      <w:tr>
        <w:trPr>
          <w:trHeight w:val="165"/>
        </w:trPr>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Non-deductible expenses, net</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740" w:type="dxa"/>
            <w:vAlign w:val="bottom"/>
          </w:tcPr>
          <w:p>
            <w:pPr>
              <w:spacing w:after="0"/>
              <w:rPr>
                <w:sz w:val="14"/>
                <w:szCs w:val="14"/>
                <w:color w:val="auto"/>
              </w:rPr>
            </w:pPr>
          </w:p>
        </w:tc>
      </w:tr>
      <w:tr>
        <w:trPr>
          <w:trHeight w:val="153"/>
        </w:trPr>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Excess tax benefit (deficiency) from share based compensation</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740" w:type="dxa"/>
            <w:vAlign w:val="bottom"/>
          </w:tcPr>
          <w:p>
            <w:pPr>
              <w:spacing w:after="0"/>
              <w:rPr>
                <w:sz w:val="13"/>
                <w:szCs w:val="13"/>
                <w:color w:val="auto"/>
              </w:rPr>
            </w:pPr>
          </w:p>
        </w:tc>
      </w:tr>
      <w:tr>
        <w:trPr>
          <w:trHeight w:val="165"/>
        </w:trPr>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taxes</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740" w:type="dxa"/>
            <w:vAlign w:val="bottom"/>
          </w:tcPr>
          <w:p>
            <w:pPr>
              <w:spacing w:after="0"/>
              <w:rPr>
                <w:sz w:val="14"/>
                <w:szCs w:val="14"/>
                <w:color w:val="auto"/>
              </w:rPr>
            </w:pPr>
          </w:p>
        </w:tc>
      </w:tr>
      <w:tr>
        <w:trPr>
          <w:trHeight w:val="153"/>
        </w:trPr>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Foreign tax credits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740" w:type="dxa"/>
            <w:vAlign w:val="bottom"/>
          </w:tcPr>
          <w:p>
            <w:pPr>
              <w:spacing w:after="0"/>
              <w:rPr>
                <w:sz w:val="13"/>
                <w:szCs w:val="13"/>
                <w:color w:val="auto"/>
              </w:rPr>
            </w:pPr>
          </w:p>
        </w:tc>
      </w:tr>
      <w:tr>
        <w:trPr>
          <w:trHeight w:val="159"/>
        </w:trPr>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net</w:t>
            </w:r>
          </w:p>
        </w:tc>
        <w:tc>
          <w:tcPr>
            <w:tcW w:w="4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74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Effective tax rate</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17.1 %</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18.8 %</w:t>
            </w:r>
          </w:p>
        </w:tc>
        <w:tc>
          <w:tcPr>
            <w:tcW w:w="740" w:type="dxa"/>
            <w:vAlign w:val="bottom"/>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28"/>
        </w:trPr>
        <w:tc>
          <w:tcPr>
            <w:tcW w:w="6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components of the deferred tax assets and liabilities as of December 31, 2025 and 2024 are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54"/>
        </w:trPr>
        <w:tc>
          <w:tcPr>
            <w:tcW w:w="580" w:type="dxa"/>
            <w:vAlign w:val="bottom"/>
          </w:tcPr>
          <w:p>
            <w:pPr>
              <w:spacing w:after="0"/>
              <w:rPr>
                <w:sz w:val="13"/>
                <w:szCs w:val="13"/>
                <w:color w:val="auto"/>
              </w:rPr>
            </w:pPr>
          </w:p>
        </w:tc>
        <w:tc>
          <w:tcPr>
            <w:tcW w:w="5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4"/>
        </w:trPr>
        <w:tc>
          <w:tcPr>
            <w:tcW w:w="580" w:type="dxa"/>
            <w:vAlign w:val="bottom"/>
          </w:tcPr>
          <w:p>
            <w:pPr>
              <w:spacing w:after="0"/>
              <w:rPr>
                <w:sz w:val="12"/>
                <w:szCs w:val="12"/>
                <w:color w:val="auto"/>
              </w:rPr>
            </w:pP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Deferred income tax assets</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53"/>
        </w:trPr>
        <w:tc>
          <w:tcPr>
            <w:tcW w:w="580" w:type="dxa"/>
            <w:vAlign w:val="bottom"/>
          </w:tcPr>
          <w:p>
            <w:pPr>
              <w:spacing w:after="0"/>
              <w:rPr>
                <w:sz w:val="13"/>
                <w:szCs w:val="13"/>
                <w:color w:val="auto"/>
              </w:rPr>
            </w:pPr>
          </w:p>
        </w:tc>
        <w:tc>
          <w:tcPr>
            <w:tcW w:w="56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Tax Receivable Agreement</w:t>
            </w:r>
          </w:p>
        </w:tc>
        <w:tc>
          <w:tcPr>
            <w:tcW w:w="6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91,355</w:t>
            </w:r>
          </w:p>
        </w:tc>
        <w:tc>
          <w:tcPr>
            <w:tcW w:w="480" w:type="dxa"/>
            <w:vAlign w:val="bottom"/>
            <w:gridSpan w:val="3"/>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114,402</w:t>
            </w:r>
          </w:p>
        </w:tc>
      </w:tr>
      <w:tr>
        <w:trPr>
          <w:trHeight w:val="165"/>
        </w:trPr>
        <w:tc>
          <w:tcPr>
            <w:tcW w:w="580" w:type="dxa"/>
            <w:vAlign w:val="bottom"/>
          </w:tcPr>
          <w:p>
            <w:pPr>
              <w:spacing w:after="0"/>
              <w:rPr>
                <w:sz w:val="14"/>
                <w:szCs w:val="14"/>
                <w:color w:val="auto"/>
              </w:rPr>
            </w:pP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Share-based compensation</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16,072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15,053</w:t>
            </w:r>
          </w:p>
        </w:tc>
      </w:tr>
      <w:tr>
        <w:trPr>
          <w:trHeight w:val="153"/>
        </w:trPr>
        <w:tc>
          <w:tcPr>
            <w:tcW w:w="580" w:type="dxa"/>
            <w:vAlign w:val="bottom"/>
          </w:tcPr>
          <w:p>
            <w:pPr>
              <w:spacing w:after="0"/>
              <w:rPr>
                <w:sz w:val="13"/>
                <w:szCs w:val="13"/>
                <w:color w:val="auto"/>
              </w:rPr>
            </w:pPr>
          </w:p>
        </w:tc>
        <w:tc>
          <w:tcPr>
            <w:tcW w:w="56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Fixed assets and other</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4,153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32,980</w:t>
            </w:r>
          </w:p>
        </w:tc>
      </w:tr>
      <w:tr>
        <w:trPr>
          <w:trHeight w:val="165"/>
        </w:trPr>
        <w:tc>
          <w:tcPr>
            <w:tcW w:w="580" w:type="dxa"/>
            <w:vAlign w:val="bottom"/>
          </w:tcPr>
          <w:p>
            <w:pPr>
              <w:spacing w:after="0"/>
              <w:rPr>
                <w:sz w:val="14"/>
                <w:szCs w:val="14"/>
                <w:color w:val="auto"/>
              </w:rPr>
            </w:pP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credits and net operating loss carryforwards</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7,880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10,334</w:t>
            </w:r>
          </w:p>
        </w:tc>
      </w:tr>
      <w:tr>
        <w:trPr>
          <w:trHeight w:val="153"/>
        </w:trPr>
        <w:tc>
          <w:tcPr>
            <w:tcW w:w="580" w:type="dxa"/>
            <w:vAlign w:val="bottom"/>
          </w:tcPr>
          <w:p>
            <w:pPr>
              <w:spacing w:after="0"/>
              <w:rPr>
                <w:sz w:val="13"/>
                <w:szCs w:val="13"/>
                <w:color w:val="auto"/>
              </w:rPr>
            </w:pPr>
          </w:p>
        </w:tc>
        <w:tc>
          <w:tcPr>
            <w:tcW w:w="5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1"/>
                <w:szCs w:val="11"/>
                <w:color w:val="auto"/>
              </w:rPr>
              <w:t>Less: Valuation allowance on net operating loss carryforwards and tax credits</w:t>
            </w:r>
          </w:p>
        </w:tc>
        <w:tc>
          <w:tcPr>
            <w:tcW w:w="4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color w:val="auto"/>
              </w:rPr>
              <w:t>(7,880)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(10,334)</w:t>
            </w:r>
          </w:p>
        </w:tc>
      </w:tr>
      <w:tr>
        <w:trPr>
          <w:trHeight w:val="181"/>
        </w:trPr>
        <w:tc>
          <w:tcPr>
            <w:tcW w:w="580" w:type="dxa"/>
            <w:vAlign w:val="bottom"/>
          </w:tcPr>
          <w:p>
            <w:pPr>
              <w:spacing w:after="0"/>
              <w:rPr>
                <w:sz w:val="15"/>
                <w:szCs w:val="15"/>
                <w:color w:val="auto"/>
              </w:rPr>
            </w:pPr>
          </w:p>
        </w:tc>
        <w:tc>
          <w:tcPr>
            <w:tcW w:w="5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deferred income tax assets</w:t>
            </w:r>
          </w:p>
        </w:tc>
        <w:tc>
          <w:tcPr>
            <w:tcW w:w="4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111,580</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162,435</w:t>
            </w:r>
          </w:p>
        </w:tc>
      </w:tr>
      <w:tr>
        <w:trPr>
          <w:trHeight w:val="20"/>
        </w:trPr>
        <w:tc>
          <w:tcPr>
            <w:tcW w:w="580" w:type="dxa"/>
            <w:vAlign w:val="bottom"/>
          </w:tcPr>
          <w:p>
            <w:pPr>
              <w:spacing w:after="0" w:line="20" w:lineRule="exact"/>
              <w:rPr>
                <w:sz w:val="1"/>
                <w:szCs w:val="1"/>
                <w:color w:val="auto"/>
              </w:rPr>
            </w:pPr>
          </w:p>
        </w:tc>
        <w:tc>
          <w:tcPr>
            <w:tcW w:w="566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59"/>
        </w:trPr>
        <w:tc>
          <w:tcPr>
            <w:tcW w:w="580" w:type="dxa"/>
            <w:vAlign w:val="bottom"/>
          </w:tcPr>
          <w:p>
            <w:pPr>
              <w:spacing w:after="0"/>
              <w:rPr>
                <w:sz w:val="13"/>
                <w:szCs w:val="13"/>
                <w:color w:val="auto"/>
              </w:rPr>
            </w:pP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Deferred income tax liabilities</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3"/>
        </w:trPr>
        <w:tc>
          <w:tcPr>
            <w:tcW w:w="580" w:type="dxa"/>
            <w:vAlign w:val="bottom"/>
          </w:tcPr>
          <w:p>
            <w:pPr>
              <w:spacing w:after="0"/>
              <w:rPr>
                <w:sz w:val="13"/>
                <w:szCs w:val="13"/>
                <w:color w:val="auto"/>
              </w:rPr>
            </w:pPr>
          </w:p>
        </w:tc>
        <w:tc>
          <w:tcPr>
            <w:tcW w:w="56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Intangibles</w:t>
            </w:r>
          </w:p>
        </w:tc>
        <w:tc>
          <w:tcPr>
            <w:tcW w:w="6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19,158</w:t>
            </w:r>
          </w:p>
        </w:tc>
        <w:tc>
          <w:tcPr>
            <w:tcW w:w="480" w:type="dxa"/>
            <w:vAlign w:val="bottom"/>
            <w:gridSpan w:val="3"/>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27,389</w:t>
            </w:r>
          </w:p>
        </w:tc>
      </w:tr>
      <w:tr>
        <w:trPr>
          <w:trHeight w:val="165"/>
        </w:trPr>
        <w:tc>
          <w:tcPr>
            <w:tcW w:w="580" w:type="dxa"/>
            <w:vAlign w:val="bottom"/>
          </w:tcPr>
          <w:p>
            <w:pPr>
              <w:spacing w:after="0"/>
              <w:rPr>
                <w:sz w:val="14"/>
                <w:szCs w:val="14"/>
                <w:color w:val="auto"/>
              </w:rPr>
            </w:pP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assets</w:t>
            </w:r>
          </w:p>
        </w:tc>
        <w:tc>
          <w:tcPr>
            <w:tcW w:w="4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431</w:t>
            </w:r>
          </w:p>
        </w:tc>
      </w:tr>
      <w:tr>
        <w:trPr>
          <w:trHeight w:val="150"/>
        </w:trPr>
        <w:tc>
          <w:tcPr>
            <w:tcW w:w="580" w:type="dxa"/>
            <w:vAlign w:val="bottom"/>
          </w:tcPr>
          <w:p>
            <w:pPr>
              <w:spacing w:after="0"/>
              <w:rPr>
                <w:sz w:val="13"/>
                <w:szCs w:val="13"/>
                <w:color w:val="auto"/>
              </w:rPr>
            </w:pPr>
          </w:p>
        </w:tc>
        <w:tc>
          <w:tcPr>
            <w:tcW w:w="56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Total deferred income tax liabilities</w:t>
            </w:r>
          </w:p>
        </w:tc>
        <w:tc>
          <w:tcPr>
            <w:tcW w:w="4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19,843</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27,820</w:t>
            </w:r>
          </w:p>
        </w:tc>
      </w:tr>
      <w:tr>
        <w:trPr>
          <w:trHeight w:val="20"/>
        </w:trPr>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Company is subject to U.S. federal, state and local income tax at the rate applicable to corporations for the share of income that is not attributable to the noncontrolling interest in Virtu Financial. These noncontrolling interests are subject to U.S. taxation at the partner level. Accordingly, for the years ended December 31, 2025, 2024, and 2023, the income attributable to these noncontrolling interests is reported in the Consolidated Statements of Comprehensive Income, but the related U.S. income tax expense attributable to these noncontrolling interests is not reported by the Company as it is the obligation of the individual partners. Income tax expense includes foreign, state and local income tax where certain of the Company’s subsidiaries are subject to corporate taxation.</w:t>
      </w:r>
    </w:p>
    <w:p>
      <w:pPr>
        <w:spacing w:after="0" w:line="16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Included in Other assets on the Consolidated Statements of Financial Condition at December 31, 2025 and December 31, 2024 are current income tax receivables of $36.8 million and $13.2 million, respectively. These balances primarily comprise prepayments of income tax and income tax benefits due to the Company from federal, state and local, and foreign tax jurisdictions based on income before taxes. Included in Accounts payable, accrued expenses and other liabilities on the Consolidated Statements of Financial Condition at December 31, 2025 and December 31, 2024 are current tax liabilities of $37.8 million and $22.5 million, respectively. These balances primarily comprise income taxes owed to federal, state and local, and foreign tax jurisdictions based on income before taxes.</w:t>
      </w:r>
    </w:p>
    <w:p>
      <w:pPr>
        <w:spacing w:after="0" w:line="164"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Deferred income taxes arise primarily due to the amortization of the deferred tax assets recognized in connection with the IPO (see Note 5 “Tax Receivable Agreements”),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57"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0" w:right="359" w:bottom="1440" w:gutter="0" w:footer="0" w:header="0"/>
        </w:sectPr>
      </w:pPr>
    </w:p>
    <w:bookmarkStart w:id="122" w:name="page123"/>
    <w:bookmarkEnd w:id="122"/>
    <w:p>
      <w:pPr>
        <w:ind w:right="140"/>
        <w:spacing w:after="0" w:line="287" w:lineRule="auto"/>
        <w:rPr>
          <w:sz w:val="20"/>
          <w:szCs w:val="20"/>
          <w:color w:val="auto"/>
        </w:rPr>
      </w:pPr>
      <w:r>
        <w:rPr>
          <w:rFonts w:ascii="Times New Roman" w:cs="Times New Roman" w:eastAsia="Times New Roman" w:hAnsi="Times New Roman"/>
          <w:sz w:val="14"/>
          <w:szCs w:val="14"/>
          <w:color w:val="auto"/>
        </w:rPr>
        <w:t>tax assets is assessed periodically with appropriate consideration given to all positive and negative evidence related to the realization of the deferred tax assets. At December 31, 2025, the Company did not have any U.S. federal, state or local net operating loss carryforwards and therefore the Company did not record a deferred tax asset related to any federal net operating loss carryforwards.</w:t>
      </w:r>
    </w:p>
    <w:p>
      <w:pPr>
        <w:spacing w:after="0" w:line="145"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 has non-U.S. net operating losses at December 31, 2025 and 2024 of $46.8 million and $58.2 million, respectively, and has recorded related deferred tax assets of $7.9 million and $10.3 million, respectively. A full valuation allowance was recorded against these deferred tax assets at December 31, 2025 and 2024 as it is more likely than not that these deferred tax assets will not be realized. No valuation allowance against the remaining deferred taxes was recorded as of December 31, 2025 and 2024 because it is more likely than not that these deferred tax assets will be fully realized.</w:t>
      </w:r>
    </w:p>
    <w:p>
      <w:pPr>
        <w:spacing w:after="0" w:line="162"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Company is subject to taxation in U.S. federal, state, local and foreign jurisdictions. As of December 31, 2025, the Company’s tax years for 2015 through 2024 and 2017 through 2024 are subject to examination by U.S. and non-U.S. tax authorities, respectively. In addition, the Company is subject to state and local income tax examinations in various jurisdictions for the tax years 2013 through 2024. The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16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Consolidated Statements of Comprehensive Income, respectively.</w:t>
      </w:r>
    </w:p>
    <w:p>
      <w:pPr>
        <w:spacing w:after="0" w:line="157" w:lineRule="exact"/>
        <w:rPr>
          <w:sz w:val="20"/>
          <w:szCs w:val="20"/>
          <w:color w:val="auto"/>
        </w:rPr>
      </w:pPr>
    </w:p>
    <w:p>
      <w:pPr>
        <w:ind w:right="600" w:firstLine="509"/>
        <w:spacing w:after="0" w:line="287" w:lineRule="auto"/>
        <w:rPr>
          <w:sz w:val="20"/>
          <w:szCs w:val="20"/>
          <w:color w:val="auto"/>
        </w:rPr>
      </w:pPr>
      <w:r>
        <w:rPr>
          <w:rFonts w:ascii="Times New Roman" w:cs="Times New Roman" w:eastAsia="Times New Roman" w:hAnsi="Times New Roman"/>
          <w:sz w:val="14"/>
          <w:szCs w:val="14"/>
          <w:color w:val="auto"/>
        </w:rPr>
        <w:t>The Company had $19.2 million of unrecognized tax benefits as of December 31, 2025, all of which would affect the Company’s effective tax rate if recognized. The Company has determined that there are no uncertain tax positions that would have a material impact on the Company’s financial position as of December 31, 2025.</w:t>
      </w:r>
    </w:p>
    <w:p>
      <w:pPr>
        <w:spacing w:after="0" w:line="145" w:lineRule="exact"/>
        <w:rPr>
          <w:sz w:val="20"/>
          <w:szCs w:val="20"/>
          <w:color w:val="auto"/>
        </w:rPr>
      </w:pPr>
    </w:p>
    <w:p>
      <w:pPr>
        <w:ind w:right="720" w:firstLine="509"/>
        <w:spacing w:after="0" w:line="273" w:lineRule="auto"/>
        <w:rPr>
          <w:sz w:val="20"/>
          <w:szCs w:val="20"/>
          <w:color w:val="auto"/>
        </w:rPr>
      </w:pPr>
      <w:r>
        <w:rPr>
          <w:rFonts w:ascii="Times New Roman" w:cs="Times New Roman" w:eastAsia="Times New Roman" w:hAnsi="Times New Roman"/>
          <w:sz w:val="14"/>
          <w:szCs w:val="14"/>
          <w:color w:val="auto"/>
        </w:rPr>
        <w:t>The table below presents the changes in the liability for unrecognized tax benefits. This liability is included in Accounts payable and accrued expenses and other liabilities on the Consolidated Statements of Financial Condition.</w:t>
      </w:r>
    </w:p>
    <w:p>
      <w:pPr>
        <w:spacing w:after="0" w:line="1" w:lineRule="exact"/>
        <w:rPr>
          <w:sz w:val="20"/>
          <w:szCs w:val="20"/>
          <w:color w:val="auto"/>
        </w:rPr>
      </w:pPr>
    </w:p>
    <w:tbl>
      <w:tblPr>
        <w:tblLayout w:type="fixed"/>
        <w:tblInd w:w="2000" w:type="dxa"/>
        <w:tblCellMar>
          <w:top w:w="0" w:type="dxa"/>
          <w:left w:w="0" w:type="dxa"/>
          <w:bottom w:w="0" w:type="dxa"/>
          <w:right w:w="0" w:type="dxa"/>
        </w:tblCellMar>
      </w:tblPr>
      <w:tr>
        <w:trPr>
          <w:trHeight w:val="158"/>
        </w:trPr>
        <w:tc>
          <w:tcPr>
            <w:tcW w:w="5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86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6,802</w:t>
            </w:r>
          </w:p>
        </w:tc>
      </w:tr>
      <w:tr>
        <w:trPr>
          <w:trHeight w:val="153"/>
        </w:trPr>
        <w:tc>
          <w:tcPr>
            <w:tcW w:w="5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Decreases based on tax positions related to prior period</w:t>
            </w: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Increase based on tax positions related to current period</w:t>
            </w:r>
          </w:p>
        </w:tc>
        <w:tc>
          <w:tcPr>
            <w:tcW w:w="8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1,464</w:t>
            </w:r>
          </w:p>
        </w:tc>
      </w:tr>
      <w:tr>
        <w:trPr>
          <w:trHeight w:val="144"/>
        </w:trPr>
        <w:tc>
          <w:tcPr>
            <w:tcW w:w="5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2024</w:t>
            </w: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8,266</w:t>
            </w:r>
          </w:p>
        </w:tc>
      </w:tr>
      <w:tr>
        <w:trPr>
          <w:trHeight w:val="165"/>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Decreases based on tax positions related to prior period</w:t>
            </w:r>
          </w:p>
        </w:tc>
        <w:tc>
          <w:tcPr>
            <w:tcW w:w="8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(5,533)</w:t>
            </w:r>
          </w:p>
        </w:tc>
      </w:tr>
      <w:tr>
        <w:trPr>
          <w:trHeight w:val="153"/>
        </w:trPr>
        <w:tc>
          <w:tcPr>
            <w:tcW w:w="5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Increase based on tax positions related to current period</w:t>
            </w:r>
          </w:p>
        </w:tc>
        <w:tc>
          <w:tcPr>
            <w:tcW w:w="8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16,444</w:t>
            </w:r>
          </w:p>
        </w:tc>
      </w:tr>
      <w:tr>
        <w:trPr>
          <w:trHeight w:val="181"/>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2025</w:t>
            </w:r>
          </w:p>
        </w:tc>
        <w:tc>
          <w:tcPr>
            <w:tcW w:w="86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19,177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amounts of cash income taxes paid by the Company were as follows:</w:t>
      </w:r>
    </w:p>
    <w:p>
      <w:pPr>
        <w:spacing w:after="0" w:line="259" w:lineRule="exact"/>
        <w:rPr>
          <w:sz w:val="20"/>
          <w:szCs w:val="20"/>
          <w:color w:val="auto"/>
        </w:rPr>
      </w:pPr>
    </w:p>
    <w:tbl>
      <w:tblPr>
        <w:tblLayout w:type="fixed"/>
        <w:tblInd w:w="3020" w:type="dxa"/>
        <w:tblCellMar>
          <w:top w:w="0" w:type="dxa"/>
          <w:left w:w="0" w:type="dxa"/>
          <w:bottom w:w="0" w:type="dxa"/>
          <w:right w:w="0" w:type="dxa"/>
        </w:tblCellMar>
      </w:tblPr>
      <w:tr>
        <w:trPr>
          <w:trHeight w:val="158"/>
        </w:trPr>
        <w:tc>
          <w:tcPr>
            <w:tcW w:w="34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102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55,886</w:t>
            </w:r>
          </w:p>
        </w:tc>
      </w:tr>
      <w:tr>
        <w:trPr>
          <w:trHeight w:val="153"/>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local</w:t>
            </w: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65"/>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 York City</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11,287</w:t>
            </w:r>
          </w:p>
        </w:tc>
      </w:tr>
      <w:tr>
        <w:trPr>
          <w:trHeight w:val="153"/>
        </w:trPr>
        <w:tc>
          <w:tcPr>
            <w:tcW w:w="3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All other states</w:t>
            </w:r>
          </w:p>
        </w:tc>
        <w:tc>
          <w:tcPr>
            <w:tcW w:w="300" w:type="dxa"/>
            <w:vAlign w:val="bottom"/>
          </w:tcPr>
          <w:p>
            <w:pPr>
              <w:spacing w:after="0"/>
              <w:rPr>
                <w:sz w:val="13"/>
                <w:szCs w:val="13"/>
                <w:color w:val="auto"/>
              </w:rPr>
            </w:pPr>
          </w:p>
        </w:tc>
        <w:tc>
          <w:tcPr>
            <w:tcW w:w="2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7,783</w:t>
            </w:r>
          </w:p>
        </w:tc>
      </w:tr>
      <w:tr>
        <w:trPr>
          <w:trHeight w:val="16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53"/>
        </w:trPr>
        <w:tc>
          <w:tcPr>
            <w:tcW w:w="3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United Kingdom</w:t>
            </w:r>
          </w:p>
        </w:tc>
        <w:tc>
          <w:tcPr>
            <w:tcW w:w="300" w:type="dxa"/>
            <w:vAlign w:val="bottom"/>
          </w:tcPr>
          <w:p>
            <w:pPr>
              <w:spacing w:after="0"/>
              <w:rPr>
                <w:sz w:val="13"/>
                <w:szCs w:val="13"/>
                <w:color w:val="auto"/>
              </w:rPr>
            </w:pPr>
          </w:p>
        </w:tc>
        <w:tc>
          <w:tcPr>
            <w:tcW w:w="2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22,007</w:t>
            </w:r>
          </w:p>
        </w:tc>
      </w:tr>
      <w:tr>
        <w:trPr>
          <w:trHeight w:val="165"/>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Ireland</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13,981</w:t>
            </w:r>
          </w:p>
        </w:tc>
      </w:tr>
      <w:tr>
        <w:trPr>
          <w:trHeight w:val="153"/>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All other foreign</w:t>
            </w:r>
          </w:p>
        </w:tc>
        <w:tc>
          <w:tcPr>
            <w:tcW w:w="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11,004</w:t>
            </w:r>
          </w:p>
        </w:tc>
      </w:tr>
      <w:tr>
        <w:trPr>
          <w:trHeight w:val="181"/>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taxes, net of amounts refunded</w:t>
            </w: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121,948</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3" w:name="page124"/>
    <w:bookmarkEnd w:id="123"/>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Public Law No. 119-21, commonly referred to as the One Big Beautiful Bill Act (“OBBB”), was signed into law on July 4, 2025. The OBBB, amongst other things, extends permanently, with modifications, certain tax provisions enacted as part of Public Law No. 115-97, commonly referred to as The Tax Cuts and Jobs Act (“TCJA”). Certain domestic provisions have retroactive effects beginning in 2025, while the international provisions are generally effective for years beginning after December 31, 2025. The Company determined that the OBBB did not have a material impact on its Consolidated Financial Statements and related disclosures for the year ended December 31, 2025. The Company will continue to evaluate the full impact of these legislative changes as additional guidance becomes available.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Commitments, Contingencies and Guarantees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 Proceedings</w:t>
      </w:r>
    </w:p>
    <w:p>
      <w:pPr>
        <w:spacing w:after="0" w:line="19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in prior regulatory filings, the U.S. Securities and Exchange Commission (“SEC”) undertook an investigation of aspects of the Company’s internal information access barriers. The Company cooperated with this civil investigation and engaged in settlement discussions but was unable to reach a settlement. In September 2023, the SEC filed an action against the Company in federal court in the Southern District of New York, alleging violations of federal securities laws with respect to the Company’s information barriers policies and procedures for a specified time period in and around January 2018 to April 2019 and related statements made by the Company during such period. In December 2025, the matter was resolved as the Company voluntarily consented to the entry of a final order without admitting or denying the SEC’s allegations with respect to its policies and procedures. Pursuant to the order, the Company paid a penalty in the amount of $2.5 million and consented to an injunction with respect to violations of Section 15(g) of the Securities Exchange Act of 1934, while the SEC’s claims with respect to the Company’s statements were dismissed with prejudice.</w:t>
      </w:r>
    </w:p>
    <w:p>
      <w:pPr>
        <w:spacing w:after="0" w:line="164"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4"/>
          <w:szCs w:val="14"/>
          <w:color w:val="auto"/>
        </w:rPr>
        <w:t xml:space="preserve">In matters related to the SEC investigation noted above, the Company and certain of its current and former executive officers were named as defendants on May 19, 2023 in </w:t>
      </w:r>
      <w:r>
        <w:rPr>
          <w:rFonts w:ascii="Times New Roman" w:cs="Times New Roman" w:eastAsia="Times New Roman" w:hAnsi="Times New Roman"/>
          <w:sz w:val="14"/>
          <w:szCs w:val="14"/>
          <w:i w:val="1"/>
          <w:iCs w:val="1"/>
          <w:color w:val="auto"/>
        </w:rPr>
        <w:t>Hiebert v. Virtu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Inc., </w:t>
      </w:r>
      <w:r>
        <w:rPr>
          <w:rFonts w:ascii="Times New Roman" w:cs="Times New Roman" w:eastAsia="Times New Roman" w:hAnsi="Times New Roman"/>
          <w:sz w:val="14"/>
          <w:szCs w:val="14"/>
          <w:color w:val="auto"/>
        </w:rPr>
        <w:t>No. 23-cv-03770 and on October 31, 2023 in</w:t>
      </w:r>
      <w:r>
        <w:rPr>
          <w:rFonts w:ascii="Times New Roman" w:cs="Times New Roman" w:eastAsia="Times New Roman" w:hAnsi="Times New Roman"/>
          <w:sz w:val="14"/>
          <w:szCs w:val="14"/>
          <w:i w:val="1"/>
          <w:iCs w:val="1"/>
          <w:color w:val="auto"/>
        </w:rPr>
        <w:t xml:space="preserve"> City of Birmingham Retirement and Relief System v. Virtu Financial, Inc., </w:t>
      </w:r>
      <w:r>
        <w:rPr>
          <w:rFonts w:ascii="Times New Roman" w:cs="Times New Roman" w:eastAsia="Times New Roman" w:hAnsi="Times New Roman"/>
          <w:sz w:val="14"/>
          <w:szCs w:val="14"/>
          <w:color w:val="auto"/>
        </w:rPr>
        <w:t>No. 23-cv-08123. The complaints were each filed by purported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stockholders in the Eastern District of New York on behalf of a putative class and assert that the Company made materially false and misleading statements and omissions in its public filings in violation of federal securities laws. The complaints were subsequently consolidated and recaptioned in </w:t>
      </w:r>
      <w:r>
        <w:rPr>
          <w:rFonts w:ascii="Times New Roman" w:cs="Times New Roman" w:eastAsia="Times New Roman" w:hAnsi="Times New Roman"/>
          <w:sz w:val="14"/>
          <w:szCs w:val="14"/>
          <w:i w:val="1"/>
          <w:iCs w:val="1"/>
          <w:color w:val="auto"/>
        </w:rPr>
        <w:t>re Virtu Financial, Inc. Securities Litigation</w:t>
      </w:r>
      <w:r>
        <w:rPr>
          <w:rFonts w:ascii="Times New Roman" w:cs="Times New Roman" w:eastAsia="Times New Roman" w:hAnsi="Times New Roman"/>
          <w:sz w:val="14"/>
          <w:szCs w:val="14"/>
          <w:color w:val="auto"/>
        </w:rPr>
        <w:t xml:space="preserve">, No. 23-cv-03770. The Company believes the defendants have meritorious defenses against claims that its public disclosures were inadequate or misleading. The Company maintains that such disclosures were true and accurate and compliant with applicable law, and the defendants are defending themselves vigorously. The Company also has received requests for information related to the SEC investigation pursuant to Section 220 of the Delaware General Corporation Law from counsel for purported stockholders. On March 26, 2025, members of the Company’s Board of Directors and certain current and former executives were named in a derivative complaint in </w:t>
      </w:r>
      <w:r>
        <w:rPr>
          <w:rFonts w:ascii="Times New Roman" w:cs="Times New Roman" w:eastAsia="Times New Roman" w:hAnsi="Times New Roman"/>
          <w:sz w:val="14"/>
          <w:szCs w:val="14"/>
          <w:i w:val="1"/>
          <w:iCs w:val="1"/>
          <w:color w:val="auto"/>
        </w:rPr>
        <w:t>Adams v. Viola et al.</w:t>
      </w:r>
      <w:r>
        <w:rPr>
          <w:rFonts w:ascii="Times New Roman" w:cs="Times New Roman" w:eastAsia="Times New Roman" w:hAnsi="Times New Roman"/>
          <w:sz w:val="14"/>
          <w:szCs w:val="14"/>
          <w:color w:val="auto"/>
        </w:rPr>
        <w:t xml:space="preserve">, No. 1:25-cv-1688 filed on behalf of the Company in the Eastern District of New York in which it is asserted that the defendants breached fiduciary duties to the Company related to the FS matter. A similar derivative complaint was filed on April 9, 2025 in </w:t>
      </w:r>
      <w:r>
        <w:rPr>
          <w:rFonts w:ascii="Times New Roman" w:cs="Times New Roman" w:eastAsia="Times New Roman" w:hAnsi="Times New Roman"/>
          <w:sz w:val="14"/>
          <w:szCs w:val="14"/>
          <w:i w:val="1"/>
          <w:iCs w:val="1"/>
          <w:color w:val="auto"/>
        </w:rPr>
        <w:t>Deisz v. Viola et al.</w:t>
      </w:r>
      <w:r>
        <w:rPr>
          <w:rFonts w:ascii="Times New Roman" w:cs="Times New Roman" w:eastAsia="Times New Roman" w:hAnsi="Times New Roman"/>
          <w:sz w:val="14"/>
          <w:szCs w:val="14"/>
          <w:color w:val="auto"/>
        </w:rPr>
        <w:t xml:space="preserve">, 25-CV-1958 in the Eastern District of New York against current and former members of the Board of Directors and executives. The derivative complaints were subsequently consolidated and recaptioned </w:t>
      </w:r>
      <w:r>
        <w:rPr>
          <w:rFonts w:ascii="Times New Roman" w:cs="Times New Roman" w:eastAsia="Times New Roman" w:hAnsi="Times New Roman"/>
          <w:sz w:val="14"/>
          <w:szCs w:val="14"/>
          <w:i w:val="1"/>
          <w:iCs w:val="1"/>
          <w:color w:val="auto"/>
        </w:rPr>
        <w:t>In re Virtu Financial Inc. Derivative Litigation</w:t>
      </w:r>
      <w:r>
        <w:rPr>
          <w:rFonts w:ascii="Times New Roman" w:cs="Times New Roman" w:eastAsia="Times New Roman" w:hAnsi="Times New Roman"/>
          <w:sz w:val="14"/>
          <w:szCs w:val="14"/>
          <w:color w:val="auto"/>
        </w:rPr>
        <w:t xml:space="preserve">. On December 11, 2025, a complaint making similar allegations against current and former directors and officers, captioned </w:t>
      </w:r>
      <w:r>
        <w:rPr>
          <w:rFonts w:ascii="Times New Roman" w:cs="Times New Roman" w:eastAsia="Times New Roman" w:hAnsi="Times New Roman"/>
          <w:sz w:val="14"/>
          <w:szCs w:val="14"/>
          <w:i w:val="1"/>
          <w:iCs w:val="1"/>
          <w:color w:val="auto"/>
        </w:rPr>
        <w:t>Curti v. Viola et al.,</w:t>
      </w:r>
      <w:r>
        <w:rPr>
          <w:rFonts w:ascii="Times New Roman" w:cs="Times New Roman" w:eastAsia="Times New Roman" w:hAnsi="Times New Roman"/>
          <w:sz w:val="14"/>
          <w:szCs w:val="14"/>
          <w:color w:val="auto"/>
        </w:rPr>
        <w:t xml:space="preserve"> No. 2025-1441-KSJM, was filed in Delaware Chancery Court. The defendants in these cases deny that they breached any fiduciary duties related to the FS matter and are defending themselves vigorously.</w:t>
      </w:r>
    </w:p>
    <w:p>
      <w:pPr>
        <w:spacing w:after="0" w:line="166"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 xml:space="preserve">On November 30, 2020, the Company was named as a defendant in </w:t>
      </w:r>
      <w:r>
        <w:rPr>
          <w:rFonts w:ascii="Times New Roman" w:cs="Times New Roman" w:eastAsia="Times New Roman" w:hAnsi="Times New Roman"/>
          <w:sz w:val="14"/>
          <w:szCs w:val="14"/>
          <w:i w:val="1"/>
          <w:iCs w:val="1"/>
          <w:color w:val="auto"/>
        </w:rPr>
        <w:t>In re United States Oil Fund, LP Securities Litigation</w:t>
      </w:r>
      <w:r>
        <w:rPr>
          <w:rFonts w:ascii="Times New Roman" w:cs="Times New Roman" w:eastAsia="Times New Roman" w:hAnsi="Times New Roman"/>
          <w:sz w:val="14"/>
          <w:szCs w:val="14"/>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was granted on September 29, 2025. In November, 2025, the plaintiffs moved for leave to file a proposed second amended complaint, briefing was completed on the motion and it is currently pending before the court. The Company believes that the claims are without merit and plans to continue defending itself vigorously if necessary.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4" w:name="page125"/>
    <w:bookmarkEnd w:id="124"/>
    <w:p>
      <w:pPr>
        <w:ind w:right="60" w:firstLine="509"/>
        <w:spacing w:after="0"/>
        <w:rPr>
          <w:sz w:val="20"/>
          <w:szCs w:val="20"/>
          <w:color w:val="auto"/>
        </w:rPr>
      </w:pPr>
      <w:r>
        <w:rPr>
          <w:rFonts w:ascii="Times New Roman" w:cs="Times New Roman" w:eastAsia="Times New Roman" w:hAnsi="Times New Roman"/>
          <w:sz w:val="14"/>
          <w:szCs w:val="14"/>
          <w:color w:val="auto"/>
        </w:rPr>
        <w:t xml:space="preserve">On March 7, 2022, the Company was named as a defendant in </w:t>
      </w:r>
      <w:r>
        <w:rPr>
          <w:rFonts w:ascii="Times New Roman" w:cs="Times New Roman" w:eastAsia="Times New Roman" w:hAnsi="Times New Roman"/>
          <w:sz w:val="14"/>
          <w:szCs w:val="14"/>
          <w:i w:val="1"/>
          <w:iCs w:val="1"/>
          <w:color w:val="auto"/>
        </w:rPr>
        <w:t>Iron Workers Local No. 55 Pension Fund v. Virtu Financial, Inc.</w:t>
      </w:r>
      <w:r>
        <w:rPr>
          <w:rFonts w:ascii="Times New Roman" w:cs="Times New Roman" w:eastAsia="Times New Roman" w:hAnsi="Times New Roman"/>
          <w:sz w:val="14"/>
          <w:szCs w:val="14"/>
          <w:color w:val="auto"/>
        </w:rPr>
        <w:t xml:space="preserve">, No. 2022-0211-PAF pending in the Court of Chancery of the State of Delaware. The complaint, filed by a purported stockholder, seeks to compel the inspection of certain Company books and records pursuant to Section 220 of the Delaware General Corporation Law. The complaint (the “220 Complaint”) alleged that the stockholder sought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made substantial productions of documents and other information in response to plaintiff's requests. In January 2025, the plaintiff voluntarily dismissed the 220 Complaint and filed a complaint in the Court of Chancery of the State of Delaware naming the Company and its directors, officers, and controlling stockholder as defendants, captioned </w:t>
      </w:r>
      <w:r>
        <w:rPr>
          <w:rFonts w:ascii="Times New Roman" w:cs="Times New Roman" w:eastAsia="Times New Roman" w:hAnsi="Times New Roman"/>
          <w:sz w:val="14"/>
          <w:szCs w:val="14"/>
          <w:i w:val="1"/>
          <w:iCs w:val="1"/>
          <w:color w:val="auto"/>
        </w:rPr>
        <w:t>Iron Workers Local No. 55 Pension Fund v. Viola et al.</w:t>
      </w:r>
      <w:r>
        <w:rPr>
          <w:rFonts w:ascii="Times New Roman" w:cs="Times New Roman" w:eastAsia="Times New Roman" w:hAnsi="Times New Roman"/>
          <w:sz w:val="14"/>
          <w:szCs w:val="14"/>
          <w:color w:val="auto"/>
        </w:rPr>
        <w:t>, No. 2025-0058-JTL, alleging breaches of fiduciary duties which purportedly have caused harm to holders of the Company’s Class A common stock. The defendants in these cases deny they breached their fiduciary duties and are defending themselves vigorously.</w:t>
      </w:r>
    </w:p>
    <w:p>
      <w:pPr>
        <w:spacing w:after="0" w:line="166"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 xml:space="preserve">On October 17, 2022, the Company’s subsidiary, along with several other parties, was named as a defendant in </w:t>
      </w:r>
      <w:r>
        <w:rPr>
          <w:rFonts w:ascii="Times New Roman" w:cs="Times New Roman" w:eastAsia="Times New Roman" w:hAnsi="Times New Roman"/>
          <w:sz w:val="14"/>
          <w:szCs w:val="14"/>
          <w:i w:val="1"/>
          <w:iCs w:val="1"/>
          <w:color w:val="auto"/>
        </w:rPr>
        <w:t>Mallinckrodt PLC, et al. (Reorganized Debtors); Opioid Master Disbursement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Trust II v. Argos Capital Appreciation Master Fund LP et al </w:t>
      </w:r>
      <w:r>
        <w:rPr>
          <w:rFonts w:ascii="Times New Roman" w:cs="Times New Roman" w:eastAsia="Times New Roman" w:hAnsi="Times New Roman"/>
          <w:sz w:val="14"/>
          <w:szCs w:val="14"/>
          <w:color w:val="auto"/>
        </w:rPr>
        <w:t>No. 20-12522. The complaint alleges that Mallinckrodt PLC engaged in a share repurchase program from 2015 through 2018 pursuant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it repurchased its own shares in various open market transactions, a period during which it was allegedly insolvent. The debtor plaintiff is seeking to unwind the transactions consummated under the program, alleging such transactions constituted fraudulent transfers by the debtor. The Company believes it has meritorious defenses against any unwinding of transactions, and the court granted its motion to dismiss in March 2025. The debtor plaintiff appealed the dismissal to the United States District Court for the District of Delaware, and the district court affirmed the bankruptcy court’s dismissal in November 2025.</w:t>
      </w:r>
    </w:p>
    <w:p>
      <w:pPr>
        <w:spacing w:after="0" w:line="16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On December 1, 2022, the Company’s subsidiary, along with several other parties, was named as a defendant in N</w:t>
      </w:r>
      <w:r>
        <w:rPr>
          <w:rFonts w:ascii="Times New Roman" w:cs="Times New Roman" w:eastAsia="Times New Roman" w:hAnsi="Times New Roman"/>
          <w:sz w:val="14"/>
          <w:szCs w:val="14"/>
          <w:i w:val="1"/>
          <w:iCs w:val="1"/>
          <w:color w:val="auto"/>
        </w:rPr>
        <w:t>orthwest Biotherapeutics, Inc. v. Canaccord Genuity LLC, et al</w:t>
      </w:r>
      <w:r>
        <w:rPr>
          <w:rFonts w:ascii="Times New Roman" w:cs="Times New Roman" w:eastAsia="Times New Roman" w:hAnsi="Times New Roman"/>
          <w:sz w:val="14"/>
          <w:szCs w:val="14"/>
          <w:color w:val="auto"/>
        </w:rPr>
        <w:t xml:space="preserve"> No. 1:22-cv-10185, filed in United States District Court in the Southern District of New York. The initial complaint alleged that defendants engaged in market manipulation in the plaintiff’s stock during a period from 2018 to 2022. A first amended complaint was filed on April 10, 2023, bringing substantially the same allegations as the initial complaint. The first amended complaint was dismissed with leave to amend on February 14, 2024. Plaintiff filed a second amended complaint on March 18, 2024. Neither the operative complaint nor prior iterations specify the amount of alleged damages. On March 27, 2025, the district court partially granted the defendants’ motion to dismiss. On November 14, 2025, the Company’s subsidiary, along with another market maker, was named as a defendant in </w:t>
      </w:r>
      <w:r>
        <w:rPr>
          <w:rFonts w:ascii="Times New Roman" w:cs="Times New Roman" w:eastAsia="Times New Roman" w:hAnsi="Times New Roman"/>
          <w:sz w:val="14"/>
          <w:szCs w:val="14"/>
          <w:i w:val="1"/>
          <w:iCs w:val="1"/>
          <w:color w:val="auto"/>
        </w:rPr>
        <w:t>Genius Group Limited v. Citadel Securities LLC, et al</w:t>
      </w:r>
      <w:r>
        <w:rPr>
          <w:rFonts w:ascii="Times New Roman" w:cs="Times New Roman" w:eastAsia="Times New Roman" w:hAnsi="Times New Roman"/>
          <w:sz w:val="14"/>
          <w:szCs w:val="14"/>
          <w:color w:val="auto"/>
        </w:rPr>
        <w:t xml:space="preserve"> No. 1:25-CV-09546, filed in United States District Court in the Southern District of New York. The putative class action complaint alleges that defendants engaged in market manipulation of the plaintiff’s stock during a period from 2022 to 2025. On January 7, 2026, the Company, along with several other parties, was named as a defendant in </w:t>
      </w:r>
      <w:r>
        <w:rPr>
          <w:rFonts w:ascii="Times New Roman" w:cs="Times New Roman" w:eastAsia="Times New Roman" w:hAnsi="Times New Roman"/>
          <w:sz w:val="14"/>
          <w:szCs w:val="14"/>
          <w:i w:val="1"/>
          <w:iCs w:val="1"/>
          <w:color w:val="auto"/>
        </w:rPr>
        <w:t>Asia Broadband, Inc. v. Virtu Financial Inc. et al</w:t>
      </w:r>
      <w:r>
        <w:rPr>
          <w:rFonts w:ascii="Times New Roman" w:cs="Times New Roman" w:eastAsia="Times New Roman" w:hAnsi="Times New Roman"/>
          <w:sz w:val="14"/>
          <w:szCs w:val="14"/>
          <w:color w:val="auto"/>
        </w:rPr>
        <w:t xml:space="preserve"> No. 2:26-cv-00175, filed in United States District Court in the Central District of California. The putative class action complaint alleges that the defendants engaged in market manipulation of the plaintiff’s stock during a period from 2021 to 2025. The Company believes that all of these claims are without merit and is defending itself vigorously.</w:t>
      </w:r>
    </w:p>
    <w:p>
      <w:pPr>
        <w:spacing w:after="0" w:line="17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 xml:space="preserve">On October 7, 2024, the Company and its 50% owned subsidiary, NLN Holdings, LLC, along with several other defendants, were named in a lawsuit brought by Skywave Networks, LLC in the United States District Court for the Northern District of Illinois, </w:t>
      </w:r>
      <w:r>
        <w:rPr>
          <w:rFonts w:ascii="Times New Roman" w:cs="Times New Roman" w:eastAsia="Times New Roman" w:hAnsi="Times New Roman"/>
          <w:sz w:val="14"/>
          <w:szCs w:val="14"/>
          <w:i w:val="1"/>
          <w:iCs w:val="1"/>
          <w:color w:val="auto"/>
        </w:rPr>
        <w:t>Skywave Networks, LLC v. DiSomma, et al.,</w:t>
      </w:r>
      <w:r>
        <w:rPr>
          <w:rFonts w:ascii="Times New Roman" w:cs="Times New Roman" w:eastAsia="Times New Roman" w:hAnsi="Times New Roman"/>
          <w:sz w:val="14"/>
          <w:szCs w:val="14"/>
          <w:color w:val="auto"/>
        </w:rPr>
        <w:t xml:space="preserve"> 1:24-cv-09650 (N.D.Ill.). The complaint alleges that defendants engaged in violations of federal law, 18 U.S.C. sec. 1962, in connection with the application for and utilization of various licenses issued by the Federal Communications Commission, purportedly harming plaintiffs’ attempts to offer certain network communications capacity on a commercial basis. The complaint does not specify any amount of alleged damages. On February 13, 2025, the plaintiffs filed a First Amended Complaint which does not specify any amount of alleged damages. On December 2, 2025, the court granted the Company’s motion to dismiss the complaint. On December 31, 2025, the Plaintiffs filed a notice of appeal with the 7th Circuit Court of Appeals. The Company believes that the claims are without merit and intends to continue to defend itself vigorously.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25" w:name="page126"/>
    <w:bookmarkEnd w:id="125"/>
    <w:p>
      <w:pPr>
        <w:ind w:firstLine="509"/>
        <w:spacing w:after="0"/>
        <w:rPr>
          <w:sz w:val="20"/>
          <w:szCs w:val="20"/>
          <w:color w:val="auto"/>
        </w:rPr>
      </w:pPr>
      <w:r>
        <w:rPr>
          <w:rFonts w:ascii="Times New Roman" w:cs="Times New Roman" w:eastAsia="Times New Roman" w:hAnsi="Times New Roman"/>
          <w:sz w:val="14"/>
          <w:szCs w:val="14"/>
          <w:color w:val="auto"/>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Legal and Regulatory Matters</w:t>
      </w:r>
    </w:p>
    <w:p>
      <w:pPr>
        <w:spacing w:after="0" w:line="191"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4"/>
          <w:szCs w:val="14"/>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In 2022 and 2023, the SEC under the prior administration proposed several rule changes focused on equity market structure reform, certain of which have been adopted, while others remain pending while others have been withdrawn. The SEC has recently (i) adopted rule amendments to minimum pricing increments under Rule 612 of Regulation NMS, access fee caps under Rule 610 of Regulation NMS, acceleration of the implementation of certain Market Data Infrastructure Rules, and an amendment to the odd-lot information definition adopted under the MDI rules (collectively referred to as the “tick size, access fees and infrastructure rule proposals”), which had a previous compliance date commencing in November 2025, and the compliance date for tick size and access fees rule changes have been delayed until November 2026, and the infrastructure rule proposal concerning odd lots has been delayed until May 2026, (ii) adopted amendments to Rule 605 of Regulation NMS, which had an initial compliance date on or about December 15, 2025 which has been postponed until August 1, 2026, and (iii) approved a funding model submitted by several exchanges in relation to the Consolidated Audit Trail (CAT) which provided for fee collection commencing in November 2024 but which was ultimately struck down by the 11th Circuit Court of Appeals.</w:t>
      </w:r>
    </w:p>
    <w:p>
      <w:pPr>
        <w:spacing w:after="0" w:line="172" w:lineRule="exact"/>
        <w:rPr>
          <w:sz w:val="20"/>
          <w:szCs w:val="20"/>
          <w:color w:val="auto"/>
        </w:rPr>
      </w:pPr>
    </w:p>
    <w:p>
      <w:pPr>
        <w:ind w:right="120" w:firstLine="509"/>
        <w:spacing w:after="0" w:line="239" w:lineRule="auto"/>
        <w:rPr>
          <w:sz w:val="20"/>
          <w:szCs w:val="20"/>
          <w:color w:val="auto"/>
        </w:rPr>
      </w:pPr>
      <w:r>
        <w:rPr>
          <w:rFonts w:ascii="Times New Roman" w:cs="Times New Roman" w:eastAsia="Times New Roman" w:hAnsi="Times New Roman"/>
          <w:sz w:val="14"/>
          <w:szCs w:val="14"/>
          <w:color w:val="auto"/>
        </w:rPr>
        <w:t>In June of 2025, under Chair Atkins, the SEC withdrew the following previously pending proposals: (i) Proposed Rule 615 of Regulation NMS (i.e., the Order Competition Rule), (ii) Regulation Best Execution, (iii) a series of amendments to the definition of Exchange and Alternative Trading Systems (ATS), (iv) proposed amendments to expand and update Regulation Systems Compliance and Integrity (SCI), and (v) a proposal to restrict volume based tiered pricing by equity exchanges in certain cases. Further, the FTC took steps to dismiss its appeal and accede to a vacatur of its previously announced final rule banning most non-compete clauses in employer-employee contracts. Other recent developments in law and regulation relating to digital assets and cryptocurrency include the adoption of the Guiding and Establishing National innovation for U.S. Stablecoins Act (the “GENIUS Act”) and the proposal of the Digital Asset Market Clarity Act (the “CLARITY Act”) and the “Responsible Financial Innovation Act of 2025” in the United States, and the adoption of the Markets in Crypto-Assets Regulation (MiCAR) in the EU. These remaining pending or potential rule changes in law, rule or regulation, to the extent adopted, along with those that have recently been adopted, could adversely affect the Company’s business or the Company’s industry, though may also have positive impacts.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26" w:name="page127"/>
    <w:bookmarkEnd w:id="126"/>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 Further, as noted in the above Legal and Regulatory Proceedings section, there is inherent difficulty in predicting the outcome of regulatory examinations or investigations, and the Company cannot estimate losses or ranges of losses for these matters above what has already been accrued for.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 Indemnification Arrangements</w:t>
      </w:r>
    </w:p>
    <w:p>
      <w:pPr>
        <w:spacing w:after="0" w:line="202" w:lineRule="exact"/>
        <w:rPr>
          <w:sz w:val="20"/>
          <w:szCs w:val="20"/>
          <w:color w:val="auto"/>
        </w:rPr>
      </w:pPr>
    </w:p>
    <w:p>
      <w:pPr>
        <w:jc w:val="both"/>
        <w:ind w:right="500" w:firstLine="509"/>
        <w:spacing w:after="0" w:line="270" w:lineRule="auto"/>
        <w:rPr>
          <w:sz w:val="20"/>
          <w:szCs w:val="20"/>
          <w:color w:val="auto"/>
        </w:rPr>
      </w:pPr>
      <w:r>
        <w:rPr>
          <w:rFonts w:ascii="Times New Roman" w:cs="Times New Roman" w:eastAsia="Times New Roman" w:hAnsi="Times New Roman"/>
          <w:sz w:val="14"/>
          <w:szCs w:val="14"/>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such exposure could relate to claims not yet brought or events which have not yet occurred.</w:t>
      </w:r>
    </w:p>
    <w:p>
      <w:pPr>
        <w:spacing w:after="0" w:line="157"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claims.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Leases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Company’s leases are primarily for corporate office space, datacenters, and technology equipment. The leases have remaining terms of one to ten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164"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Company also subleases certain office space and facilities to third parties. The subleases have remaining terms of one to six years. The Company recognizes amounts received from subleases on a straight-line basis over the term of the sublease within Operations and administrative expense on the Consolidated Statements of Comprehensive Income.</w:t>
      </w:r>
    </w:p>
    <w:p>
      <w:pPr>
        <w:spacing w:after="0" w:line="145"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As the implied discount rate for most of the Company’s leases is not readily determinable, the Company uses its incremental borrowing rate on its secured borrowings in determining the present value of lease payments.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Lease assets and liabilities are summarized as follows:</w:t>
      </w:r>
    </w:p>
    <w:p>
      <w:pPr>
        <w:sectPr>
          <w:pgSz w:w="11900" w:h="16838" w:orient="portrait"/>
          <w:cols w:equalWidth="0" w:num="1">
            <w:col w:w="11280"/>
          </w:cols>
          <w:pgMar w:left="300" w:top="729" w:right="319" w:bottom="1440" w:gutter="0" w:footer="0" w:header="0"/>
        </w:sectPr>
      </w:pP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Operating leases</w:t>
      </w:r>
    </w:p>
    <w:p>
      <w:pPr>
        <w:spacing w:after="0" w:line="33" w:lineRule="exact"/>
        <w:rPr>
          <w:sz w:val="20"/>
          <w:szCs w:val="20"/>
          <w:color w:val="auto"/>
        </w:rPr>
      </w:pPr>
    </w:p>
    <w:p>
      <w:pPr>
        <w:ind w:left="200" w:right="480"/>
        <w:spacing w:after="0" w:line="340" w:lineRule="auto"/>
        <w:rPr>
          <w:sz w:val="20"/>
          <w:szCs w:val="20"/>
          <w:color w:val="auto"/>
        </w:rPr>
      </w:pPr>
      <w:r>
        <w:rPr>
          <w:rFonts w:ascii="Times New Roman" w:cs="Times New Roman" w:eastAsia="Times New Roman" w:hAnsi="Times New Roman"/>
          <w:sz w:val="11"/>
          <w:szCs w:val="11"/>
          <w:color w:val="auto"/>
        </w:rPr>
        <w:t>Operating lease right-of-use assets Operating lease liabilities</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Finance leases</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Property and equipment, at cost</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Accumulated depreciation</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Finance lease liabilities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1"/>
                <w:szCs w:val="11"/>
                <w:b w:val="1"/>
                <w:bCs w:val="1"/>
                <w:color w:val="auto"/>
              </w:rPr>
              <w:t>Financial Statement Location</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299"/>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213,707</w:t>
            </w:r>
          </w:p>
        </w:tc>
        <w:tc>
          <w:tcPr>
            <w:tcW w:w="100" w:type="dxa"/>
            <w:vAlign w:val="bottom"/>
          </w:tcPr>
          <w:p>
            <w:pPr>
              <w:spacing w:after="0"/>
              <w:rPr>
                <w:sz w:val="24"/>
                <w:szCs w:val="24"/>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175,046</w:t>
            </w:r>
          </w:p>
        </w:tc>
      </w:tr>
      <w:tr>
        <w:trPr>
          <w:trHeight w:val="159"/>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80" w:type="dxa"/>
            <w:vAlign w:val="bottom"/>
          </w:tcPr>
          <w:p>
            <w:pPr>
              <w:spacing w:after="0"/>
              <w:rPr>
                <w:sz w:val="13"/>
                <w:szCs w:val="13"/>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261,169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229,825</w:t>
            </w:r>
          </w:p>
        </w:tc>
      </w:tr>
      <w:tr>
        <w:trPr>
          <w:trHeight w:val="530"/>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Property, equipment, and capitalized software, net</w:t>
            </w:r>
          </w:p>
        </w:tc>
        <w:tc>
          <w:tcPr>
            <w:tcW w:w="280" w:type="dxa"/>
            <w:vAlign w:val="bottom"/>
          </w:tcPr>
          <w:p>
            <w:pPr>
              <w:spacing w:after="0"/>
              <w:rPr>
                <w:sz w:val="24"/>
                <w:szCs w:val="24"/>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36,611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42,915</w:t>
            </w:r>
          </w:p>
        </w:tc>
      </w:tr>
      <w:tr>
        <w:trPr>
          <w:trHeight w:val="159"/>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Property, equipment, and capitalized software, net</w:t>
            </w:r>
          </w:p>
        </w:tc>
        <w:tc>
          <w:tcPr>
            <w:tcW w:w="2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(20,755)</w:t>
            </w:r>
          </w:p>
        </w:tc>
      </w:tr>
      <w:tr>
        <w:trPr>
          <w:trHeight w:val="159"/>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280" w:type="dxa"/>
            <w:vAlign w:val="bottom"/>
          </w:tcPr>
          <w:p>
            <w:pPr>
              <w:spacing w:after="0"/>
              <w:rPr>
                <w:sz w:val="13"/>
                <w:szCs w:val="13"/>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19,984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-627380</wp:posOffset>
            </wp:positionV>
            <wp:extent cx="7053580" cy="1009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53580" cy="10096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-391795</wp:posOffset>
            </wp:positionV>
            <wp:extent cx="7053580" cy="1009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53580" cy="10096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-189230</wp:posOffset>
            </wp:positionV>
            <wp:extent cx="7053580" cy="1009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53580" cy="10096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-836295</wp:posOffset>
            </wp:positionV>
            <wp:extent cx="7053580" cy="1079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53580"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320"/>
          </w:cols>
          <w:pgMar w:left="300" w:top="729" w:right="319" w:bottom="1440" w:gutter="0" w:footer="0" w:header="0"/>
          <w:type w:val="continuous"/>
        </w:sectPr>
      </w:pP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Weighted average remaining lease term and discount rate are as follows: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type w:val="continuous"/>
        </w:sectPr>
      </w:pPr>
    </w:p>
    <w:bookmarkStart w:id="127" w:name="page128"/>
    <w:bookmarkEnd w:id="127"/>
    <w:tbl>
      <w:tblPr>
        <w:tblLayout w:type="fixed"/>
        <w:tblInd w:w="1440" w:type="dxa"/>
        <w:tblCellMar>
          <w:top w:w="0" w:type="dxa"/>
          <w:left w:w="0" w:type="dxa"/>
          <w:bottom w:w="0" w:type="dxa"/>
          <w:right w:w="0" w:type="dxa"/>
        </w:tblCellMar>
      </w:tblPr>
      <w:tr>
        <w:trPr>
          <w:trHeight w:val="158"/>
        </w:trPr>
        <w:tc>
          <w:tcPr>
            <w:tcW w:w="43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9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4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remaining lease term</w:t>
            </w:r>
          </w:p>
        </w:tc>
        <w:tc>
          <w:tcPr>
            <w:tcW w:w="1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r>
      <w:tr>
        <w:trPr>
          <w:trHeight w:val="153"/>
        </w:trPr>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Operating leases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4.40 years</w:t>
            </w:r>
          </w:p>
        </w:tc>
        <w:tc>
          <w:tcPr>
            <w:tcW w:w="1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 years</w:t>
            </w:r>
          </w:p>
        </w:tc>
      </w:tr>
      <w:tr>
        <w:trPr>
          <w:trHeight w:val="165"/>
        </w:trPr>
        <w:tc>
          <w:tcPr>
            <w:tcW w:w="5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Finance leases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2.58 years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 years</w:t>
            </w:r>
          </w:p>
        </w:tc>
      </w:tr>
      <w:tr>
        <w:trPr>
          <w:trHeight w:val="153"/>
        </w:trPr>
        <w:tc>
          <w:tcPr>
            <w:tcW w:w="5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Weighted average discount rate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65"/>
        </w:trPr>
        <w:tc>
          <w:tcPr>
            <w:tcW w:w="5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5.95 %</w:t>
            </w:r>
          </w:p>
        </w:tc>
        <w:tc>
          <w:tcPr>
            <w:tcW w:w="10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6.36 %</w:t>
            </w:r>
          </w:p>
        </w:tc>
      </w:tr>
      <w:tr>
        <w:trPr>
          <w:trHeight w:val="147"/>
        </w:trPr>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Finance leases</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5.83 %</w:t>
            </w:r>
          </w:p>
        </w:tc>
        <w:tc>
          <w:tcPr>
            <w:tcW w:w="10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5.97 %</w:t>
            </w:r>
          </w:p>
        </w:tc>
      </w:tr>
    </w:tbl>
    <w:p>
      <w:pPr>
        <w:spacing w:after="0" w:line="2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227" w:lineRule="exact"/>
        <w:rPr>
          <w:sz w:val="20"/>
          <w:szCs w:val="20"/>
          <w:color w:val="auto"/>
        </w:rPr>
      </w:pPr>
    </w:p>
    <w:tbl>
      <w:tblPr>
        <w:tblLayout w:type="fixed"/>
        <w:tblInd w:w="1120" w:type="dxa"/>
        <w:tblCellMar>
          <w:top w:w="0" w:type="dxa"/>
          <w:left w:w="0" w:type="dxa"/>
          <w:bottom w:w="0" w:type="dxa"/>
          <w:right w:w="0" w:type="dxa"/>
        </w:tblCellMar>
      </w:tblPr>
      <w:tr>
        <w:trPr>
          <w:trHeight w:val="158"/>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4"/>
        </w:trPr>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3"/>
                <w:szCs w:val="13"/>
                <w:color w:val="auto"/>
              </w:rPr>
            </w:pPr>
          </w:p>
        </w:tc>
        <w:tc>
          <w:tcPr>
            <w:tcW w:w="1320" w:type="dxa"/>
            <w:vAlign w:val="bottom"/>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cost:</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r>
      <w:tr>
        <w:trPr>
          <w:trHeight w:val="153"/>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Fixed</w:t>
            </w: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70,553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73,046</w:t>
            </w:r>
          </w:p>
        </w:tc>
        <w:tc>
          <w:tcPr>
            <w:tcW w:w="12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76,424</w:t>
            </w:r>
          </w:p>
        </w:tc>
      </w:tr>
      <w:tr>
        <w:trPr>
          <w:trHeight w:val="165"/>
        </w:trPr>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Variable</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6,151</w:t>
            </w:r>
          </w:p>
        </w:tc>
      </w:tr>
      <w:tr>
        <w:trPr>
          <w:trHeight w:val="153"/>
        </w:trPr>
        <w:tc>
          <w:tcPr>
            <w:tcW w:w="3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Impairment of ROU Asset</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10,031</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lease cost</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77,763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88,933</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82,575</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5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Sublease income</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13,077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16,896</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19,506</w:t>
            </w:r>
          </w:p>
        </w:tc>
      </w:tr>
      <w:tr>
        <w:trPr>
          <w:trHeight w:val="170"/>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Finance lease cost:</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Amortization of ROU Asset</w:t>
            </w: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7,751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10,512</w:t>
            </w:r>
          </w:p>
        </w:tc>
        <w:tc>
          <w:tcPr>
            <w:tcW w:w="12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9,079</w:t>
            </w:r>
          </w:p>
        </w:tc>
      </w:tr>
      <w:tr>
        <w:trPr>
          <w:trHeight w:val="159"/>
        </w:trPr>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on lease liabilities</w:t>
            </w: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1,156</w:t>
            </w:r>
          </w:p>
        </w:tc>
      </w:tr>
      <w:tr>
        <w:trPr>
          <w:trHeight w:val="156"/>
        </w:trPr>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Finance lease cost</w:t>
            </w: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8,975</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12,071</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10,235</w:t>
            </w: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See Note 2 “Summary of Significant Accounting Policies” in Part II Item 8 “Financial Statements and Supplementary Data” of this Form 10-K for details on the classification of these expenses in the Consolidated Statements of Comprehensive Income.</w:t>
      </w:r>
    </w:p>
    <w:p>
      <w:pPr>
        <w:spacing w:after="0" w:line="145" w:lineRule="exact"/>
        <w:rPr>
          <w:sz w:val="20"/>
          <w:szCs w:val="20"/>
          <w:color w:val="auto"/>
        </w:rPr>
      </w:pPr>
    </w:p>
    <w:p>
      <w:pPr>
        <w:jc w:val="both"/>
        <w:ind w:right="120" w:firstLine="509"/>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2024, the Company recognized $16.2 million in Termination of office leases on the Consolidated Statements of Comprehensive Income, primarily comprising of $10.0 million of impairments of ROU assets and $6.5 million of cost related to asset retirement obligations associated with certain leased office spaces. In September 2025, in connection with the finalization of an agreement related to the restoration requirements for such leased office spaces, the Company recorded a reduction of $6.5 million in its asset retirement obligations and the related cost within Termination of office leases.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lease payments under operating and finance leases with non-cancelable lease terms, as of December 31, 2025, are as follows:</w:t>
      </w:r>
    </w:p>
    <w:p>
      <w:pPr>
        <w:spacing w:after="0" w:line="227" w:lineRule="exact"/>
        <w:rPr>
          <w:sz w:val="20"/>
          <w:szCs w:val="20"/>
          <w:color w:val="auto"/>
        </w:rPr>
      </w:pPr>
    </w:p>
    <w:tbl>
      <w:tblPr>
        <w:tblLayout w:type="fixed"/>
        <w:tblInd w:w="2600" w:type="dxa"/>
        <w:tblCellMar>
          <w:top w:w="0" w:type="dxa"/>
          <w:left w:w="0" w:type="dxa"/>
          <w:bottom w:w="0" w:type="dxa"/>
          <w:right w:w="0" w:type="dxa"/>
        </w:tblCellMar>
      </w:tblPr>
      <w:tr>
        <w:trPr>
          <w:trHeight w:val="158"/>
        </w:trPr>
        <w:tc>
          <w:tcPr>
            <w:tcW w:w="2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260" w:type="dxa"/>
            <w:vAlign w:val="bottom"/>
          </w:tcPr>
          <w:p>
            <w:pPr>
              <w:spacing w:after="0"/>
              <w:rPr>
                <w:sz w:val="13"/>
                <w:szCs w:val="13"/>
                <w:color w:val="auto"/>
              </w:rPr>
            </w:pPr>
          </w:p>
        </w:tc>
        <w:tc>
          <w:tcPr>
            <w:tcW w:w="140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Finance Leases</w:t>
            </w:r>
          </w:p>
        </w:tc>
      </w:tr>
      <w:tr>
        <w:trPr>
          <w:trHeight w:val="153"/>
        </w:trPr>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80,092</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9,041</w:t>
            </w:r>
          </w:p>
        </w:tc>
      </w:tr>
      <w:tr>
        <w:trPr>
          <w:trHeight w:val="16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75,738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7,871</w:t>
            </w:r>
          </w:p>
        </w:tc>
      </w:tr>
      <w:tr>
        <w:trPr>
          <w:trHeight w:val="153"/>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2028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68,010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3,982</w:t>
            </w:r>
          </w:p>
        </w:tc>
      </w:tr>
      <w:tr>
        <w:trPr>
          <w:trHeight w:val="16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24,378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662</w:t>
            </w:r>
          </w:p>
        </w:tc>
      </w:tr>
      <w:tr>
        <w:trPr>
          <w:trHeight w:val="153"/>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2030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21,519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2031 and thereafter</w:t>
            </w:r>
          </w:p>
        </w:tc>
        <w:tc>
          <w:tcPr>
            <w:tcW w:w="2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28,375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5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lease payments</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298,112</w:t>
            </w:r>
          </w:p>
        </w:tc>
        <w:tc>
          <w:tcPr>
            <w:tcW w:w="1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21,556</w:t>
            </w:r>
          </w:p>
        </w:tc>
      </w:tr>
      <w:tr>
        <w:trPr>
          <w:trHeight w:val="159"/>
        </w:trPr>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Less imputed interest</w:t>
            </w:r>
          </w:p>
        </w:tc>
        <w:tc>
          <w:tcPr>
            <w:tcW w:w="28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(36,943)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(1,572)</w:t>
            </w:r>
          </w:p>
        </w:tc>
      </w:tr>
      <w:tr>
        <w:trPr>
          <w:trHeight w:val="156"/>
        </w:trPr>
        <w:tc>
          <w:tcPr>
            <w:tcW w:w="25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lease liability</w:t>
            </w: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261,169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19,984</w:t>
            </w: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Cash</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a reconciliation of cash and cash equivalents together with restricted or segregated cash</w:t>
      </w: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948" w:right="7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color w:val="auto"/>
        </w:rPr>
        <w:t>as reported within the Consolidated Statements of Financial Condition to the sum of the same such amounts shown in the Consolidated Statements of Cash Flows.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58"/>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Pr>
          <w:p>
            <w:pPr>
              <w:spacing w:after="0"/>
              <w:rPr>
                <w:sz w:val="13"/>
                <w:szCs w:val="13"/>
                <w:color w:val="auto"/>
              </w:rPr>
            </w:pPr>
          </w:p>
        </w:tc>
        <w:tc>
          <w:tcPr>
            <w:tcW w:w="134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1,061,697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872,513</w:t>
            </w:r>
          </w:p>
        </w:tc>
      </w:tr>
      <w:tr>
        <w:trPr>
          <w:trHeight w:val="153"/>
        </w:trPr>
        <w:tc>
          <w:tcPr>
            <w:tcW w:w="6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Cash restricted or segregated under regulations and other</w:t>
            </w: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64,744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41,478</w:t>
            </w:r>
          </w:p>
        </w:tc>
      </w:tr>
      <w:tr>
        <w:trPr>
          <w:trHeight w:val="181"/>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 shown in the statement of cash flows</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1,126,441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913,991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Capital Structure</w:t>
      </w:r>
    </w:p>
    <w:p>
      <w:pPr>
        <w:spacing w:after="0" w:line="20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87.1% of the combined voting power of our common stock as a result of its ownership of our Class A, Class C and Class D Common Stock. The Company holds approximately a 57.2% interest in Virtu Financial at December 31, 2025.</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December 31, 2025 and December 31, 2024, there were 3,402,959 and 3,994,744 Virtu Financial Units outstanding held by Employee Holdco, respectively, and 591,785 and 46,028 of such Virtu Financial Units and corresponding Class C Common Stock were exchanged into Class A Common Stock, forfeited or repurchased during the years ended December 31,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Second Amended and Restated 2015 Management Incentive Plan</w:t>
      </w:r>
    </w:p>
    <w:p>
      <w:pPr>
        <w:spacing w:after="0" w:line="20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June 5, 2020, June 2, 2022, and June 2, 2025. The Second Amended and Restated 2015 Management Incentive Plan provides for the grant of stock options, restricted stock units, and other awards based on an aggregate of 33,500,000 shares of Class A Common Stock, subject to additional sublimits, including limits on the total option grant to any one participant in a single year and the total performance award to any one participant in a single year.</w:t>
      </w:r>
    </w:p>
    <w:p>
      <w:pPr>
        <w:spacing w:after="0" w:line="16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On April 24, 2024, the Company’s Board of Directors authorized the expansion of the program by an additional $500 million to $1,720 million and extended the duration through April 24, 2026.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December 31, 2025, the Company repurchased approximately 53.8 million shares of Class A Common Stock and Virtu Financial Units for approximately $1,417.2 million. As of December 31, 2025, the Company has approximately $302.8 million remaining capacity for future purchases of shares of Class A Common Stock and Virtu Financial Units under the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Exchanges</w:t>
      </w:r>
    </w:p>
    <w:p>
      <w:pPr>
        <w:spacing w:after="0" w:line="202" w:lineRule="exact"/>
        <w:rPr>
          <w:sz w:val="20"/>
          <w:szCs w:val="20"/>
          <w:color w:val="auto"/>
        </w:rPr>
      </w:pPr>
    </w:p>
    <w:p>
      <w:pPr>
        <w:jc w:val="both"/>
        <w:ind w:right="140" w:firstLine="509"/>
        <w:spacing w:after="0" w:line="270" w:lineRule="auto"/>
        <w:rPr>
          <w:sz w:val="20"/>
          <w:szCs w:val="20"/>
          <w:color w:val="auto"/>
        </w:rPr>
      </w:pPr>
      <w:r>
        <w:rPr>
          <w:rFonts w:ascii="Times New Roman" w:cs="Times New Roman" w:eastAsia="Times New Roman" w:hAnsi="Times New Roman"/>
          <w:sz w:val="14"/>
          <w:szCs w:val="14"/>
          <w:color w:val="auto"/>
        </w:rPr>
        <w:t>During the years ended December 31, 2025, 2024, and 2023, pursuant to the exchange agreement by and among the Company, Virtu Financial and holders of Virtu Financial Units, certain current and former employees elected to exchange 566,924, 43,391, and 186,394 units, respectively, in Virtu Financial held directly or on their behalf by Virtu Employee Holdco LLC (“Employee Holdco”) on a one-for-one basis for shares of Class A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changes in Other Comprehensive Income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7" w:right="359" w:bottom="1440" w:gutter="0" w:footer="0" w:header="0"/>
        </w:sectPr>
      </w:pPr>
    </w:p>
    <w:bookmarkStart w:id="130" w:name="page131"/>
    <w:bookmarkEnd w:id="130"/>
    <w:tbl>
      <w:tblPr>
        <w:tblLayout w:type="fixed"/>
        <w:tblInd w:w="720" w:type="dxa"/>
        <w:tblCellMar>
          <w:top w:w="0" w:type="dxa"/>
          <w:left w:w="0" w:type="dxa"/>
          <w:bottom w:w="0" w:type="dxa"/>
          <w:right w:w="0" w:type="dxa"/>
        </w:tblCellMar>
      </w:tblPr>
      <w:tr>
        <w:trPr>
          <w:trHeight w:val="158"/>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9"/>
                <w:szCs w:val="9"/>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AOCI Beginning Balance</w:t>
            </w:r>
          </w:p>
        </w:tc>
        <w:tc>
          <w:tcPr>
            <w:tcW w:w="180" w:type="dxa"/>
            <w:vAlign w:val="bottom"/>
          </w:tcPr>
          <w:p>
            <w:pPr>
              <w:spacing w:after="0"/>
              <w:rPr>
                <w:sz w:val="9"/>
                <w:szCs w:val="9"/>
                <w:color w:val="auto"/>
              </w:rPr>
            </w:pPr>
          </w:p>
        </w:tc>
        <w:tc>
          <w:tcPr>
            <w:tcW w:w="136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recorded</w:t>
            </w:r>
          </w:p>
        </w:tc>
        <w:tc>
          <w:tcPr>
            <w:tcW w:w="80" w:type="dxa"/>
            <w:vAlign w:val="bottom"/>
          </w:tcPr>
          <w:p>
            <w:pPr>
              <w:spacing w:after="0"/>
              <w:rPr>
                <w:sz w:val="9"/>
                <w:szCs w:val="9"/>
                <w:color w:val="auto"/>
              </w:rPr>
            </w:pPr>
          </w:p>
        </w:tc>
        <w:tc>
          <w:tcPr>
            <w:tcW w:w="14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reclassified from</w:t>
            </w:r>
          </w:p>
        </w:tc>
        <w:tc>
          <w:tcPr>
            <w:tcW w:w="140" w:type="dxa"/>
            <w:vAlign w:val="bottom"/>
          </w:tcPr>
          <w:p>
            <w:pPr>
              <w:spacing w:after="0"/>
              <w:rPr>
                <w:sz w:val="9"/>
                <w:szCs w:val="9"/>
                <w:color w:val="auto"/>
              </w:rPr>
            </w:pPr>
          </w:p>
        </w:tc>
        <w:tc>
          <w:tcPr>
            <w:tcW w:w="134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AOCI Ending Balance</w:t>
            </w:r>
          </w:p>
        </w:tc>
        <w:tc>
          <w:tcPr>
            <w:tcW w:w="0" w:type="dxa"/>
            <w:vAlign w:val="bottom"/>
          </w:tcPr>
          <w:p>
            <w:pPr>
              <w:spacing w:after="0"/>
              <w:rPr>
                <w:sz w:val="1"/>
                <w:szCs w:val="1"/>
                <w:color w:val="auto"/>
              </w:rPr>
            </w:pPr>
          </w:p>
        </w:tc>
      </w:tr>
      <w:tr>
        <w:trPr>
          <w:trHeight w:val="153"/>
        </w:trPr>
        <w:tc>
          <w:tcPr>
            <w:tcW w:w="3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AOCI</w:t>
            </w:r>
          </w:p>
        </w:tc>
        <w:tc>
          <w:tcPr>
            <w:tcW w:w="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AOCI to income</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change in unrealized cash flow hedges gains (losses) (1)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tcBorders>
            <w:shd w:val="clear" w:color="auto" w:fill="CCEEFF"/>
          </w:tcPr>
          <w:p>
            <w:pPr>
              <w:jc w:val="center"/>
              <w:ind w:left="843"/>
              <w:spacing w:after="0"/>
              <w:rPr>
                <w:sz w:val="20"/>
                <w:szCs w:val="20"/>
                <w:color w:val="auto"/>
              </w:rPr>
            </w:pPr>
            <w:r>
              <w:rPr>
                <w:rFonts w:ascii="Times New Roman" w:cs="Times New Roman" w:eastAsia="Times New Roman" w:hAnsi="Times New Roman"/>
                <w:sz w:val="11"/>
                <w:szCs w:val="11"/>
                <w:color w:val="auto"/>
                <w:w w:val="99"/>
              </w:rPr>
              <w:t>(3,785)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Foreign exchange translation adjustment</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left="863"/>
              <w:spacing w:after="0"/>
              <w:rPr>
                <w:sz w:val="20"/>
                <w:szCs w:val="20"/>
                <w:color w:val="auto"/>
              </w:rPr>
            </w:pPr>
            <w:r>
              <w:rPr>
                <w:rFonts w:ascii="Times New Roman" w:cs="Times New Roman" w:eastAsia="Times New Roman" w:hAnsi="Times New Roman"/>
                <w:sz w:val="11"/>
                <w:szCs w:val="11"/>
                <w:color w:val="auto"/>
              </w:rPr>
              <w:t>8,995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(3,011)</w:t>
            </w:r>
          </w:p>
        </w:tc>
        <w:tc>
          <w:tcPr>
            <w:tcW w:w="0" w:type="dxa"/>
            <w:vAlign w:val="bottom"/>
          </w:tcPr>
          <w:p>
            <w:pPr>
              <w:spacing w:after="0"/>
              <w:rPr>
                <w:sz w:val="1"/>
                <w:szCs w:val="1"/>
                <w:color w:val="auto"/>
              </w:rPr>
            </w:pPr>
          </w:p>
        </w:tc>
      </w:tr>
      <w:tr>
        <w:trPr>
          <w:trHeight w:val="157"/>
        </w:trPr>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bottom w:val="single" w:sz="8" w:color="auto"/>
            </w:tcBorders>
            <w:shd w:val="clear" w:color="auto" w:fill="CCEEFF"/>
          </w:tcPr>
          <w:p>
            <w:pPr>
              <w:jc w:val="center"/>
              <w:ind w:left="863"/>
              <w:spacing w:after="0"/>
              <w:rPr>
                <w:sz w:val="20"/>
                <w:szCs w:val="20"/>
                <w:color w:val="auto"/>
              </w:rPr>
            </w:pPr>
            <w:r>
              <w:rPr>
                <w:rFonts w:ascii="Times New Roman" w:cs="Times New Roman" w:eastAsia="Times New Roman" w:hAnsi="Times New Roman"/>
                <w:sz w:val="11"/>
                <w:szCs w:val="11"/>
                <w:color w:val="auto"/>
              </w:rPr>
              <w:t>5,210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(3,011)</w:t>
            </w:r>
          </w:p>
        </w:tc>
        <w:tc>
          <w:tcPr>
            <w:tcW w:w="0" w:type="dxa"/>
            <w:vAlign w:val="bottom"/>
          </w:tcPr>
          <w:p>
            <w:pPr>
              <w:spacing w:after="0"/>
              <w:rPr>
                <w:sz w:val="1"/>
                <w:szCs w:val="1"/>
                <w:color w:val="auto"/>
              </w:rPr>
            </w:pPr>
          </w:p>
        </w:tc>
      </w:tr>
    </w:tbl>
    <w:p>
      <w:pPr>
        <w:ind w:left="720" w:right="700" w:firstLine="10"/>
        <w:spacing w:after="0" w:line="230" w:lineRule="auto"/>
        <w:tabs>
          <w:tab w:leader="none" w:pos="860" w:val="left"/>
        </w:tabs>
        <w:numPr>
          <w:ilvl w:val="0"/>
          <w:numId w:val="4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reclassified from AOCI to income are included within Financing interest expense on long-term borrowings on the Consolidated Statements of Comprehensive Income. In November 2025, the cash flow hedge was discontinued upon the termination of the interest rate swap in accordance with its contractual terms, and the Company expects no further gains or losses related to the interest rate swap to be recorded in AOCI or reclassified 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-132715</wp:posOffset>
            </wp:positionV>
            <wp:extent cx="388048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80" w:lineRule="exact"/>
        <w:rPr>
          <w:sz w:val="20"/>
          <w:szCs w:val="20"/>
          <w:color w:val="auto"/>
        </w:rPr>
      </w:pPr>
    </w:p>
    <w:tbl>
      <w:tblPr>
        <w:tblLayout w:type="fixed"/>
        <w:tblInd w:w="72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9"/>
                <w:szCs w:val="9"/>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AOCI Beginning Balance</w:t>
            </w:r>
          </w:p>
        </w:tc>
        <w:tc>
          <w:tcPr>
            <w:tcW w:w="180" w:type="dxa"/>
            <w:vAlign w:val="bottom"/>
          </w:tcPr>
          <w:p>
            <w:pPr>
              <w:spacing w:after="0"/>
              <w:rPr>
                <w:sz w:val="9"/>
                <w:szCs w:val="9"/>
                <w:color w:val="auto"/>
              </w:rPr>
            </w:pPr>
          </w:p>
        </w:tc>
        <w:tc>
          <w:tcPr>
            <w:tcW w:w="136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recorded</w:t>
            </w:r>
          </w:p>
        </w:tc>
        <w:tc>
          <w:tcPr>
            <w:tcW w:w="80" w:type="dxa"/>
            <w:vAlign w:val="bottom"/>
          </w:tcPr>
          <w:p>
            <w:pPr>
              <w:spacing w:after="0"/>
              <w:rPr>
                <w:sz w:val="9"/>
                <w:szCs w:val="9"/>
                <w:color w:val="auto"/>
              </w:rPr>
            </w:pPr>
          </w:p>
        </w:tc>
        <w:tc>
          <w:tcPr>
            <w:tcW w:w="14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reclassified from</w:t>
            </w:r>
          </w:p>
        </w:tc>
        <w:tc>
          <w:tcPr>
            <w:tcW w:w="140" w:type="dxa"/>
            <w:vAlign w:val="bottom"/>
          </w:tcPr>
          <w:p>
            <w:pPr>
              <w:spacing w:after="0"/>
              <w:rPr>
                <w:sz w:val="9"/>
                <w:szCs w:val="9"/>
                <w:color w:val="auto"/>
              </w:rPr>
            </w:pPr>
          </w:p>
        </w:tc>
        <w:tc>
          <w:tcPr>
            <w:tcW w:w="134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AOCI Ending Balance</w:t>
            </w:r>
          </w:p>
        </w:tc>
        <w:tc>
          <w:tcPr>
            <w:tcW w:w="0" w:type="dxa"/>
            <w:vAlign w:val="bottom"/>
          </w:tcPr>
          <w:p>
            <w:pPr>
              <w:spacing w:after="0"/>
              <w:rPr>
                <w:sz w:val="1"/>
                <w:szCs w:val="1"/>
                <w:color w:val="auto"/>
              </w:rPr>
            </w:pPr>
          </w:p>
        </w:tc>
      </w:tr>
      <w:tr>
        <w:trPr>
          <w:trHeight w:val="153"/>
        </w:trPr>
        <w:tc>
          <w:tcPr>
            <w:tcW w:w="3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AOCI</w:t>
            </w:r>
          </w:p>
        </w:tc>
        <w:tc>
          <w:tcPr>
            <w:tcW w:w="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AOCI to income</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change in unrealized cash flow hedges gains (losses)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23,416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(31,857)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4,943</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1"/>
                <w:szCs w:val="11"/>
                <w:color w:val="auto"/>
              </w:rPr>
              <w:t>Foreign exchange translation adjustment</w:t>
            </w:r>
          </w:p>
        </w:tc>
        <w:tc>
          <w:tcPr>
            <w:tcW w:w="100" w:type="dxa"/>
            <w:vAlign w:val="bottom"/>
          </w:tcPr>
          <w:p>
            <w:pPr>
              <w:spacing w:after="0"/>
              <w:rPr>
                <w:sz w:val="13"/>
                <w:szCs w:val="13"/>
                <w:color w:val="auto"/>
              </w:rPr>
            </w:pPr>
          </w:p>
        </w:tc>
        <w:tc>
          <w:tcPr>
            <w:tcW w:w="1340" w:type="dxa"/>
            <w:vAlign w:val="bottom"/>
          </w:tcPr>
          <w:p>
            <w:pPr>
              <w:ind w:left="1000"/>
              <w:spacing w:after="0"/>
              <w:rPr>
                <w:sz w:val="20"/>
                <w:szCs w:val="20"/>
                <w:color w:val="auto"/>
              </w:rPr>
            </w:pPr>
            <w:r>
              <w:rPr>
                <w:rFonts w:ascii="Times New Roman" w:cs="Times New Roman" w:eastAsia="Times New Roman" w:hAnsi="Times New Roman"/>
                <w:sz w:val="11"/>
                <w:szCs w:val="11"/>
                <w:color w:val="auto"/>
                <w:w w:val="99"/>
              </w:rPr>
              <w:t>(6,369)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(12,006)</w:t>
            </w:r>
          </w:p>
        </w:tc>
        <w:tc>
          <w:tcPr>
            <w:tcW w:w="0" w:type="dxa"/>
            <w:vAlign w:val="bottom"/>
          </w:tcPr>
          <w:p>
            <w:pPr>
              <w:spacing w:after="0"/>
              <w:rPr>
                <w:sz w:val="1"/>
                <w:szCs w:val="1"/>
                <w:color w:val="auto"/>
              </w:rPr>
            </w:pPr>
          </w:p>
        </w:tc>
      </w:tr>
      <w:tr>
        <w:trPr>
          <w:trHeight w:val="15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17,047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(31,857)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(7,063)</w:t>
            </w:r>
          </w:p>
        </w:tc>
        <w:tc>
          <w:tcPr>
            <w:tcW w:w="0" w:type="dxa"/>
            <w:vAlign w:val="bottom"/>
          </w:tcPr>
          <w:p>
            <w:pPr>
              <w:spacing w:after="0"/>
              <w:rPr>
                <w:sz w:val="1"/>
                <w:szCs w:val="1"/>
                <w:color w:val="auto"/>
              </w:rPr>
            </w:pPr>
          </w:p>
        </w:tc>
      </w:tr>
    </w:tbl>
    <w:p>
      <w:pPr>
        <w:ind w:left="720"/>
        <w:spacing w:after="0"/>
        <w:rPr>
          <w:sz w:val="20"/>
          <w:szCs w:val="20"/>
          <w:color w:val="auto"/>
        </w:rPr>
      </w:pPr>
      <w:r>
        <w:rPr>
          <w:rFonts w:ascii="Times New Roman" w:cs="Times New Roman" w:eastAsia="Times New Roman" w:hAnsi="Times New Roman"/>
          <w:sz w:val="10"/>
          <w:szCs w:val="10"/>
          <w:color w:val="auto"/>
        </w:rPr>
        <w:t>(1) Amounts reclassified from AOCI to income are included within Financing interest expense on long-term borrowings on the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-65405</wp:posOffset>
            </wp:positionV>
            <wp:extent cx="388048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79" w:lineRule="exact"/>
        <w:rPr>
          <w:sz w:val="20"/>
          <w:szCs w:val="20"/>
          <w:color w:val="auto"/>
        </w:rPr>
      </w:pPr>
    </w:p>
    <w:tbl>
      <w:tblPr>
        <w:tblLayout w:type="fixed"/>
        <w:tblInd w:w="72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9"/>
                <w:szCs w:val="9"/>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AOCI Beginning Balance</w:t>
            </w:r>
          </w:p>
        </w:tc>
        <w:tc>
          <w:tcPr>
            <w:tcW w:w="180" w:type="dxa"/>
            <w:vAlign w:val="bottom"/>
          </w:tcPr>
          <w:p>
            <w:pPr>
              <w:spacing w:after="0"/>
              <w:rPr>
                <w:sz w:val="9"/>
                <w:szCs w:val="9"/>
                <w:color w:val="auto"/>
              </w:rPr>
            </w:pPr>
          </w:p>
        </w:tc>
        <w:tc>
          <w:tcPr>
            <w:tcW w:w="136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recorded</w:t>
            </w:r>
          </w:p>
        </w:tc>
        <w:tc>
          <w:tcPr>
            <w:tcW w:w="80" w:type="dxa"/>
            <w:vAlign w:val="bottom"/>
          </w:tcPr>
          <w:p>
            <w:pPr>
              <w:spacing w:after="0"/>
              <w:rPr>
                <w:sz w:val="9"/>
                <w:szCs w:val="9"/>
                <w:color w:val="auto"/>
              </w:rPr>
            </w:pPr>
          </w:p>
        </w:tc>
        <w:tc>
          <w:tcPr>
            <w:tcW w:w="14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reclassified from</w:t>
            </w:r>
          </w:p>
        </w:tc>
        <w:tc>
          <w:tcPr>
            <w:tcW w:w="14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AOCI Ending Balance</w:t>
            </w:r>
          </w:p>
        </w:tc>
        <w:tc>
          <w:tcPr>
            <w:tcW w:w="0" w:type="dxa"/>
            <w:vAlign w:val="bottom"/>
          </w:tcPr>
          <w:p>
            <w:pPr>
              <w:spacing w:after="0"/>
              <w:rPr>
                <w:sz w:val="1"/>
                <w:szCs w:val="1"/>
                <w:color w:val="auto"/>
              </w:rPr>
            </w:pPr>
          </w:p>
        </w:tc>
      </w:tr>
      <w:tr>
        <w:trPr>
          <w:trHeight w:val="153"/>
        </w:trPr>
        <w:tc>
          <w:tcPr>
            <w:tcW w:w="3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AOCI</w:t>
            </w:r>
          </w:p>
        </w:tc>
        <w:tc>
          <w:tcPr>
            <w:tcW w:w="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AOCI to income</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change in unrealized cash flow hedges gains (losses)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jc w:val="center"/>
              <w:ind w:left="883"/>
              <w:spacing w:after="0"/>
              <w:rPr>
                <w:sz w:val="20"/>
                <w:szCs w:val="20"/>
                <w:color w:val="auto"/>
              </w:rPr>
            </w:pPr>
            <w:r>
              <w:rPr>
                <w:rFonts w:ascii="Times New Roman" w:cs="Times New Roman" w:eastAsia="Times New Roman" w:hAnsi="Times New Roman"/>
                <w:sz w:val="11"/>
                <w:szCs w:val="11"/>
                <w:color w:val="auto"/>
              </w:rPr>
              <w:t>44,925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8,798</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(30,307)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23,416</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1"/>
                <w:szCs w:val="11"/>
                <w:color w:val="auto"/>
              </w:rPr>
              <w:t>Foreign exchange translation adjustment</w:t>
            </w:r>
          </w:p>
        </w:tc>
        <w:tc>
          <w:tcPr>
            <w:tcW w:w="100" w:type="dxa"/>
            <w:vAlign w:val="bottom"/>
          </w:tcPr>
          <w:p>
            <w:pPr>
              <w:spacing w:after="0"/>
              <w:rPr>
                <w:sz w:val="13"/>
                <w:szCs w:val="13"/>
                <w:color w:val="auto"/>
              </w:rPr>
            </w:pPr>
          </w:p>
        </w:tc>
        <w:tc>
          <w:tcPr>
            <w:tcW w:w="1340" w:type="dxa"/>
            <w:vAlign w:val="bottom"/>
          </w:tcPr>
          <w:p>
            <w:pPr>
              <w:jc w:val="center"/>
              <w:ind w:left="863"/>
              <w:spacing w:after="0"/>
              <w:rPr>
                <w:sz w:val="20"/>
                <w:szCs w:val="20"/>
                <w:color w:val="auto"/>
              </w:rPr>
            </w:pPr>
            <w:r>
              <w:rPr>
                <w:rFonts w:ascii="Times New Roman" w:cs="Times New Roman" w:eastAsia="Times New Roman" w:hAnsi="Times New Roman"/>
                <w:sz w:val="11"/>
                <w:szCs w:val="11"/>
                <w:color w:val="auto"/>
              </w:rPr>
              <w:t>(13,321)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(6,369)</w:t>
            </w:r>
          </w:p>
        </w:tc>
        <w:tc>
          <w:tcPr>
            <w:tcW w:w="0" w:type="dxa"/>
            <w:vAlign w:val="bottom"/>
          </w:tcPr>
          <w:p>
            <w:pPr>
              <w:spacing w:after="0"/>
              <w:rPr>
                <w:sz w:val="1"/>
                <w:szCs w:val="1"/>
                <w:color w:val="auto"/>
              </w:rPr>
            </w:pPr>
          </w:p>
        </w:tc>
      </w:tr>
      <w:tr>
        <w:trPr>
          <w:trHeight w:val="15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jc w:val="center"/>
              <w:ind w:left="883"/>
              <w:spacing w:after="0"/>
              <w:rPr>
                <w:sz w:val="20"/>
                <w:szCs w:val="20"/>
                <w:color w:val="auto"/>
              </w:rPr>
            </w:pPr>
            <w:r>
              <w:rPr>
                <w:rFonts w:ascii="Times New Roman" w:cs="Times New Roman" w:eastAsia="Times New Roman" w:hAnsi="Times New Roman"/>
                <w:sz w:val="11"/>
                <w:szCs w:val="11"/>
                <w:color w:val="auto"/>
              </w:rPr>
              <w:t>31,604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15,750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(30,307)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17,047</w:t>
            </w:r>
          </w:p>
        </w:tc>
        <w:tc>
          <w:tcPr>
            <w:tcW w:w="0" w:type="dxa"/>
            <w:vAlign w:val="bottom"/>
          </w:tcPr>
          <w:p>
            <w:pPr>
              <w:spacing w:after="0"/>
              <w:rPr>
                <w:sz w:val="1"/>
                <w:szCs w:val="1"/>
                <w:color w:val="auto"/>
              </w:rPr>
            </w:pPr>
          </w:p>
        </w:tc>
      </w:tr>
    </w:tbl>
    <w:p>
      <w:pPr>
        <w:ind w:left="880" w:hanging="150"/>
        <w:spacing w:after="0"/>
        <w:tabs>
          <w:tab w:leader="none" w:pos="880" w:val="left"/>
        </w:tabs>
        <w:numPr>
          <w:ilvl w:val="1"/>
          <w:numId w:val="4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reclassified from AOCI to income are included within Financing interest expense on long-term borrowings on the Consolidated Statements of Comprehensive Income.</w:t>
      </w:r>
    </w:p>
    <w:p>
      <w:pPr>
        <w:spacing w:after="0" w:line="356" w:lineRule="exact"/>
        <w:rPr>
          <w:rFonts w:ascii="Times New Roman" w:cs="Times New Roman" w:eastAsia="Times New Roman" w:hAnsi="Times New Roman"/>
          <w:sz w:val="10"/>
          <w:szCs w:val="10"/>
          <w:color w:val="auto"/>
        </w:rPr>
      </w:pPr>
    </w:p>
    <w:p>
      <w:pPr>
        <w:ind w:left="220" w:hanging="215"/>
        <w:spacing w:after="0"/>
        <w:tabs>
          <w:tab w:leader="none" w:pos="22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-394335</wp:posOffset>
            </wp:positionV>
            <wp:extent cx="388048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182"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Pursuant to the Second Amended and Restated 2015 Management Incentive Plan as described in Note 19 “Capital Structure”, and in connection with the IPO, non-qualified stock options to purchase shares of Class A Common Stock were granted, each of which vests in equal annual installments over a period of 4 years from grant date and expires not later than 10 years from the date of grant.</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activity related to stock options for the years ended December 31, 2025, 2024, and 2023:</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Options Outstanding</w:t>
            </w:r>
          </w:p>
        </w:tc>
        <w:tc>
          <w:tcPr>
            <w:tcW w:w="1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Options Exercisable</w:t>
            </w:r>
          </w:p>
        </w:tc>
        <w:tc>
          <w:tcPr>
            <w:tcW w:w="0" w:type="dxa"/>
            <w:vAlign w:val="bottom"/>
          </w:tcPr>
          <w:p>
            <w:pPr>
              <w:spacing w:after="0"/>
              <w:rPr>
                <w:sz w:val="1"/>
                <w:szCs w:val="1"/>
                <w:color w:val="auto"/>
              </w:rPr>
            </w:pPr>
          </w:p>
        </w:tc>
      </w:tr>
      <w:tr>
        <w:trPr>
          <w:trHeight w:val="106"/>
        </w:trPr>
        <w:tc>
          <w:tcPr>
            <w:tcW w:w="4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Weighted Average Exercise</w:t>
            </w:r>
          </w:p>
        </w:tc>
        <w:tc>
          <w:tcPr>
            <w:tcW w:w="1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Weighted Average Remaining</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jc w:val="center"/>
              <w:ind w:right="23"/>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 Exercise</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1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10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ind w:right="43"/>
              <w:spacing w:after="0" w:line="117" w:lineRule="exact"/>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54"/>
        </w:trPr>
        <w:tc>
          <w:tcPr>
            <w:tcW w:w="40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1720" w:type="dxa"/>
            <w:vAlign w:val="bottom"/>
            <w:tcBorders>
              <w:bottom w:val="single" w:sz="8" w:color="CCEEFF"/>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Contractual Life</w:t>
            </w:r>
          </w:p>
        </w:tc>
        <w:tc>
          <w:tcPr>
            <w:tcW w:w="11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At December 31, 2022</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1,521,776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1620" w:type="dxa"/>
            <w:vAlign w:val="bottom"/>
            <w:shd w:val="clear" w:color="auto" w:fill="CCEEFF"/>
          </w:tcPr>
          <w:p>
            <w:pPr>
              <w:jc w:val="center"/>
              <w:ind w:left="1323"/>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1,521,776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53"/>
        </w:trPr>
        <w:tc>
          <w:tcPr>
            <w:tcW w:w="4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Granted</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Exercised</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gridSpan w:val="2"/>
            <w:shd w:val="clear" w:color="auto" w:fill="CCEEFF"/>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Forfeited or expired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Borders>
              <w:bottom w:val="single" w:sz="8" w:color="CCEEFF"/>
            </w:tcBorders>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At December 31, 2023</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1,511,776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1620" w:type="dxa"/>
            <w:vAlign w:val="bottom"/>
            <w:shd w:val="clear" w:color="auto" w:fill="CCEEFF"/>
          </w:tcPr>
          <w:p>
            <w:pPr>
              <w:jc w:val="center"/>
              <w:ind w:left="1323"/>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1,511,776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53"/>
        </w:trPr>
        <w:tc>
          <w:tcPr>
            <w:tcW w:w="4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Granted</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(695,276)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1720" w:type="dxa"/>
            <w:vAlign w:val="bottom"/>
            <w:gridSpan w:val="2"/>
            <w:shd w:val="clear" w:color="auto" w:fill="CCEEFF"/>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(695,276)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Forfeited or expired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Borders>
              <w:bottom w:val="single" w:sz="8" w:color="CCEEFF"/>
            </w:tcBorders>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At December 31, 2024</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813,750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1620" w:type="dxa"/>
            <w:vAlign w:val="bottom"/>
            <w:shd w:val="clear" w:color="auto" w:fill="CCEEFF"/>
          </w:tcPr>
          <w:p>
            <w:pPr>
              <w:jc w:val="center"/>
              <w:ind w:left="1323"/>
              <w:spacing w:after="0"/>
              <w:rPr>
                <w:sz w:val="20"/>
                <w:szCs w:val="20"/>
                <w:color w:val="auto"/>
              </w:rPr>
            </w:pPr>
            <w:r>
              <w:rPr>
                <w:rFonts w:ascii="Times New Roman" w:cs="Times New Roman" w:eastAsia="Times New Roman" w:hAnsi="Times New Roman"/>
                <w:sz w:val="11"/>
                <w:szCs w:val="11"/>
                <w:color w:val="auto"/>
              </w:rPr>
              <w:t>0.24</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813,750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53"/>
        </w:trPr>
        <w:tc>
          <w:tcPr>
            <w:tcW w:w="4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Granted</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(813,750)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1720" w:type="dxa"/>
            <w:vAlign w:val="bottom"/>
            <w:gridSpan w:val="2"/>
            <w:shd w:val="clear" w:color="auto" w:fill="CCEEFF"/>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(813,750)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Forfeited or expired</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Borders>
              <w:bottom w:val="single" w:sz="8" w:color="CCEEFF"/>
            </w:tcBorders>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At December 31, 2025</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Borders>
              <w:bottom w:val="single" w:sz="8" w:color="CCEEFF"/>
            </w:tcBorders>
            <w:shd w:val="clear" w:color="auto" w:fill="CCEEFF"/>
          </w:tcPr>
          <w:p>
            <w:pPr>
              <w:jc w:val="center"/>
              <w:ind w:left="1323"/>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31" w:name="page132"/>
    <w:bookmarkEnd w:id="131"/>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 Restricted Stock Units and Restricted Stock Awards</w:t>
      </w:r>
    </w:p>
    <w:p>
      <w:pPr>
        <w:spacing w:after="0" w:line="20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Pursuant to the Second Amended and Restated 2015 Management Incentive Plan as described in Note 19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years ended December 31, 2025, 2024, and 2023, respectively, there were 528,221, 878,091, and 868,315 shares of immediately vested Class A Common Stock granted as part of year-end compensation. In addition, the Company accrued compensation expense of $44.9 million, $29.1 million, and $22.2 million for the years ended December 31, 2025, 2024, and 2023, respectively, related to immediately vested Class A Common Stock expected to be awarded as part of year-end incentive compensation, which was included in Employee compensation and payroll taxes on the Consolidated Statements of Comprehensive Income and Accounts payable, accrued expenses and other liabilities on the Consolidated Statements of Financial Condition.</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activity related to RSUs and RSAs for the years ended December 31, 2025, 2024, and 2023:</w:t>
      </w:r>
    </w:p>
    <w:p>
      <w:pPr>
        <w:spacing w:after="0" w:line="111" w:lineRule="exact"/>
        <w:rPr>
          <w:sz w:val="20"/>
          <w:szCs w:val="20"/>
          <w:color w:val="auto"/>
        </w:rPr>
      </w:pPr>
    </w:p>
    <w:tbl>
      <w:tblPr>
        <w:tblLayout w:type="fixed"/>
        <w:tblInd w:w="600" w:type="dxa"/>
        <w:tblCellMar>
          <w:top w:w="0" w:type="dxa"/>
          <w:left w:w="0" w:type="dxa"/>
          <w:bottom w:w="0" w:type="dxa"/>
          <w:right w:w="0" w:type="dxa"/>
        </w:tblCellMar>
      </w:tblPr>
      <w:tr>
        <w:trPr>
          <w:trHeight w:val="126"/>
        </w:trPr>
        <w:tc>
          <w:tcPr>
            <w:tcW w:w="742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RSUs and RSAs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53"/>
        </w:trPr>
        <w:tc>
          <w:tcPr>
            <w:tcW w:w="74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99"/>
              </w:rPr>
              <w:t>Average Fair Value</w:t>
            </w:r>
          </w:p>
        </w:tc>
        <w:tc>
          <w:tcPr>
            <w:tcW w:w="0" w:type="dxa"/>
            <w:vAlign w:val="bottom"/>
          </w:tcPr>
          <w:p>
            <w:pPr>
              <w:spacing w:after="0"/>
              <w:rPr>
                <w:sz w:val="1"/>
                <w:szCs w:val="1"/>
                <w:color w:val="auto"/>
              </w:rPr>
            </w:pPr>
          </w:p>
        </w:tc>
      </w:tr>
      <w:tr>
        <w:trPr>
          <w:trHeight w:val="15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December 31, 2022</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3,954,833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28.13</w:t>
            </w:r>
          </w:p>
        </w:tc>
        <w:tc>
          <w:tcPr>
            <w:tcW w:w="0" w:type="dxa"/>
            <w:vAlign w:val="bottom"/>
          </w:tcPr>
          <w:p>
            <w:pPr>
              <w:spacing w:after="0"/>
              <w:rPr>
                <w:sz w:val="1"/>
                <w:szCs w:val="1"/>
                <w:color w:val="auto"/>
              </w:rPr>
            </w:pPr>
          </w:p>
        </w:tc>
      </w:tr>
      <w:tr>
        <w:trPr>
          <w:trHeight w:val="153"/>
        </w:trPr>
        <w:tc>
          <w:tcPr>
            <w:tcW w:w="7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Granted</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3,763,217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19.28</w:t>
            </w:r>
          </w:p>
        </w:tc>
        <w:tc>
          <w:tcPr>
            <w:tcW w:w="0" w:type="dxa"/>
            <w:vAlign w:val="bottom"/>
          </w:tcPr>
          <w:p>
            <w:pPr>
              <w:spacing w:after="0"/>
              <w:rPr>
                <w:sz w:val="1"/>
                <w:szCs w:val="1"/>
                <w:color w:val="auto"/>
              </w:rPr>
            </w:pPr>
          </w:p>
        </w:tc>
      </w:tr>
      <w:tr>
        <w:trPr>
          <w:trHeight w:val="165"/>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(187,053)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26.45</w:t>
            </w:r>
          </w:p>
        </w:tc>
        <w:tc>
          <w:tcPr>
            <w:tcW w:w="0" w:type="dxa"/>
            <w:vAlign w:val="bottom"/>
          </w:tcPr>
          <w:p>
            <w:pPr>
              <w:spacing w:after="0"/>
              <w:rPr>
                <w:sz w:val="1"/>
                <w:szCs w:val="1"/>
                <w:color w:val="auto"/>
              </w:rPr>
            </w:pPr>
          </w:p>
        </w:tc>
      </w:tr>
      <w:tr>
        <w:trPr>
          <w:trHeight w:val="153"/>
        </w:trPr>
        <w:tc>
          <w:tcPr>
            <w:tcW w:w="7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(2,627,823)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23.46</w:t>
            </w:r>
          </w:p>
        </w:tc>
        <w:tc>
          <w:tcPr>
            <w:tcW w:w="0" w:type="dxa"/>
            <w:vAlign w:val="bottom"/>
          </w:tcPr>
          <w:p>
            <w:pPr>
              <w:spacing w:after="0"/>
              <w:rPr>
                <w:sz w:val="1"/>
                <w:szCs w:val="1"/>
                <w:color w:val="auto"/>
              </w:rPr>
            </w:pPr>
          </w:p>
        </w:tc>
      </w:tr>
      <w:tr>
        <w:trPr>
          <w:trHeight w:val="15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December 31, 2023</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4,903,174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23.90</w:t>
            </w:r>
          </w:p>
        </w:tc>
        <w:tc>
          <w:tcPr>
            <w:tcW w:w="0" w:type="dxa"/>
            <w:vAlign w:val="bottom"/>
          </w:tcPr>
          <w:p>
            <w:pPr>
              <w:spacing w:after="0"/>
              <w:rPr>
                <w:sz w:val="1"/>
                <w:szCs w:val="1"/>
                <w:color w:val="auto"/>
              </w:rPr>
            </w:pPr>
          </w:p>
        </w:tc>
      </w:tr>
      <w:tr>
        <w:trPr>
          <w:trHeight w:val="153"/>
        </w:trPr>
        <w:tc>
          <w:tcPr>
            <w:tcW w:w="7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Granted</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3,679,417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18.74</w:t>
            </w:r>
          </w:p>
        </w:tc>
        <w:tc>
          <w:tcPr>
            <w:tcW w:w="0" w:type="dxa"/>
            <w:vAlign w:val="bottom"/>
          </w:tcPr>
          <w:p>
            <w:pPr>
              <w:spacing w:after="0"/>
              <w:rPr>
                <w:sz w:val="1"/>
                <w:szCs w:val="1"/>
                <w:color w:val="auto"/>
              </w:rPr>
            </w:pPr>
          </w:p>
        </w:tc>
      </w:tr>
      <w:tr>
        <w:trPr>
          <w:trHeight w:val="165"/>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(133,909)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21.67</w:t>
            </w:r>
          </w:p>
        </w:tc>
        <w:tc>
          <w:tcPr>
            <w:tcW w:w="0" w:type="dxa"/>
            <w:vAlign w:val="bottom"/>
          </w:tcPr>
          <w:p>
            <w:pPr>
              <w:spacing w:after="0"/>
              <w:rPr>
                <w:sz w:val="1"/>
                <w:szCs w:val="1"/>
                <w:color w:val="auto"/>
              </w:rPr>
            </w:pPr>
          </w:p>
        </w:tc>
      </w:tr>
      <w:tr>
        <w:trPr>
          <w:trHeight w:val="153"/>
        </w:trPr>
        <w:tc>
          <w:tcPr>
            <w:tcW w:w="7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(2,884,150)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21.54</w:t>
            </w:r>
          </w:p>
        </w:tc>
        <w:tc>
          <w:tcPr>
            <w:tcW w:w="0" w:type="dxa"/>
            <w:vAlign w:val="bottom"/>
          </w:tcPr>
          <w:p>
            <w:pPr>
              <w:spacing w:after="0"/>
              <w:rPr>
                <w:sz w:val="1"/>
                <w:szCs w:val="1"/>
                <w:color w:val="auto"/>
              </w:rPr>
            </w:pPr>
          </w:p>
        </w:tc>
      </w:tr>
      <w:tr>
        <w:trPr>
          <w:trHeight w:val="15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December 31, 2024</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5,564,532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21.77</w:t>
            </w:r>
          </w:p>
        </w:tc>
        <w:tc>
          <w:tcPr>
            <w:tcW w:w="0" w:type="dxa"/>
            <w:vAlign w:val="bottom"/>
          </w:tcPr>
          <w:p>
            <w:pPr>
              <w:spacing w:after="0"/>
              <w:rPr>
                <w:sz w:val="1"/>
                <w:szCs w:val="1"/>
                <w:color w:val="auto"/>
              </w:rPr>
            </w:pPr>
          </w:p>
        </w:tc>
      </w:tr>
      <w:tr>
        <w:trPr>
          <w:trHeight w:val="153"/>
        </w:trPr>
        <w:tc>
          <w:tcPr>
            <w:tcW w:w="7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Granted (1)</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3,693,225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39.27</w:t>
            </w:r>
          </w:p>
        </w:tc>
        <w:tc>
          <w:tcPr>
            <w:tcW w:w="0" w:type="dxa"/>
            <w:vAlign w:val="bottom"/>
          </w:tcPr>
          <w:p>
            <w:pPr>
              <w:spacing w:after="0"/>
              <w:rPr>
                <w:sz w:val="1"/>
                <w:szCs w:val="1"/>
                <w:color w:val="auto"/>
              </w:rPr>
            </w:pPr>
          </w:p>
        </w:tc>
      </w:tr>
      <w:tr>
        <w:trPr>
          <w:trHeight w:val="165"/>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(175,308)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25.52</w:t>
            </w:r>
          </w:p>
        </w:tc>
        <w:tc>
          <w:tcPr>
            <w:tcW w:w="0" w:type="dxa"/>
            <w:vAlign w:val="bottom"/>
          </w:tcPr>
          <w:p>
            <w:pPr>
              <w:spacing w:after="0"/>
              <w:rPr>
                <w:sz w:val="1"/>
                <w:szCs w:val="1"/>
                <w:color w:val="auto"/>
              </w:rPr>
            </w:pPr>
          </w:p>
        </w:tc>
      </w:tr>
      <w:tr>
        <w:trPr>
          <w:trHeight w:val="153"/>
        </w:trPr>
        <w:tc>
          <w:tcPr>
            <w:tcW w:w="7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(3,306,413)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25.37</w:t>
            </w:r>
          </w:p>
        </w:tc>
        <w:tc>
          <w:tcPr>
            <w:tcW w:w="0" w:type="dxa"/>
            <w:vAlign w:val="bottom"/>
          </w:tcPr>
          <w:p>
            <w:pPr>
              <w:spacing w:after="0"/>
              <w:rPr>
                <w:sz w:val="1"/>
                <w:szCs w:val="1"/>
                <w:color w:val="auto"/>
              </w:rPr>
            </w:pPr>
          </w:p>
        </w:tc>
      </w:tr>
      <w:tr>
        <w:trPr>
          <w:trHeight w:val="157"/>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December 31, 2025</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5,776,036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30.79</w:t>
            </w:r>
          </w:p>
        </w:tc>
        <w:tc>
          <w:tcPr>
            <w:tcW w:w="0" w:type="dxa"/>
            <w:vAlign w:val="bottom"/>
          </w:tcPr>
          <w:p>
            <w:pPr>
              <w:spacing w:after="0"/>
              <w:rPr>
                <w:sz w:val="1"/>
                <w:szCs w:val="1"/>
                <w:color w:val="auto"/>
              </w:rPr>
            </w:pPr>
          </w:p>
        </w:tc>
      </w:tr>
    </w:tbl>
    <w:p>
      <w:pPr>
        <w:ind w:left="620"/>
        <w:spacing w:after="0"/>
        <w:rPr>
          <w:sz w:val="20"/>
          <w:szCs w:val="20"/>
          <w:color w:val="auto"/>
        </w:rPr>
      </w:pPr>
      <w:r>
        <w:rPr>
          <w:rFonts w:ascii="Times New Roman" w:cs="Times New Roman" w:eastAsia="Times New Roman" w:hAnsi="Times New Roman"/>
          <w:sz w:val="10"/>
          <w:szCs w:val="10"/>
          <w:color w:val="auto"/>
        </w:rPr>
        <w:t>(1) Excluded in the number of RSUs and RSAs are 100,000 participating RSAs for the year ended December 31, 2025,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5096510</wp:posOffset>
            </wp:positionH>
            <wp:positionV relativeFrom="paragraph">
              <wp:posOffset>-65405</wp:posOffset>
            </wp:positionV>
            <wp:extent cx="88265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2650" cy="6985"/>
                    </a:xfrm>
                    <a:prstGeom prst="rect">
                      <a:avLst/>
                    </a:prstGeom>
                    <a:noFill/>
                  </pic:spPr>
                </pic:pic>
              </a:graphicData>
            </a:graphic>
          </wp:anchor>
        </w:drawing>
      </w:r>
    </w:p>
    <w:p>
      <w:pPr>
        <w:spacing w:after="0" w:line="26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 recognized $56.5 million, $46.4 million, and $42.5 million for the years ended December 31, 2025, 2024, and 2023, respectively, of compensation expense in relation to RSUs. As of December 31, 2025 and December 31, 2024, total unrecognized share-based compensation expense related to unvested RSUs was $95.9 million and $53.5 million, respectively, and this amount is to be recognized over a weighted average period of 1.0 year and 0.9 years, respectively. Awards in which the specific performance conditions have not been met are not included in unrecognized share-based compensation expense.</w:t>
      </w:r>
    </w:p>
    <w:p>
      <w:pPr>
        <w:spacing w:after="0" w:line="16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Property, Equipment and Capitalized Software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equipment and capitalized software consisted of the following at December 31, 2025 and December 31, 2024:</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29" w:right="399" w:bottom="1440" w:gutter="0" w:footer="0" w:header="0"/>
        </w:sectPr>
      </w:pPr>
    </w:p>
    <w:bookmarkStart w:id="132" w:name="page133"/>
    <w:bookmarkEnd w:id="132"/>
    <w:tbl>
      <w:tblPr>
        <w:tblLayout w:type="fixed"/>
        <w:tblInd w:w="1160" w:type="dxa"/>
        <w:tblCellMar>
          <w:top w:w="0" w:type="dxa"/>
          <w:left w:w="0" w:type="dxa"/>
          <w:bottom w:w="0" w:type="dxa"/>
          <w:right w:w="0" w:type="dxa"/>
        </w:tblCellMar>
      </w:tblPr>
      <w:tr>
        <w:trPr>
          <w:trHeight w:val="15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Capitalized software costs</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180,937</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131,876</w:t>
            </w:r>
          </w:p>
        </w:tc>
      </w:tr>
      <w:tr>
        <w:trPr>
          <w:trHeight w:val="15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Leasehold improvements</w:t>
            </w: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22,364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21,143</w:t>
            </w:r>
          </w:p>
        </w:tc>
      </w:tr>
      <w:tr>
        <w:trPr>
          <w:trHeight w:val="165"/>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Furniture and equipment</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330,079</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318,598</w:t>
            </w:r>
          </w:p>
        </w:tc>
      </w:tr>
      <w:tr>
        <w:trPr>
          <w:trHeight w:val="14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533,380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471,617</w:t>
            </w:r>
          </w:p>
        </w:tc>
      </w:tr>
      <w:tr>
        <w:trPr>
          <w:trHeight w:val="15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Accumulated depreciation and amortization</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(437,002)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(380,202)</w:t>
            </w:r>
          </w:p>
        </w:tc>
      </w:tr>
      <w:tr>
        <w:trPr>
          <w:trHeight w:val="156"/>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property, equipment and capitalized software,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96,378</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91,415</w:t>
            </w: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Depreciation expense for property and equipment for the years ended December 31, 2025, 2024, and 2023 was approximately $19.7 million, $24.5 million, and $25.6 million, respectively, and is included within depreciation and amortization expense in the Consolidated Statements of Comprehensive Income.</w:t>
      </w:r>
    </w:p>
    <w:p>
      <w:pPr>
        <w:spacing w:after="0" w:line="145" w:lineRule="exact"/>
        <w:rPr>
          <w:sz w:val="20"/>
          <w:szCs w:val="20"/>
          <w:color w:val="auto"/>
        </w:rPr>
      </w:pPr>
    </w:p>
    <w:p>
      <w:pPr>
        <w:jc w:val="both"/>
        <w:ind w:right="480" w:firstLine="509"/>
        <w:spacing w:after="0" w:line="270" w:lineRule="auto"/>
        <w:rPr>
          <w:sz w:val="20"/>
          <w:szCs w:val="20"/>
          <w:color w:val="auto"/>
        </w:rPr>
      </w:pPr>
      <w:r>
        <w:rPr>
          <w:rFonts w:ascii="Times New Roman" w:cs="Times New Roman" w:eastAsia="Times New Roman" w:hAnsi="Times New Roman"/>
          <w:sz w:val="14"/>
          <w:szCs w:val="14"/>
          <w:color w:val="auto"/>
        </w:rPr>
        <w:t>The Company’s capitalized software development costs were approximately $46.5 million, $44.7 million, and $40.4 million for the years ended December 31, 2025, 2024, and 2023, respectively. The related amortization expense was approximately $44.7 million, $41.3 million, and $37.7 million for the years ended December 31, 2025, 2024, and 2023, respectively, and is included within Depreciation and amortization in the Consolidated Statements of Comprehensive Income.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Regulatory Requirement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Subsidiary</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Company’s U.S. broker-dealer subsidiary, Virtu Americas LLC (“VAL”), is subject to the SEC Uniform Net Capital Rule 15c3-1, which requires the maintenance of minimum net capital as detailed in the table below. Pursuant to New York Stock Exchange (“NYSE”) rules, VAL was also required to maintain $1.2 million of capital in connection with the operation of its designated market maker (“DMM”) business as of December 31, 2025. The required amount is determined under the exchange rules as the greater of (i) $1.0 million or (ii) $75,000 for every 0.1% of NYSE transaction dollar volume in each of the securities for which the Company is registered as the DMM.</w:t>
      </w:r>
    </w:p>
    <w:p>
      <w:pPr>
        <w:spacing w:after="0" w:line="162" w:lineRule="exact"/>
        <w:rPr>
          <w:sz w:val="20"/>
          <w:szCs w:val="20"/>
          <w:color w:val="auto"/>
        </w:rPr>
      </w:pPr>
    </w:p>
    <w:p>
      <w:pPr>
        <w:jc w:val="both"/>
        <w:ind w:right="180" w:firstLine="509"/>
        <w:spacing w:after="0" w:line="270" w:lineRule="auto"/>
        <w:rPr>
          <w:sz w:val="20"/>
          <w:szCs w:val="20"/>
          <w:color w:val="auto"/>
        </w:rPr>
      </w:pPr>
      <w:r>
        <w:rPr>
          <w:rFonts w:ascii="Times New Roman" w:cs="Times New Roman" w:eastAsia="Times New Roman" w:hAnsi="Times New Roman"/>
          <w:sz w:val="14"/>
          <w:szCs w:val="14"/>
          <w:color w:val="auto"/>
        </w:rPr>
        <w:t>In June 2023, the Company’s U.S. broker-dealer subsidiary, RFQ-hub Americas LLC (“RAL”), became a U.S. broker-dealer and as such was subject to the SEC Uniform Net Capital Rule 15c3-1. As described in Note 3 “Sale of RFQ-hub”, the Company disposed of a 49% interest in RAL’s parent company RFQ-hub Holdings LLC (together with its subsidiaries, “RFQ-hub”) in May 2025 and we ceased to control, and deconsolidated, RFQ-hub at such time.</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regulatory capital and regulatory capital requirements of the Company’s U.S. subsidiary as of December 31, 2025 was as follows: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Regulatory Capital</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Regulatory Capital Requirement</w:t>
            </w:r>
          </w:p>
        </w:tc>
        <w:tc>
          <w:tcPr>
            <w:tcW w:w="120" w:type="dxa"/>
            <w:vAlign w:val="bottom"/>
          </w:tcPr>
          <w:p>
            <w:pPr>
              <w:spacing w:after="0"/>
              <w:rPr>
                <w:sz w:val="13"/>
                <w:szCs w:val="13"/>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Excess Regulatory Capital</w:t>
            </w:r>
          </w:p>
        </w:tc>
      </w:tr>
      <w:tr>
        <w:trPr>
          <w:trHeight w:val="159"/>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Virtu Americas LLC</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561,242</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560,242</w:t>
            </w:r>
          </w:p>
        </w:tc>
      </w:tr>
    </w:tbl>
    <w:p>
      <w:pPr>
        <w:spacing w:after="0" w:line="291" w:lineRule="exact"/>
        <w:rPr>
          <w:sz w:val="20"/>
          <w:szCs w:val="20"/>
          <w:color w:val="auto"/>
        </w:rPr>
      </w:pPr>
    </w:p>
    <w:p>
      <w:pPr>
        <w:jc w:val="both"/>
        <w:ind w:right="320" w:firstLine="509"/>
        <w:spacing w:after="0" w:line="271" w:lineRule="auto"/>
        <w:rPr>
          <w:sz w:val="20"/>
          <w:szCs w:val="20"/>
          <w:color w:val="auto"/>
        </w:rPr>
      </w:pPr>
      <w:r>
        <w:rPr>
          <w:rFonts w:ascii="Times New Roman" w:cs="Times New Roman" w:eastAsia="Times New Roman" w:hAnsi="Times New Roman"/>
          <w:sz w:val="14"/>
          <w:szCs w:val="14"/>
          <w:color w:val="auto"/>
        </w:rPr>
        <w:t xml:space="preserve">As of December 31, 2025, VAL had $55.5 million of cash in special reserve bank accounts for the benefit of customers pursuant to SEC Rule 15c3-3, </w:t>
      </w:r>
      <w:r>
        <w:rPr>
          <w:rFonts w:ascii="Times New Roman" w:cs="Times New Roman" w:eastAsia="Times New Roman" w:hAnsi="Times New Roman"/>
          <w:sz w:val="14"/>
          <w:szCs w:val="14"/>
          <w:i w:val="1"/>
          <w:iCs w:val="1"/>
          <w:color w:val="auto"/>
        </w:rPr>
        <w:t>Computation for Determination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Reserve Requirements, </w:t>
      </w:r>
      <w:r>
        <w:rPr>
          <w:rFonts w:ascii="Times New Roman" w:cs="Times New Roman" w:eastAsia="Times New Roman" w:hAnsi="Times New Roman"/>
          <w:sz w:val="14"/>
          <w:szCs w:val="14"/>
          <w:color w:val="auto"/>
        </w:rPr>
        <w:t>and $8.7 million of cash in reserve bank accounts for the benefit of proprietary accounts of brokers. The balances are included within Cash restricted or segregated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regulations and other on the Consolidated Statements of Financial Condition.</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regulatory capital and regulatory capital requirements of the Company’s U.S. subsidiaries as of December 31, 2024 was as follows: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Regulatory Capital</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Regulatory Capital Requirement</w:t>
            </w:r>
          </w:p>
        </w:tc>
        <w:tc>
          <w:tcPr>
            <w:tcW w:w="120" w:type="dxa"/>
            <w:vAlign w:val="bottom"/>
          </w:tcPr>
          <w:p>
            <w:pPr>
              <w:spacing w:after="0"/>
              <w:rPr>
                <w:sz w:val="13"/>
                <w:szCs w:val="13"/>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Excess Regulatory Capital</w:t>
            </w:r>
          </w:p>
        </w:tc>
      </w:tr>
      <w:tr>
        <w:trPr>
          <w:trHeight w:val="159"/>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Virtu Americas LLC</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455,678</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454,146</w:t>
            </w:r>
          </w:p>
        </w:tc>
      </w:tr>
      <w:tr>
        <w:trPr>
          <w:trHeight w:val="147"/>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RFQ-hub Americas LLC</w:t>
            </w:r>
          </w:p>
        </w:tc>
        <w:tc>
          <w:tcPr>
            <w:tcW w:w="200" w:type="dxa"/>
            <w:vAlign w:val="bottom"/>
          </w:tcPr>
          <w:p>
            <w:pPr>
              <w:spacing w:after="0"/>
              <w:rPr>
                <w:sz w:val="12"/>
                <w:szCs w:val="12"/>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593</w:t>
            </w:r>
          </w:p>
        </w:tc>
      </w:tr>
    </w:tbl>
    <w:p>
      <w:pPr>
        <w:spacing w:after="0" w:line="272" w:lineRule="exact"/>
        <w:rPr>
          <w:sz w:val="20"/>
          <w:szCs w:val="20"/>
          <w:color w:val="auto"/>
        </w:rPr>
      </w:pPr>
    </w:p>
    <w:p>
      <w:pPr>
        <w:ind w:right="320" w:firstLine="509"/>
        <w:spacing w:after="0" w:line="290" w:lineRule="auto"/>
        <w:rPr>
          <w:sz w:val="20"/>
          <w:szCs w:val="20"/>
          <w:color w:val="auto"/>
        </w:rPr>
      </w:pPr>
      <w:r>
        <w:rPr>
          <w:rFonts w:ascii="Times New Roman" w:cs="Times New Roman" w:eastAsia="Times New Roman" w:hAnsi="Times New Roman"/>
          <w:sz w:val="14"/>
          <w:szCs w:val="14"/>
          <w:color w:val="auto"/>
        </w:rPr>
        <w:t xml:space="preserve">As of December 31, 2024, VAL had $34.9 million of cash in special reserve bank accounts for the benefit of customers pursuant to SEC Rule 15c3-3, </w:t>
      </w:r>
      <w:r>
        <w:rPr>
          <w:rFonts w:ascii="Times New Roman" w:cs="Times New Roman" w:eastAsia="Times New Roman" w:hAnsi="Times New Roman"/>
          <w:sz w:val="14"/>
          <w:szCs w:val="14"/>
          <w:i w:val="1"/>
          <w:iCs w:val="1"/>
          <w:color w:val="auto"/>
        </w:rPr>
        <w:t>Computation for Determination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Reserve Requirements, </w:t>
      </w:r>
      <w:r>
        <w:rPr>
          <w:rFonts w:ascii="Times New Roman" w:cs="Times New Roman" w:eastAsia="Times New Roman" w:hAnsi="Times New Roman"/>
          <w:sz w:val="14"/>
          <w:szCs w:val="14"/>
          <w:color w:val="auto"/>
        </w:rPr>
        <w:t>and $6.4 million of cash in reserve bank accounts for the benefit of proprietary accounts of brokers.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6"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i w:val="1"/>
          <w:iCs w:val="1"/>
          <w:color w:val="auto"/>
        </w:rPr>
        <w:t>Foreign Subsidiaries</w:t>
      </w:r>
    </w:p>
    <w:p>
      <w:pPr>
        <w:spacing w:after="0" w:line="1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regulatory net capital balances and regulatory capital requirements applicable to the Company’s foreign subsidiaries as of December 31, 2025 were as follows: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Regulatory Capital</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Regulatory Capital Requirement</w:t>
            </w:r>
          </w:p>
        </w:tc>
        <w:tc>
          <w:tcPr>
            <w:tcW w:w="120" w:type="dxa"/>
            <w:vAlign w:val="bottom"/>
          </w:tcPr>
          <w:p>
            <w:pPr>
              <w:spacing w:after="0"/>
              <w:rPr>
                <w:sz w:val="13"/>
                <w:szCs w:val="13"/>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Excess Regulatory Capital</w:t>
            </w:r>
          </w:p>
        </w:tc>
      </w:tr>
      <w:tr>
        <w:trPr>
          <w:trHeight w:val="159"/>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Canada</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Canada Corp</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15,133</w:t>
            </w:r>
          </w:p>
        </w:tc>
        <w:tc>
          <w:tcPr>
            <w:tcW w:w="100" w:type="dxa"/>
            <w:vAlign w:val="bottom"/>
          </w:tcPr>
          <w:p>
            <w:pPr>
              <w:spacing w:after="0"/>
              <w:rPr>
                <w:sz w:val="13"/>
                <w:szCs w:val="13"/>
                <w:color w:val="auto"/>
              </w:rPr>
            </w:pPr>
          </w:p>
        </w:tc>
        <w:tc>
          <w:tcPr>
            <w:tcW w:w="66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14,951</w:t>
            </w:r>
          </w:p>
        </w:tc>
      </w:tr>
      <w:tr>
        <w:trPr>
          <w:trHeight w:val="16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Ireland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Europe Trading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86,656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28,283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58,373</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Financial Ireland Limited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122,901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64,951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57,950</w:t>
            </w:r>
          </w:p>
        </w:tc>
      </w:tr>
      <w:tr>
        <w:trPr>
          <w:trHeight w:val="154"/>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United Kingdom</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4"/>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ITG UK Limited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1,207</w:t>
            </w:r>
          </w:p>
        </w:tc>
      </w:tr>
      <w:tr>
        <w:trPr>
          <w:trHeight w:val="154"/>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Asia Pacific</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4"/>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ITG Australia Limited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35,511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22,249</w:t>
            </w: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Hong Kong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8,200</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7,614</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ITG Singapore Pte Limited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1,062</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844</w:t>
            </w:r>
          </w:p>
        </w:tc>
      </w:tr>
      <w:tr>
        <w:trPr>
          <w:trHeight w:val="147"/>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Financial Singapore Pte. Ltd.</w:t>
            </w:r>
          </w:p>
        </w:tc>
        <w:tc>
          <w:tcPr>
            <w:tcW w:w="200" w:type="dxa"/>
            <w:vAlign w:val="bottom"/>
          </w:tcPr>
          <w:p>
            <w:pPr>
              <w:spacing w:after="0"/>
              <w:rPr>
                <w:sz w:val="12"/>
                <w:szCs w:val="12"/>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278,288</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198,100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80,188</w:t>
            </w:r>
          </w:p>
        </w:tc>
      </w:tr>
    </w:tbl>
    <w:p>
      <w:pPr>
        <w:spacing w:after="0" w:line="274" w:lineRule="exact"/>
        <w:rPr>
          <w:sz w:val="20"/>
          <w:szCs w:val="20"/>
          <w:color w:val="auto"/>
        </w:rPr>
      </w:pPr>
    </w:p>
    <w:p>
      <w:pPr>
        <w:jc w:val="both"/>
        <w:ind w:right="6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Virtu Europe Trading Limited had $0.3 million of segregated funds on deposit for trade clearing and settlement activity, and Virtu ITG Hong Kong Ltd. had $30 thousand of segregated balances under a collateral account control agreement for the benefit of certain customers.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regulatory net capital balances and regulatory capital requirements applicable to the Company’s foreign subsidiaries as of December 31, 2024 were as follows: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Regulatory Capital</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Regulatory Capital Requirement</w:t>
            </w:r>
          </w:p>
        </w:tc>
        <w:tc>
          <w:tcPr>
            <w:tcW w:w="120" w:type="dxa"/>
            <w:vAlign w:val="bottom"/>
          </w:tcPr>
          <w:p>
            <w:pPr>
              <w:spacing w:after="0"/>
              <w:rPr>
                <w:sz w:val="13"/>
                <w:szCs w:val="13"/>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Excess Regulatory Capital</w:t>
            </w:r>
          </w:p>
        </w:tc>
      </w:tr>
      <w:tr>
        <w:trPr>
          <w:trHeight w:val="159"/>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Canada</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Canada Corp</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12,327</w:t>
            </w:r>
          </w:p>
        </w:tc>
        <w:tc>
          <w:tcPr>
            <w:tcW w:w="100" w:type="dxa"/>
            <w:vAlign w:val="bottom"/>
          </w:tcPr>
          <w:p>
            <w:pPr>
              <w:spacing w:after="0"/>
              <w:rPr>
                <w:sz w:val="13"/>
                <w:szCs w:val="13"/>
                <w:color w:val="auto"/>
              </w:rPr>
            </w:pPr>
          </w:p>
        </w:tc>
        <w:tc>
          <w:tcPr>
            <w:tcW w:w="66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12,153</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Financial Canada ULC (1)</w:t>
            </w:r>
          </w:p>
        </w:tc>
        <w:tc>
          <w:tcPr>
            <w:tcW w:w="2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Ireland</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4"/>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Europe Trading Limited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57,834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26,359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31,475</w:t>
            </w: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Financial Ireland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76,457</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29,764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46,693</w:t>
            </w:r>
          </w:p>
        </w:tc>
      </w:tr>
      <w:tr>
        <w:trPr>
          <w:trHeight w:val="16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United Kingdom</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UK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2,043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1,104</w:t>
            </w:r>
          </w:p>
        </w:tc>
      </w:tr>
      <w:tr>
        <w:trPr>
          <w:trHeight w:val="16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Asia Pacific</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Australia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24,928</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15,378</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ITG Hong Kong Limited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5,392</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4,966</w:t>
            </w: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Singapore Pte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1,120</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954</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Financial Singapore Pte. Ltd.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219,817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136,891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82,926</w:t>
            </w:r>
          </w:p>
        </w:tc>
      </w:tr>
    </w:tbl>
    <w:p>
      <w:pPr>
        <w:ind w:left="300"/>
        <w:spacing w:after="0"/>
        <w:rPr>
          <w:sz w:val="20"/>
          <w:szCs w:val="20"/>
          <w:color w:val="auto"/>
        </w:rPr>
      </w:pPr>
      <w:r>
        <w:rPr>
          <w:rFonts w:ascii="Times New Roman" w:cs="Times New Roman" w:eastAsia="Times New Roman" w:hAnsi="Times New Roman"/>
          <w:sz w:val="10"/>
          <w:szCs w:val="10"/>
          <w:color w:val="auto"/>
        </w:rPr>
        <w:t>(1) Virtu Financial Canada ULC has resigned from membership with the Canadian Investment Regulatory Organization (“CIRO”) effective January 22, 2025, and its regulatory capital requirement as of December 31, 2024 was waived by CIRO.</w:t>
      </w:r>
    </w:p>
    <w:p>
      <w:pPr>
        <w:spacing w:after="0" w:line="284"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2024, Virtu Europe Trading Limited had $37 thousand of segregated funds on deposit for trade clearing and settlement activity, and Virtu ITG Hong Kong Ltd had $30 thousand of segregated balances under a collateral account control agreement for the benefit of certain customers.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23. Geographic Information and Business Segments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two operating segments: (i) Market Making and (ii) Execution Services; and one non-operating segment: Corporate.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27" w:right="439" w:bottom="1440" w:gutter="0" w:footer="0" w:header="0"/>
        </w:sectPr>
      </w:pPr>
    </w:p>
    <w:bookmarkStart w:id="134" w:name="page135"/>
    <w:bookmarkEnd w:id="134"/>
    <w:p>
      <w:pPr>
        <w:ind w:right="320" w:firstLine="509"/>
        <w:spacing w:after="0" w:line="261" w:lineRule="auto"/>
        <w:rPr>
          <w:sz w:val="20"/>
          <w:szCs w:val="20"/>
          <w:color w:val="auto"/>
        </w:rPr>
      </w:pPr>
      <w:r>
        <w:rPr>
          <w:rFonts w:ascii="Times New Roman" w:cs="Times New Roman" w:eastAsia="Times New Roman" w:hAnsi="Times New Roman"/>
          <w:sz w:val="14"/>
          <w:szCs w:val="14"/>
          <w:color w:val="auto"/>
        </w:rPr>
        <w:t>The Market Making segment principally consists of market making in the cash, futures, and options markets across global equities, fixed income, currencies, cryptocurrencies,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6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The Execution Services segment comprises client-based trading and trading venues, offering execution services in global equities, options, futures and fixed income on behalf of institutions, banks and broker-dealers. The Company earns commissions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w:t>
      </w:r>
    </w:p>
    <w:p>
      <w:pPr>
        <w:spacing w:after="0" w:line="4" w:lineRule="exact"/>
        <w:rPr>
          <w:sz w:val="20"/>
          <w:szCs w:val="20"/>
          <w:color w:val="auto"/>
        </w:rPr>
      </w:pPr>
    </w:p>
    <w:p>
      <w:pPr>
        <w:ind w:firstLine="5"/>
        <w:spacing w:after="0" w:line="266" w:lineRule="auto"/>
        <w:tabs>
          <w:tab w:leader="none" w:pos="2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valuation. The segment also includes the results of the Company’s capital markets business, in which the Company acts as an agent for issuers in connection with at-the-market offerings and buyback programs.</w:t>
      </w:r>
    </w:p>
    <w:p>
      <w:pPr>
        <w:spacing w:after="0" w:line="159" w:lineRule="exact"/>
        <w:rPr>
          <w:sz w:val="20"/>
          <w:szCs w:val="20"/>
          <w:color w:val="auto"/>
        </w:rPr>
      </w:pPr>
    </w:p>
    <w:p>
      <w:pPr>
        <w:ind w:right="240" w:firstLine="509"/>
        <w:spacing w:after="0" w:line="270" w:lineRule="auto"/>
        <w:rPr>
          <w:sz w:val="20"/>
          <w:szCs w:val="20"/>
          <w:color w:val="auto"/>
        </w:rPr>
      </w:pPr>
      <w:r>
        <w:rPr>
          <w:rFonts w:ascii="Times New Roman" w:cs="Times New Roman" w:eastAsia="Times New Roman" w:hAnsi="Times New Roman"/>
          <w:sz w:val="14"/>
          <w:szCs w:val="14"/>
          <w:color w:val="auto"/>
        </w:rPr>
        <w:t>The Corporate segment contains the Company’s investments, principally in strategic trading-related opportunities and maintains corporate overhead expenses and all other income and expenses that are not attributable to the Company’s other segments. The segment is not considered a reportable operating segment as its results are not regularly reviewed by the Company’s Chief Operating Decisions Makers (“CODMs”).</w:t>
      </w:r>
    </w:p>
    <w:p>
      <w:pPr>
        <w:spacing w:after="0" w:line="15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The accounting policies of the segments are the same as those described in Note 2 “Summary of Significant Accounting Policies”. The Company’s CODMs are the Chief Executive Officer and the Chief Operating Officers. The CODMs use a top-line approach in regards to evaluating segment performance and making business decisions on resource allocations, focusing on each segment's trading-related activities. Revenues, including breakdown of key trading-driven components of revenues, trading-related operating expenses, and pre-tax earnings by segment are regularly provided to the CODMs. The CODMs review trading-related results by monitoring period-over-period trends and considering variances between actuals and expectations. Corporate overhead and other shared expenses, as well as assets and liabilities by segment are not used for evaluating segment performance or in deciding how to allocate resources to segments.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135" w:name="page136"/>
    <w:bookmarkEnd w:id="135"/>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The Company’s total revenues, operating expenses, and income (loss) before income taxes and noncontrolling interest (“Pre-tax earnings”) by segment for the years ended December 31, 2025, 2024, and 2023 are summarized in the following table:</w:t>
      </w:r>
    </w:p>
    <w:p>
      <w:pPr>
        <w:spacing w:after="0" w:line="45" w:lineRule="exact"/>
        <w:rPr>
          <w:sz w:val="20"/>
          <w:szCs w:val="20"/>
          <w:color w:val="auto"/>
        </w:rPr>
      </w:pPr>
    </w:p>
    <w:tbl>
      <w:tblPr>
        <w:tblLayout w:type="fixed"/>
        <w:tblInd w:w="360" w:type="dxa"/>
        <w:tblCellMar>
          <w:top w:w="0" w:type="dxa"/>
          <w:left w:w="0" w:type="dxa"/>
          <w:bottom w:w="0" w:type="dxa"/>
          <w:right w:w="0" w:type="dxa"/>
        </w:tblCellMar>
      </w:tblPr>
      <w:tr>
        <w:trPr>
          <w:trHeight w:val="158"/>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0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16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Corporate (1)</w:t>
            </w:r>
          </w:p>
        </w:tc>
        <w:tc>
          <w:tcPr>
            <w:tcW w:w="100" w:type="dxa"/>
            <w:vAlign w:val="bottom"/>
          </w:tcPr>
          <w:p>
            <w:pPr>
              <w:spacing w:after="0"/>
              <w:rPr>
                <w:sz w:val="13"/>
                <w:szCs w:val="13"/>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Consolidated Total</w:t>
            </w:r>
          </w:p>
        </w:tc>
      </w:tr>
      <w:tr>
        <w:trPr>
          <w:trHeight w:val="154"/>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16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revenues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2,949,221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668,192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3,632,118</w:t>
            </w:r>
          </w:p>
        </w:tc>
      </w:tr>
      <w:tr>
        <w:trPr>
          <w:trHeight w:val="15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5"/>
        </w:trPr>
        <w:tc>
          <w:tcPr>
            <w:tcW w:w="5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650,150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119,624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769,774</w:t>
            </w:r>
          </w:p>
        </w:tc>
      </w:tr>
      <w:tr>
        <w:trPr>
          <w:trHeight w:val="153"/>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641,584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5,864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647,448</w:t>
            </w:r>
          </w:p>
        </w:tc>
      </w:tr>
      <w:tr>
        <w:trPr>
          <w:trHeight w:val="165"/>
        </w:trPr>
        <w:tc>
          <w:tcPr>
            <w:tcW w:w="5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segment items (2)</w:t>
            </w:r>
          </w:p>
        </w:tc>
        <w:tc>
          <w:tcPr>
            <w:tcW w:w="1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766,893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352,142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1,120,567</w:t>
            </w:r>
          </w:p>
        </w:tc>
      </w:tr>
      <w:tr>
        <w:trPr>
          <w:trHeight w:val="144"/>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2,058,627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477,630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1,532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2,537,789</w:t>
            </w:r>
          </w:p>
        </w:tc>
      </w:tr>
      <w:tr>
        <w:trPr>
          <w:trHeight w:val="181"/>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taxes and noncontrolling interest</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890,594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190,562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13,173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1,094,329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5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revenues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2,374,096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507,230</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2,876,949</w:t>
            </w:r>
          </w:p>
        </w:tc>
      </w:tr>
      <w:tr>
        <w:trPr>
          <w:trHeight w:val="165"/>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53"/>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573,382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101,044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674,426</w:t>
            </w:r>
          </w:p>
        </w:tc>
      </w:tr>
      <w:tr>
        <w:trPr>
          <w:trHeight w:val="165"/>
        </w:trPr>
        <w:tc>
          <w:tcPr>
            <w:tcW w:w="5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524,158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529,177</w:t>
            </w:r>
          </w:p>
        </w:tc>
      </w:tr>
      <w:tr>
        <w:trPr>
          <w:trHeight w:val="153"/>
        </w:trPr>
        <w:tc>
          <w:tcPr>
            <w:tcW w:w="55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Other segment items (2)</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685,504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339,407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3,465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1,028,376</w:t>
            </w:r>
          </w:p>
        </w:tc>
      </w:tr>
      <w:tr>
        <w:trPr>
          <w:trHeight w:val="15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1,783,044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445,470</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3,465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2,231,979</w:t>
            </w:r>
          </w:p>
        </w:tc>
      </w:tr>
      <w:tr>
        <w:trPr>
          <w:trHeight w:val="15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taxes and noncontrolling interest</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591,052</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61,760</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(7,842)</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644,970</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5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4"/>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revenues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1,843,523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446,542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2,293,373</w:t>
            </w:r>
          </w:p>
        </w:tc>
      </w:tr>
      <w:tr>
        <w:trPr>
          <w:trHeight w:val="15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5"/>
        </w:trPr>
        <w:tc>
          <w:tcPr>
            <w:tcW w:w="5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420,608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87,750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508,358</w:t>
            </w:r>
          </w:p>
        </w:tc>
      </w:tr>
      <w:tr>
        <w:trPr>
          <w:trHeight w:val="153"/>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497,895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500,467</w:t>
            </w:r>
          </w:p>
        </w:tc>
      </w:tr>
      <w:tr>
        <w:trPr>
          <w:trHeight w:val="165"/>
        </w:trPr>
        <w:tc>
          <w:tcPr>
            <w:tcW w:w="5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segment items (2)</w:t>
            </w:r>
          </w:p>
        </w:tc>
        <w:tc>
          <w:tcPr>
            <w:tcW w:w="1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609,418</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345,780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4,219</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959,417</w:t>
            </w:r>
          </w:p>
        </w:tc>
      </w:tr>
      <w:tr>
        <w:trPr>
          <w:trHeight w:val="144"/>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1,527,921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436,102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1,968,242</w:t>
            </w:r>
          </w:p>
        </w:tc>
      </w:tr>
      <w:tr>
        <w:trPr>
          <w:trHeight w:val="181"/>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taxes and noncontrolling interest</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315,602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325,131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160" w:hanging="155"/>
        <w:spacing w:after="0"/>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Corporate is a non-operating segment. The Company presents its information as a part of reconciliation to Consolidated Totals.</w:t>
      </w:r>
    </w:p>
    <w:p>
      <w:pPr>
        <w:spacing w:after="0" w:line="22" w:lineRule="exact"/>
        <w:rPr>
          <w:rFonts w:ascii="Times New Roman" w:cs="Times New Roman" w:eastAsia="Times New Roman" w:hAnsi="Times New Roman"/>
          <w:sz w:val="11"/>
          <w:szCs w:val="11"/>
          <w:color w:val="auto"/>
        </w:rPr>
      </w:pPr>
    </w:p>
    <w:p>
      <w:pPr>
        <w:ind w:right="60" w:firstLine="5"/>
        <w:spacing w:after="0" w:line="280" w:lineRule="auto"/>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items for both reportable segments include: Communication and data processing, Employee compensation and payroll taxes, Operations and administrative, Depreciation and amortization, Financing interest expense on long-term borrowings, and Debt issue cost related to debt refinancing, prepayment and commitment fees.</w:t>
      </w:r>
    </w:p>
    <w:p>
      <w:pPr>
        <w:spacing w:after="0" w:line="15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years ended December 31, 2025, 2024, and 2023</w:t>
      </w:r>
      <w:r>
        <w:rPr>
          <w:rFonts w:ascii="Times New Roman" w:cs="Times New Roman" w:eastAsia="Times New Roman" w:hAnsi="Times New Roman"/>
          <w:sz w:val="12"/>
          <w:szCs w:val="12"/>
          <w:color w:val="auto"/>
        </w:rPr>
        <w:t>:</w:t>
      </w:r>
    </w:p>
    <w:p>
      <w:pPr>
        <w:spacing w:after="0" w:line="153" w:lineRule="exact"/>
        <w:rPr>
          <w:sz w:val="20"/>
          <w:szCs w:val="20"/>
          <w:color w:val="auto"/>
        </w:rPr>
      </w:pPr>
    </w:p>
    <w:tbl>
      <w:tblPr>
        <w:tblLayout w:type="fixed"/>
        <w:tblInd w:w="150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3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3"/>
                <w:szCs w:val="13"/>
                <w:color w:val="auto"/>
              </w:rPr>
            </w:pPr>
          </w:p>
        </w:tc>
        <w:tc>
          <w:tcPr>
            <w:tcW w:w="110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53"/>
        </w:trPr>
        <w:tc>
          <w:tcPr>
            <w:tcW w:w="3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United States</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2,939,967</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2,362,481</w:t>
            </w:r>
          </w:p>
        </w:tc>
        <w:tc>
          <w:tcPr>
            <w:tcW w:w="12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1,920,748</w:t>
            </w:r>
          </w:p>
        </w:tc>
      </w:tr>
      <w:tr>
        <w:trPr>
          <w:trHeight w:val="165"/>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Ireland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386,992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273,215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206,507</w:t>
            </w:r>
          </w:p>
        </w:tc>
      </w:tr>
      <w:tr>
        <w:trPr>
          <w:trHeight w:val="153"/>
        </w:trPr>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305,159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241,253</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166,118</w:t>
            </w:r>
          </w:p>
        </w:tc>
      </w:tr>
      <w:tr>
        <w:trPr>
          <w:trHeight w:val="181"/>
        </w:trPr>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3,632,118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2,876,949</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2,293,373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24.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36" w:name="page137"/>
    <w:bookmarkEnd w:id="136"/>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The Company incurs expenses and maintains balances with its affiliates in the ordinary course of business. As of December 31, 2025, and December 31, 2024, the Company had a net payables to its affiliates of $10.6 million and a net payables to its affiliates of $0.1 million, respectively.</w:t>
      </w:r>
    </w:p>
    <w:p>
      <w:pPr>
        <w:spacing w:after="0" w:line="145"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Company has held a minority interest in JNX since 2016 (see Note 10 “Financial Assets and Liabilities”). The Company pays exchange fees to JNX for the trading activities conducted on its proprietary trading system. The Company paid $11.3 million, $11.1 million, and $12.1 million for the years ended December 31, 2025, 2024, and 2023, respectively, to JNX for these trading activities.</w:t>
      </w:r>
    </w:p>
    <w:p>
      <w:pPr>
        <w:spacing w:after="0" w:line="136"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Company pays monthly use fees and makes certain contributions to a JV in which it holds an interest (see Note 13 “Variable Interest Entities”). These monthly fees are for the use of communication networks operated by the JV and are recorded within Communications and data processing on the Consolidated Statements of Comprehensive Income. The Company previously held a similar arrangement with another telecommunication JV and paid a monthly use fee, and the Company disposed of its interests in this JV and ended the monthly fee arrangement as of September 1, 2024. The Company made payments to these JVs of $45.1 million, $35.5 million, and $32.6 million to the JVs for the years ended December 31, 2025, 2024, and 2023, respectively.</w:t>
      </w:r>
    </w:p>
    <w:p>
      <w:pPr>
        <w:spacing w:after="0" w:line="16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has an interest in Members Exchange, a member-owned equities exchange. The Company pays regulatory and transaction fees and receives rebates from trading activities. The Company paid $5.5 million, $8.0 million, and $4.8 million for the years ended December 31, 2025, 2024, and 2023, respectively.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made a one-time payment of $0.1 million to a founder-affiliated corporation in 2024 for expenses related to the Company’s corporate events held during the period.</w:t>
      </w:r>
    </w:p>
    <w:p>
      <w:pPr>
        <w:spacing w:after="0" w:line="200"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In the second quarter of 2022, the Company formed a JV to support the growth and expansion of a multi-asset request-for-quote communication platform and consolidated this JV. See Note 13 “Variable Interest Entities” for further details. On April 19, 2024, the Company entered into an agreement to sell a 49% interest in this JV. The sale was completed on May 9, 2025. Upon the closing of the sale, the Company retains a minority interest of approximately 2% in RFQ-hub. The Company ceased to control, and deconsolidated, RFQ-hub at such time. See Note 3 “Sale of RFQ-hub” for further details.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25. Parent Company</w:t>
      </w:r>
    </w:p>
    <w:p>
      <w:pPr>
        <w:spacing w:after="0" w:line="202" w:lineRule="exact"/>
        <w:rPr>
          <w:sz w:val="20"/>
          <w:szCs w:val="20"/>
          <w:color w:val="auto"/>
        </w:rPr>
      </w:pPr>
    </w:p>
    <w:p>
      <w:pPr>
        <w:ind w:right="20" w:firstLine="139"/>
        <w:spacing w:after="0" w:line="270" w:lineRule="auto"/>
        <w:rPr>
          <w:sz w:val="20"/>
          <w:szCs w:val="20"/>
          <w:color w:val="auto"/>
        </w:rPr>
      </w:pPr>
      <w:r>
        <w:rPr>
          <w:rFonts w:ascii="Times New Roman" w:cs="Times New Roman" w:eastAsia="Times New Roman" w:hAnsi="Times New Roman"/>
          <w:sz w:val="14"/>
          <w:szCs w:val="14"/>
          <w:color w:val="auto"/>
        </w:rPr>
        <w:t>VFI is the managing member of Virtu Financial, which guarantees the indebtedness of its direct subsidiary under the First Lien Term B-2 Loan Facility (see Note 9 “Borrowings”). VFI is limited in its ability to receive distributions (including for purposes of paying corporate and other overhead expenses and dividends) from Virtu Financial under the Credit Agreement. The following financial statements (the “Parent Company Only Financial Statements”) should be read in conjunction with the Consolidated Financial Statements of the Company and the foregoing.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4"/>
          <w:szCs w:val="14"/>
          <w:b w:val="1"/>
          <w:bCs w:val="1"/>
          <w:color w:val="auto"/>
        </w:rPr>
        <w:t>Virtu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Financial Condition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interest data)</w:t>
            </w: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0"/>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116,534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30,369</w:t>
            </w:r>
          </w:p>
        </w:tc>
        <w:tc>
          <w:tcPr>
            <w:tcW w:w="0" w:type="dxa"/>
            <w:vAlign w:val="bottom"/>
          </w:tcPr>
          <w:p>
            <w:pPr>
              <w:spacing w:after="0"/>
              <w:rPr>
                <w:sz w:val="1"/>
                <w:szCs w:val="1"/>
                <w:color w:val="auto"/>
              </w:rPr>
            </w:pPr>
          </w:p>
        </w:tc>
      </w:tr>
      <w:tr>
        <w:trPr>
          <w:trHeight w:val="153"/>
        </w:trPr>
        <w:tc>
          <w:tcPr>
            <w:tcW w:w="76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Deferred tax asset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88,644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131,568</w:t>
            </w:r>
          </w:p>
        </w:tc>
        <w:tc>
          <w:tcPr>
            <w:tcW w:w="0" w:type="dxa"/>
            <w:vAlign w:val="bottom"/>
          </w:tcPr>
          <w:p>
            <w:pPr>
              <w:spacing w:after="0"/>
              <w:rPr>
                <w:sz w:val="1"/>
                <w:szCs w:val="1"/>
                <w:color w:val="auto"/>
              </w:rPr>
            </w:pPr>
          </w:p>
        </w:tc>
      </w:tr>
      <w:tr>
        <w:trPr>
          <w:trHeight w:val="16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Investment in subsidiary</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3,305,034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3,039,061</w:t>
            </w:r>
          </w:p>
        </w:tc>
        <w:tc>
          <w:tcPr>
            <w:tcW w:w="0" w:type="dxa"/>
            <w:vAlign w:val="bottom"/>
          </w:tcPr>
          <w:p>
            <w:pPr>
              <w:spacing w:after="0"/>
              <w:rPr>
                <w:sz w:val="1"/>
                <w:szCs w:val="1"/>
                <w:color w:val="auto"/>
              </w:rPr>
            </w:pPr>
          </w:p>
        </w:tc>
      </w:tr>
      <w:tr>
        <w:trPr>
          <w:trHeight w:val="153"/>
        </w:trPr>
        <w:tc>
          <w:tcPr>
            <w:tcW w:w="76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18,942</w:t>
            </w:r>
          </w:p>
        </w:tc>
        <w:tc>
          <w:tcPr>
            <w:tcW w:w="0" w:type="dxa"/>
            <w:vAlign w:val="bottom"/>
          </w:tcPr>
          <w:p>
            <w:pPr>
              <w:spacing w:after="0"/>
              <w:rPr>
                <w:sz w:val="1"/>
                <w:szCs w:val="1"/>
                <w:color w:val="auto"/>
              </w:rPr>
            </w:pPr>
          </w:p>
        </w:tc>
      </w:tr>
      <w:tr>
        <w:trPr>
          <w:trHeight w:val="181"/>
        </w:trPr>
        <w:tc>
          <w:tcPr>
            <w:tcW w:w="7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3,510,212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3,219,940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redeemable membership interest and equity</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Payable to affiliate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1,743,480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1,741,974</w:t>
            </w:r>
          </w:p>
        </w:tc>
        <w:tc>
          <w:tcPr>
            <w:tcW w:w="0" w:type="dxa"/>
            <w:vAlign w:val="bottom"/>
          </w:tcPr>
          <w:p>
            <w:pPr>
              <w:spacing w:after="0"/>
              <w:rPr>
                <w:sz w:val="1"/>
                <w:szCs w:val="1"/>
                <w:color w:val="auto"/>
              </w:rPr>
            </w:pPr>
          </w:p>
        </w:tc>
      </w:tr>
      <w:tr>
        <w:trPr>
          <w:trHeight w:val="153"/>
        </w:trPr>
        <w:tc>
          <w:tcPr>
            <w:tcW w:w="76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Accounts payable and accrued expenses and other liabilities</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25,200</w:t>
            </w:r>
          </w:p>
        </w:tc>
        <w:tc>
          <w:tcPr>
            <w:tcW w:w="0" w:type="dxa"/>
            <w:vAlign w:val="bottom"/>
          </w:tcPr>
          <w:p>
            <w:pPr>
              <w:spacing w:after="0"/>
              <w:rPr>
                <w:sz w:val="1"/>
                <w:szCs w:val="1"/>
                <w:color w:val="auto"/>
              </w:rPr>
            </w:pPr>
          </w:p>
        </w:tc>
      </w:tr>
      <w:tr>
        <w:trPr>
          <w:trHeight w:val="16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tax liabilities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0" w:type="dxa"/>
            <w:vAlign w:val="bottom"/>
          </w:tcPr>
          <w:p>
            <w:pPr>
              <w:spacing w:after="0"/>
              <w:rPr>
                <w:sz w:val="1"/>
                <w:szCs w:val="1"/>
                <w:color w:val="auto"/>
              </w:rPr>
            </w:pPr>
          </w:p>
        </w:tc>
      </w:tr>
      <w:tr>
        <w:trPr>
          <w:trHeight w:val="153"/>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Tax receivable agreement obligations</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181,855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196,592</w:t>
            </w:r>
          </w:p>
        </w:tc>
        <w:tc>
          <w:tcPr>
            <w:tcW w:w="0" w:type="dxa"/>
            <w:vAlign w:val="bottom"/>
          </w:tcPr>
          <w:p>
            <w:pPr>
              <w:spacing w:after="0"/>
              <w:rPr>
                <w:sz w:val="1"/>
                <w:szCs w:val="1"/>
                <w:color w:val="auto"/>
              </w:rPr>
            </w:pPr>
          </w:p>
        </w:tc>
      </w:tr>
      <w:tr>
        <w:trPr>
          <w:trHeight w:val="15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1,927,933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1,965,766</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Virtu Financial Inc. Stockholders' equity</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66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Class A common stock (par value $0.00001), Authorized — 1,000,000,000 and 1,000,000,000 shares, Issued — 140,877,669 and 137,479,751 shares, Outstanding —</w:t>
            </w:r>
          </w:p>
        </w:tc>
        <w:tc>
          <w:tcPr>
            <w:tcW w:w="12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1"/>
        </w:trPr>
        <w:tc>
          <w:tcPr>
            <w:tcW w:w="76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84,919,931 and 84,976,325 shares at December 31, 2025 and December 31, 2024, respectively</w:t>
            </w: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7660" w:type="dxa"/>
            <w:vAlign w:val="bottom"/>
            <w:shd w:val="clear" w:color="auto" w:fill="CCEEFF"/>
          </w:tcPr>
          <w:p>
            <w:pPr>
              <w:ind w:left="120"/>
              <w:spacing w:after="0" w:line="114" w:lineRule="exact"/>
              <w:rPr>
                <w:sz w:val="20"/>
                <w:szCs w:val="20"/>
                <w:color w:val="auto"/>
              </w:rPr>
            </w:pPr>
            <w:r>
              <w:rPr>
                <w:rFonts w:ascii="Times New Roman" w:cs="Times New Roman" w:eastAsia="Times New Roman" w:hAnsi="Times New Roman"/>
                <w:sz w:val="11"/>
                <w:szCs w:val="11"/>
                <w:color w:val="auto"/>
              </w:rPr>
              <w:t>Class B common stock (par value $0.00001), Authorized — 175,000,000 and 175,000,000 shares, Issued and Outstanding — 0 and 0 shares at December 31, 2025</w:t>
            </w:r>
          </w:p>
        </w:tc>
        <w:tc>
          <w:tcPr>
            <w:tcW w:w="120" w:type="dxa"/>
            <w:vAlign w:val="bottom"/>
            <w:shd w:val="clear" w:color="auto" w:fill="CCEEFF"/>
          </w:tcPr>
          <w:p>
            <w:pPr>
              <w:spacing w:after="0"/>
              <w:rPr>
                <w:sz w:val="9"/>
                <w:szCs w:val="9"/>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and December 31, 2024, respectively</w:t>
            </w:r>
          </w:p>
        </w:tc>
        <w:tc>
          <w:tcPr>
            <w:tcW w:w="12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66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Class C common stock (par value $0.00001), Authorized — 90,000,000 and 90,000,000 shares, Issued and Outstanding — 7,970,185 and 8,561,970 shares at</w:t>
            </w:r>
          </w:p>
        </w:tc>
        <w:tc>
          <w:tcPr>
            <w:tcW w:w="120" w:type="dxa"/>
            <w:vAlign w:val="bottom"/>
          </w:tcPr>
          <w:p>
            <w:pPr>
              <w:spacing w:after="0"/>
              <w:rPr>
                <w:sz w:val="9"/>
                <w:szCs w:val="9"/>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76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December 31, 2025 and December 31, 2024, respectively</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7660" w:type="dxa"/>
            <w:vAlign w:val="bottom"/>
            <w:shd w:val="clear" w:color="auto" w:fill="CCEEFF"/>
          </w:tcPr>
          <w:p>
            <w:pPr>
              <w:ind w:left="120"/>
              <w:spacing w:after="0" w:line="114" w:lineRule="exact"/>
              <w:rPr>
                <w:sz w:val="20"/>
                <w:szCs w:val="20"/>
                <w:color w:val="auto"/>
              </w:rPr>
            </w:pPr>
            <w:r>
              <w:rPr>
                <w:rFonts w:ascii="Times New Roman" w:cs="Times New Roman" w:eastAsia="Times New Roman" w:hAnsi="Times New Roman"/>
                <w:sz w:val="11"/>
                <w:szCs w:val="11"/>
                <w:color w:val="auto"/>
              </w:rPr>
              <w:t>Class D common stock (par value $0.00001), Authorized — 175,000,000 and 175,000,000 shares, Issued and Outstanding — 60,091,740 and 60,091,740 shares at</w:t>
            </w:r>
          </w:p>
        </w:tc>
        <w:tc>
          <w:tcPr>
            <w:tcW w:w="12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December 31, 2025 and December 31, 2024, respectively</w:t>
            </w:r>
          </w:p>
        </w:tc>
        <w:tc>
          <w:tcPr>
            <w:tcW w:w="1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Treasury stock, at cost, 55,957,738 and 52,503,426 shares at December 31, 2025 and December 31, 2024, respectively</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(1,475,666)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(1,339,913)</w:t>
            </w:r>
          </w:p>
        </w:tc>
        <w:tc>
          <w:tcPr>
            <w:tcW w:w="0" w:type="dxa"/>
            <w:vAlign w:val="bottom"/>
          </w:tcPr>
          <w:p>
            <w:pPr>
              <w:spacing w:after="0"/>
              <w:rPr>
                <w:sz w:val="1"/>
                <w:szCs w:val="1"/>
                <w:color w:val="auto"/>
              </w:rPr>
            </w:pPr>
          </w:p>
        </w:tc>
      </w:tr>
      <w:tr>
        <w:trPr>
          <w:trHeight w:val="16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1,541,684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1,432,240</w:t>
            </w:r>
          </w:p>
        </w:tc>
        <w:tc>
          <w:tcPr>
            <w:tcW w:w="0" w:type="dxa"/>
            <w:vAlign w:val="bottom"/>
          </w:tcPr>
          <w:p>
            <w:pPr>
              <w:spacing w:after="0"/>
              <w:rPr>
                <w:sz w:val="1"/>
                <w:szCs w:val="1"/>
                <w:color w:val="auto"/>
              </w:rPr>
            </w:pPr>
          </w:p>
        </w:tc>
      </w:tr>
      <w:tr>
        <w:trPr>
          <w:trHeight w:val="153"/>
        </w:trPr>
        <w:tc>
          <w:tcPr>
            <w:tcW w:w="76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Retained earnings</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1,519,270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1,168,908</w:t>
            </w:r>
          </w:p>
        </w:tc>
        <w:tc>
          <w:tcPr>
            <w:tcW w:w="0" w:type="dxa"/>
            <w:vAlign w:val="bottom"/>
          </w:tcPr>
          <w:p>
            <w:pPr>
              <w:spacing w:after="0"/>
              <w:rPr>
                <w:sz w:val="1"/>
                <w:szCs w:val="1"/>
                <w:color w:val="auto"/>
              </w:rPr>
            </w:pPr>
          </w:p>
        </w:tc>
      </w:tr>
      <w:tr>
        <w:trPr>
          <w:trHeight w:val="16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(7,063)</w:t>
            </w:r>
          </w:p>
        </w:tc>
        <w:tc>
          <w:tcPr>
            <w:tcW w:w="0" w:type="dxa"/>
            <w:vAlign w:val="bottom"/>
          </w:tcPr>
          <w:p>
            <w:pPr>
              <w:spacing w:after="0"/>
              <w:rPr>
                <w:sz w:val="1"/>
                <w:szCs w:val="1"/>
                <w:color w:val="auto"/>
              </w:rPr>
            </w:pPr>
          </w:p>
        </w:tc>
      </w:tr>
      <w:tr>
        <w:trPr>
          <w:trHeight w:val="144"/>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Virtu Financial Inc. stockholders' equity</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1,582,279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1,254,174</w:t>
            </w:r>
          </w:p>
        </w:tc>
        <w:tc>
          <w:tcPr>
            <w:tcW w:w="0" w:type="dxa"/>
            <w:vAlign w:val="bottom"/>
          </w:tcPr>
          <w:p>
            <w:pPr>
              <w:spacing w:after="0"/>
              <w:rPr>
                <w:sz w:val="1"/>
                <w:szCs w:val="1"/>
                <w:color w:val="auto"/>
              </w:rPr>
            </w:pPr>
          </w:p>
        </w:tc>
      </w:tr>
      <w:tr>
        <w:trPr>
          <w:trHeight w:val="176"/>
        </w:trPr>
        <w:tc>
          <w:tcPr>
            <w:tcW w:w="76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3,510,212</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3,219,940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60"/>
          </w:cols>
          <w:pgMar w:left="860" w:top="727" w:right="879" w:bottom="1440" w:gutter="0" w:footer="0" w:header="0"/>
        </w:sectPr>
      </w:pPr>
    </w:p>
    <w:bookmarkStart w:id="138" w:name="page139"/>
    <w:bookmarkEnd w:id="13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Virtu Financial,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(Parent Company Only)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Statements of Comprehensive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0"/>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9"/>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9"/>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Income</w:t>
            </w: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76"/>
        </w:trPr>
        <w:tc>
          <w:tcPr>
            <w:tcW w:w="7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54"/>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4"/>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Operations and administrative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r>
      <w:tr>
        <w:trPr>
          <w:trHeight w:val="170"/>
        </w:trPr>
        <w:tc>
          <w:tcPr>
            <w:tcW w:w="73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before equity in income of subsidiary</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213</w:t>
            </w:r>
          </w:p>
        </w:tc>
      </w:tr>
      <w:tr>
        <w:trPr>
          <w:trHeight w:val="15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Equity in income (loss) of subsidiary, net of tax</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466,560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534,393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263,708</w:t>
            </w:r>
          </w:p>
        </w:tc>
      </w:tr>
      <w:tr>
        <w:trPr>
          <w:trHeight w:val="181"/>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468,361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534,535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263,921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5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 attributable to common stockholders</w:t>
            </w: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468,361</w:t>
            </w:r>
          </w:p>
        </w:tc>
        <w:tc>
          <w:tcPr>
            <w:tcW w:w="3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534,535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263,921</w:t>
            </w:r>
          </w:p>
        </w:tc>
      </w:tr>
      <w:tr>
        <w:trPr>
          <w:trHeight w:val="153"/>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Foreign currency translation adjustment, net of taxes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6,952</w:t>
            </w:r>
          </w:p>
        </w:tc>
      </w:tr>
      <w:tr>
        <w:trPr>
          <w:trHeight w:val="153"/>
        </w:trPr>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Net change in unrealized cash flow hedges gains (losses), net of taxes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(4,943)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(18,473)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(21,509)</w:t>
            </w:r>
          </w:p>
        </w:tc>
      </w:tr>
      <w:tr>
        <w:trPr>
          <w:trHeight w:val="181"/>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Comprehensive income (loss)</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472,413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510,425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249,364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60" w:top="727" w:right="35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Virtu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Statements of Cash Flows</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7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0"/>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9"/>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9"/>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468,361</w:t>
            </w:r>
          </w:p>
        </w:tc>
        <w:tc>
          <w:tcPr>
            <w:tcW w:w="3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534,535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263,921</w:t>
            </w:r>
          </w:p>
        </w:tc>
      </w:tr>
      <w:tr>
        <w:trPr>
          <w:trHeight w:val="170"/>
        </w:trPr>
        <w:tc>
          <w:tcPr>
            <w:tcW w:w="7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9"/>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53"/>
        </w:trPr>
        <w:tc>
          <w:tcPr>
            <w:tcW w:w="73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Equity in income of subsidiary, net of tax</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(139,113)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223,376</w:t>
            </w:r>
          </w:p>
        </w:tc>
      </w:tr>
      <w:tr>
        <w:trPr>
          <w:trHeight w:val="165"/>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Tax receivable agreement obligation reduction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997</w:t>
            </w:r>
          </w:p>
        </w:tc>
      </w:tr>
      <w:tr>
        <w:trPr>
          <w:trHeight w:val="153"/>
        </w:trPr>
        <w:tc>
          <w:tcPr>
            <w:tcW w:w="73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taxes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8,795</w:t>
            </w:r>
          </w:p>
        </w:tc>
      </w:tr>
      <w:tr>
        <w:trPr>
          <w:trHeight w:val="165"/>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50,878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1,129</w:t>
            </w:r>
          </w:p>
        </w:tc>
      </w:tr>
      <w:tr>
        <w:trPr>
          <w:trHeight w:val="144"/>
        </w:trPr>
        <w:tc>
          <w:tcPr>
            <w:tcW w:w="73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547,147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445,414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498,218</w:t>
            </w:r>
          </w:p>
        </w:tc>
      </w:tr>
      <w:tr>
        <w:trPr>
          <w:trHeight w:val="176"/>
        </w:trPr>
        <w:tc>
          <w:tcPr>
            <w:tcW w:w="7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54"/>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4"/>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Investments in subsidiaries, equity basis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99,498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67,741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66,644</w:t>
            </w:r>
          </w:p>
        </w:tc>
      </w:tr>
      <w:tr>
        <w:trPr>
          <w:trHeight w:val="144"/>
        </w:trPr>
        <w:tc>
          <w:tcPr>
            <w:tcW w:w="73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cash provided by investing activities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99,498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67,741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66,644</w:t>
            </w:r>
          </w:p>
        </w:tc>
      </w:tr>
      <w:tr>
        <w:trPr>
          <w:trHeight w:val="176"/>
        </w:trPr>
        <w:tc>
          <w:tcPr>
            <w:tcW w:w="7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54"/>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4"/>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Dividends to stockholders and distributions from Virtu Financial to noncontrolling interest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(349,347)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(299,403)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(306,136)</w:t>
            </w:r>
          </w:p>
        </w:tc>
      </w:tr>
      <w:tr>
        <w:trPr>
          <w:trHeight w:val="153"/>
        </w:trPr>
        <w:tc>
          <w:tcPr>
            <w:tcW w:w="7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Repurchase of Class C common stock</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w:t>
            </w:r>
          </w:p>
        </w:tc>
      </w:tr>
      <w:tr>
        <w:trPr>
          <w:trHeight w:val="165"/>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(188,794)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(191,138)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(229,012)</w:t>
            </w:r>
          </w:p>
        </w:tc>
      </w:tr>
      <w:tr>
        <w:trPr>
          <w:trHeight w:val="153"/>
        </w:trPr>
        <w:tc>
          <w:tcPr>
            <w:tcW w:w="7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Tax receivable agreement obligations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(20,773)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(23,275)</w:t>
            </w:r>
          </w:p>
        </w:tc>
      </w:tr>
      <w:tr>
        <w:trPr>
          <w:trHeight w:val="165"/>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Issuance of common stock in connection with secondary offering, net of offering costs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3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(560,480)</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(510,767)</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(559,989)</w:t>
            </w:r>
          </w:p>
        </w:tc>
      </w:tr>
      <w:tr>
        <w:trPr>
          <w:trHeight w:val="176"/>
        </w:trPr>
        <w:tc>
          <w:tcPr>
            <w:tcW w:w="7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53"/>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86,165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2,388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4,873</w:t>
            </w:r>
          </w:p>
        </w:tc>
      </w:tr>
      <w:tr>
        <w:trPr>
          <w:trHeight w:val="16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beginning of period</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30,369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27,981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23,108</w:t>
            </w:r>
          </w:p>
        </w:tc>
      </w:tr>
      <w:tr>
        <w:trPr>
          <w:trHeight w:val="150"/>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end of period</w:t>
            </w: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116,534</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30,369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27,981</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1"/>
        </w:trPr>
        <w:tc>
          <w:tcPr>
            <w:tcW w:w="7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4"/>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4"/>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Taxes paid</w:t>
            </w: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67,427</w:t>
            </w:r>
          </w:p>
        </w:tc>
        <w:tc>
          <w:tcPr>
            <w:tcW w:w="3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14,957</w:t>
            </w:r>
          </w:p>
        </w:tc>
      </w:tr>
      <w:tr>
        <w:trPr>
          <w:trHeight w:val="170"/>
        </w:trPr>
        <w:tc>
          <w:tcPr>
            <w:tcW w:w="7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Non-cash financing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53"/>
        </w:trPr>
        <w:tc>
          <w:tcPr>
            <w:tcW w:w="7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Tax receivable agreement described in Note 5</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(3,787)</w:t>
            </w:r>
          </w:p>
        </w:tc>
      </w:tr>
      <w:tr>
        <w:trPr>
          <w:trHeight w:val="165"/>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Repurchase of Class C common stock</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(2,330)</w:t>
            </w:r>
          </w:p>
        </w:tc>
      </w:tr>
      <w:tr>
        <w:trPr>
          <w:trHeight w:val="147"/>
        </w:trPr>
        <w:tc>
          <w:tcPr>
            <w:tcW w:w="7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 Subsequent Events</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Company has evaluated subsequent events for adjustment to or disclosure in its Consolidated Financial Statements through the date of this report, and has not identified any recordable or disclosable events, not otherwise reported in these Consolidated Financial Statements or the notes thereto, except for the following:</w:t>
      </w:r>
    </w:p>
    <w:p>
      <w:pPr>
        <w:spacing w:after="0" w:line="14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On January 29, 2026, the Company’s Board of Directors declared a dividend of $0.24 per share of Class A Common Stock and Class B Common Stock and per participating Restricted Stock Unit and Restricted Stock Award that will be paid on March 16, 2026 to holders of record as of February 27, 2026.</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December 31, 2025. Based upon that evaluation, our Chief Executive Officer and Chief Financial Officer concluded that, as of December 31, 2025,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16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157"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assets;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receipts and expenditures are being made only in accordance with management and director authorization; and</w:t>
      </w:r>
    </w:p>
    <w:p>
      <w:pPr>
        <w:spacing w:after="0" w:line="19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assets that could have a material effect on the consolidated financial statements.</w:t>
      </w:r>
    </w:p>
    <w:p>
      <w:pPr>
        <w:spacing w:after="0" w:line="145"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 xml:space="preserve">Management assessed the effectiveness of our internal control over financial reporting as of December 31, 2025. In making this assessment, management used the criteria set forth by the Committee of Sponsoring Organizations of the Treadway Commission (COSO)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Based on this assessment, management determined that as of December 31, 2025, internal control over financial reporting is effective.</w:t>
      </w:r>
    </w:p>
    <w:p>
      <w:pPr>
        <w:spacing w:after="0" w:line="200" w:lineRule="exact"/>
        <w:rPr>
          <w:sz w:val="20"/>
          <w:szCs w:val="20"/>
          <w:color w:val="auto"/>
        </w:rPr>
      </w:pPr>
    </w:p>
    <w:p>
      <w:pPr>
        <w:ind w:right="60" w:firstLine="141"/>
        <w:spacing w:after="0" w:line="287" w:lineRule="auto"/>
        <w:rPr>
          <w:sz w:val="20"/>
          <w:szCs w:val="20"/>
          <w:color w:val="auto"/>
        </w:rPr>
      </w:pPr>
      <w:r>
        <w:rPr>
          <w:rFonts w:ascii="Times New Roman" w:cs="Times New Roman" w:eastAsia="Times New Roman" w:hAnsi="Times New Roman"/>
          <w:sz w:val="14"/>
          <w:szCs w:val="14"/>
          <w:color w:val="auto"/>
        </w:rPr>
        <w:t>PricewaterhouseCoopers LLP has audited our internal control over financial reporting as of December 31, 2025. Their report is included in Item 8 “Financial Statements and Supplementary Data”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to Internal Control over Financial Reporting</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No change in our internal control over financial reporting (as defined in Rule 13a-15(f) under the Exchange Act) occurred during the three months ended December 31, 2025 that has or is reasonably likely to materially affect, our internal control over financial reporting.</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7"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During the three months and the year ended December 31, 2025, no director or “officer” (as defined in Rule 16a-1(f) under the Exchange Act) of the Company adopted, modified or terminated a "Rule 10b5-1 trading arrangement" or a “non-Rule 10b5-1 trading arrangement,” as each term is defined in Item 408(a) of Regulation S-K under the Exchange Act.</w:t>
      </w:r>
    </w:p>
    <w:p>
      <w:pPr>
        <w:spacing w:after="0" w:line="200" w:lineRule="exact"/>
        <w:rPr>
          <w:sz w:val="20"/>
          <w:szCs w:val="20"/>
          <w:color w:val="auto"/>
        </w:rPr>
      </w:pPr>
    </w:p>
    <w:p>
      <w:pPr>
        <w:spacing w:after="0" w:line="3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0"/>
          </w:cols>
          <w:pgMar w:left="300" w:top="727" w:right="8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ectPr>
          <w:pgSz w:w="11900" w:h="16838" w:orient="portrait"/>
          <w:cols w:equalWidth="0" w:num="1">
            <w:col w:w="10159"/>
          </w:cols>
          <w:pgMar w:left="300" w:top="727" w:right="1440" w:bottom="1440" w:gutter="0" w:footer="0" w:header="0"/>
        </w:sectPr>
      </w:pP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7" w:right="1440" w:bottom="1440" w:gutter="0" w:footer="0" w:header="0"/>
          <w:type w:val="continuous"/>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III</w:t>
      </w:r>
    </w:p>
    <w:p>
      <w:pPr>
        <w:sectPr>
          <w:pgSz w:w="11900" w:h="16838" w:orient="portrait"/>
          <w:cols w:equalWidth="0" w:num="1">
            <w:col w:w="9019"/>
          </w:cols>
          <w:pgMar w:left="1440" w:top="8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897" w:right="1440"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Information with respect to this Item, including the information required by Item 408(b) of Regulation S-K related to our insider trading policies and procedures, will be set forth in our 2026 Proxy Statement, which will be filed with the Securities and Exchange Commission no later than 120 days after December 31, 2025. For the limited purpose of providing the information necessary to comply with this Item 10, the 2026 Proxy Statement is incorporated herein by this reference. All references to the 2026 Proxy Statement in this Part III are exclusive of the information set forth under the caption “Audit Committee Report.”</w:t>
      </w:r>
    </w:p>
    <w:p>
      <w:pPr>
        <w:spacing w:after="0" w:line="162"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Our Board of Directors has adopted a Code of Business Conduct and Ethics applicable to all officers, directors and employees, which is available on our website (www.virtu.com) under “Corporate Governance.” We intend to satisfy the disclosure requirement under Item 5.05 of Form 8-K regarding amendment to, or waiver from, a provision of our Code of Business Conduct and Ethics by posting such information on our website at the address and location specified above.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7"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2026 Proxy Statement, which will be filed with the Securities and Exchange Commission no later than 120 days after December 31, 2025. For the limited purpose of providing the information necessary to comply with this Item 11, the 2026 Proxy Statement is incorporated herein by this reference.</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97" w:right="4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2026 Proxy Statement, which will be filed with the Securities and Exchange Commission no later than 120 days after December 31, 2025. For the limited purpose of providing the information necessary to comply with this Item 12, the 2026 Proxy Statement is incorporated herein by this reference.</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97" w:right="4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2026 Proxy Statement, which will be filed with the Securities and Exchange Commission no later than 120 days after December 31, 2025. For the limited purpose of providing the information necessary to comply with this Item 13, the 2026 Proxy Statement is incorporated herein by this reference.</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97" w:right="4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2026 Proxy Statement, which will be filed with the Securities and Exchange Commission no later than 120 days after December 31, 2025. For the limited purpose of providing the information necessary to comply with this Item 14, the 2026 Proxy Statement is incorporated herein by this reference.</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28" w:right="4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60" w:type="dxa"/>
            <w:vAlign w:val="bottom"/>
            <w:gridSpan w:val="7"/>
          </w:tcPr>
          <w:p>
            <w:pPr>
              <w:ind w:left="3360"/>
              <w:spacing w:after="0"/>
              <w:rPr>
                <w:sz w:val="20"/>
                <w:szCs w:val="20"/>
                <w:color w:val="auto"/>
              </w:rPr>
            </w:pPr>
            <w:r>
              <w:rPr>
                <w:rFonts w:ascii="Times New Roman" w:cs="Times New Roman" w:eastAsia="Times New Roman" w:hAnsi="Times New Roman"/>
                <w:sz w:val="14"/>
                <w:szCs w:val="14"/>
                <w:b w:val="1"/>
                <w:bCs w:val="1"/>
                <w:color w:val="auto"/>
              </w:rPr>
              <w:t>PART IV</w:t>
            </w:r>
          </w:p>
        </w:tc>
      </w:tr>
      <w:tr>
        <w:trPr>
          <w:trHeight w:val="446"/>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15. EXHIBITS</w:t>
            </w:r>
          </w:p>
        </w:tc>
        <w:tc>
          <w:tcPr>
            <w:tcW w:w="40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4020" w:type="dxa"/>
            <w:vAlign w:val="bottom"/>
          </w:tcPr>
          <w:p>
            <w:pPr>
              <w:spacing w:after="0"/>
              <w:rPr>
                <w:sz w:val="24"/>
                <w:szCs w:val="24"/>
                <w:color w:val="auto"/>
              </w:rPr>
            </w:pPr>
          </w:p>
        </w:tc>
        <w:tc>
          <w:tcPr>
            <w:tcW w:w="5240" w:type="dxa"/>
            <w:vAlign w:val="bottom"/>
            <w:gridSpan w:val="6"/>
          </w:tcPr>
          <w:p>
            <w:pPr>
              <w:ind w:left="3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49"/>
        </w:trPr>
        <w:tc>
          <w:tcPr>
            <w:tcW w:w="1460" w:type="dxa"/>
            <w:vAlign w:val="bottom"/>
            <w:tcBorders>
              <w:top w:val="single" w:sz="8" w:color="auto"/>
              <w:bottom w:val="single" w:sz="8" w:color="FEFEFE"/>
            </w:tcBorders>
            <w:shd w:val="clear" w:color="auto" w:fill="FEFEFE"/>
          </w:tcPr>
          <w:p>
            <w:pPr>
              <w:ind w:lef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540" w:type="dxa"/>
            <w:vAlign w:val="bottom"/>
            <w:tcBorders>
              <w:top w:val="single" w:sz="8" w:color="FEFEFE"/>
              <w:bottom w:val="single" w:sz="8" w:color="FEFEFE"/>
              <w:right w:val="single" w:sz="8" w:color="FEFEFE"/>
            </w:tcBorders>
            <w:shd w:val="clear" w:color="auto" w:fill="FEFEFE"/>
          </w:tcPr>
          <w:p>
            <w:pPr>
              <w:spacing w:after="0"/>
              <w:rPr>
                <w:sz w:val="12"/>
                <w:szCs w:val="12"/>
                <w:color w:val="auto"/>
              </w:rPr>
            </w:pPr>
          </w:p>
        </w:tc>
        <w:tc>
          <w:tcPr>
            <w:tcW w:w="8980" w:type="dxa"/>
            <w:vAlign w:val="bottom"/>
            <w:tcBorders>
              <w:top w:val="single" w:sz="8" w:color="auto"/>
              <w:bottom w:val="single" w:sz="8" w:color="0000FF"/>
            </w:tcBorders>
            <w:gridSpan w:val="4"/>
            <w:shd w:val="clear" w:color="auto" w:fill="FEFEFE"/>
          </w:tcPr>
          <w:p>
            <w:pPr>
              <w:spacing w:after="0" w:line="14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Reorganization Agreement, dated April 15, 2015, by and among Virtu Financial, Inc., Virtu Financial Merger Sub LLC, Virtu Financial Intermediate Holdings</w:t>
              </w:r>
            </w:hyperlink>
          </w:p>
        </w:tc>
        <w:tc>
          <w:tcPr>
            <w:tcW w:w="280" w:type="dxa"/>
            <w:vAlign w:val="bottom"/>
            <w:tcBorders>
              <w:top w:val="single" w:sz="8" w:color="auto"/>
              <w:bottom w:val="single" w:sz="8" w:color="FEFEFE"/>
            </w:tcBorders>
            <w:gridSpan w:val="3"/>
            <w:shd w:val="clear" w:color="auto" w:fill="FEFEFE"/>
          </w:tcPr>
          <w:p>
            <w:pPr>
              <w:spacing w:after="0"/>
              <w:rPr>
                <w:sz w:val="12"/>
                <w:szCs w:val="12"/>
                <w:color w:val="auto"/>
              </w:rPr>
            </w:pPr>
          </w:p>
        </w:tc>
      </w:tr>
      <w:tr>
        <w:trPr>
          <w:trHeight w:val="118"/>
        </w:trPr>
        <w:tc>
          <w:tcPr>
            <w:tcW w:w="1460" w:type="dxa"/>
            <w:vAlign w:val="bottom"/>
            <w:shd w:val="clear" w:color="auto" w:fill="FEFEFE"/>
          </w:tcPr>
          <w:p>
            <w:pPr>
              <w:spacing w:after="0"/>
              <w:rPr>
                <w:sz w:val="10"/>
                <w:szCs w:val="10"/>
                <w:color w:val="auto"/>
              </w:rPr>
            </w:pPr>
          </w:p>
        </w:tc>
        <w:tc>
          <w:tcPr>
            <w:tcW w:w="540" w:type="dxa"/>
            <w:vAlign w:val="bottom"/>
            <w:tcBorders>
              <w:right w:val="single" w:sz="8" w:color="FEFEFE"/>
            </w:tcBorders>
            <w:shd w:val="clear" w:color="auto" w:fill="FEFEFE"/>
          </w:tcPr>
          <w:p>
            <w:pPr>
              <w:spacing w:after="0"/>
              <w:rPr>
                <w:sz w:val="10"/>
                <w:szCs w:val="10"/>
                <w:color w:val="auto"/>
              </w:rPr>
            </w:pPr>
          </w:p>
        </w:tc>
        <w:tc>
          <w:tcPr>
            <w:tcW w:w="9260" w:type="dxa"/>
            <w:vAlign w:val="bottom"/>
            <w:gridSpan w:val="7"/>
            <w:shd w:val="clear" w:color="auto" w:fill="FEFEFE"/>
          </w:tcPr>
          <w:p>
            <w:pPr>
              <w:spacing w:after="0" w:line="118" w:lineRule="exact"/>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LLC, Virtu Financial Merger Sub II LLC, Virtu Financial Intermediate Holdings II LLC, Virtu Financial LLC, VFH Parent LLC, SLP Virtu Investors, LLC, SLP</w:t>
              </w:r>
            </w:hyperlink>
          </w:p>
        </w:tc>
      </w:tr>
      <w:tr>
        <w:trPr>
          <w:trHeight w:val="129"/>
        </w:trPr>
        <w:tc>
          <w:tcPr>
            <w:tcW w:w="1460" w:type="dxa"/>
            <w:vAlign w:val="bottom"/>
            <w:tcBorders>
              <w:top w:val="single" w:sz="8" w:color="FEFEFE"/>
            </w:tcBorders>
            <w:shd w:val="clear" w:color="auto" w:fill="FEFEFE"/>
          </w:tcPr>
          <w:p>
            <w:pPr>
              <w:spacing w:after="0"/>
              <w:rPr>
                <w:sz w:val="11"/>
                <w:szCs w:val="11"/>
                <w:color w:val="auto"/>
              </w:rPr>
            </w:pPr>
          </w:p>
        </w:tc>
        <w:tc>
          <w:tcPr>
            <w:tcW w:w="540" w:type="dxa"/>
            <w:vAlign w:val="bottom"/>
            <w:tcBorders>
              <w:top w:val="single" w:sz="8" w:color="FEFEFE"/>
              <w:right w:val="single" w:sz="8" w:color="FEFEFE"/>
            </w:tcBorders>
            <w:shd w:val="clear" w:color="auto" w:fill="FEFEFE"/>
          </w:tcPr>
          <w:p>
            <w:pPr>
              <w:spacing w:after="0"/>
              <w:rPr>
                <w:sz w:val="11"/>
                <w:szCs w:val="11"/>
                <w:color w:val="auto"/>
              </w:rPr>
            </w:pPr>
          </w:p>
        </w:tc>
        <w:tc>
          <w:tcPr>
            <w:tcW w:w="9100" w:type="dxa"/>
            <w:vAlign w:val="bottom"/>
            <w:tcBorders>
              <w:top w:val="single" w:sz="8" w:color="0000FF"/>
            </w:tcBorders>
            <w:gridSpan w:val="6"/>
            <w:shd w:val="clear" w:color="auto" w:fill="FEFEFE"/>
          </w:tcPr>
          <w:p>
            <w:pPr>
              <w:spacing w:after="0" w:line="12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III EW Feeder I, L.P., SLP III EW Feeder II, L.P., Silver Lake Technology Associates III, L.P., SLP III EW Feeder LLC, Havelock Fund Investments Pte Ltd.,</w:t>
              </w:r>
            </w:hyperlink>
          </w:p>
        </w:tc>
        <w:tc>
          <w:tcPr>
            <w:tcW w:w="160" w:type="dxa"/>
            <w:vAlign w:val="bottom"/>
            <w:tcBorders>
              <w:top w:val="single" w:sz="8" w:color="FEFEFE"/>
            </w:tcBorders>
            <w:shd w:val="clear" w:color="auto" w:fill="FEFEFE"/>
          </w:tcPr>
          <w:p>
            <w:pPr>
              <w:spacing w:after="0"/>
              <w:rPr>
                <w:sz w:val="11"/>
                <w:szCs w:val="1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Borders>
              <w:top w:val="single" w:sz="8" w:color="FEFEFE"/>
              <w:right w:val="single" w:sz="8" w:color="FEFEFE"/>
            </w:tcBorders>
            <w:shd w:val="clear" w:color="auto" w:fill="FEFEFE"/>
          </w:tcPr>
          <w:p>
            <w:pPr>
              <w:spacing w:after="0"/>
              <w:rPr>
                <w:sz w:val="10"/>
                <w:szCs w:val="10"/>
                <w:color w:val="auto"/>
              </w:rPr>
            </w:pPr>
          </w:p>
        </w:tc>
        <w:tc>
          <w:tcPr>
            <w:tcW w:w="8960" w:type="dxa"/>
            <w:vAlign w:val="bottom"/>
            <w:tcBorders>
              <w:top w:val="single" w:sz="8" w:color="0000FF"/>
            </w:tcBorders>
            <w:gridSpan w:val="3"/>
            <w:shd w:val="clear" w:color="auto" w:fill="FEFEFE"/>
          </w:tcPr>
          <w:p>
            <w:pPr>
              <w:spacing w:after="0" w:line="118" w:lineRule="exact"/>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Wilbur Investments LLC, VV Investment LLC, Virtu East MIP LLC, Virtu Employee Holdco LLC, TJMT Holdings LLC (f/k/a Virtu Holdings LLC), Virtu</w:t>
              </w:r>
            </w:hyperlink>
          </w:p>
        </w:tc>
        <w:tc>
          <w:tcPr>
            <w:tcW w:w="60" w:type="dxa"/>
            <w:vAlign w:val="bottom"/>
            <w:tcBorders>
              <w:top w:val="single" w:sz="8" w:color="FEFEFE"/>
            </w:tcBorders>
            <w:gridSpan w:val="2"/>
            <w:shd w:val="clear" w:color="auto" w:fill="FEFEFE"/>
          </w:tcPr>
          <w:p>
            <w:pPr>
              <w:spacing w:after="0"/>
              <w:rPr>
                <w:sz w:val="10"/>
                <w:szCs w:val="10"/>
                <w:color w:val="auto"/>
              </w:rPr>
            </w:pPr>
          </w:p>
        </w:tc>
        <w:tc>
          <w:tcPr>
            <w:tcW w:w="240" w:type="dxa"/>
            <w:vAlign w:val="bottom"/>
            <w:tcBorders>
              <w:top w:val="single" w:sz="8" w:color="FEFEFE"/>
            </w:tcBorders>
            <w:gridSpan w:val="2"/>
            <w:shd w:val="clear" w:color="auto" w:fill="FEFEFE"/>
          </w:tcPr>
          <w:p>
            <w:pPr>
              <w:spacing w:after="0"/>
              <w:rPr>
                <w:sz w:val="10"/>
                <w:szCs w:val="10"/>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Borders>
              <w:top w:val="single" w:sz="8" w:color="FEFEFE"/>
              <w:right w:val="single" w:sz="8" w:color="FEFEFE"/>
            </w:tcBorders>
            <w:shd w:val="clear" w:color="auto" w:fill="FEFEFE"/>
          </w:tcPr>
          <w:p>
            <w:pPr>
              <w:spacing w:after="0"/>
              <w:rPr>
                <w:sz w:val="10"/>
                <w:szCs w:val="10"/>
                <w:color w:val="auto"/>
              </w:rPr>
            </w:pPr>
          </w:p>
        </w:tc>
        <w:tc>
          <w:tcPr>
            <w:tcW w:w="8820" w:type="dxa"/>
            <w:vAlign w:val="bottom"/>
            <w:tcBorders>
              <w:top w:val="single" w:sz="8" w:color="0000FF"/>
            </w:tcBorders>
            <w:gridSpan w:val="2"/>
            <w:shd w:val="clear" w:color="auto" w:fill="FEFEFE"/>
          </w:tcPr>
          <w:p>
            <w:pPr>
              <w:spacing w:after="0" w:line="118" w:lineRule="exact"/>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Financial Holdings LLC and the Other Class A Members named therein (incorporated herein by reference to Exhibit 2.1 to the Company’s Quarterly Report</w:t>
              </w:r>
            </w:hyperlink>
          </w:p>
        </w:tc>
        <w:tc>
          <w:tcPr>
            <w:tcW w:w="440" w:type="dxa"/>
            <w:vAlign w:val="bottom"/>
            <w:tcBorders>
              <w:top w:val="single" w:sz="8" w:color="FEFEFE"/>
            </w:tcBorders>
            <w:gridSpan w:val="5"/>
            <w:shd w:val="clear" w:color="auto" w:fill="FEFEFE"/>
          </w:tcPr>
          <w:p>
            <w:pPr>
              <w:ind w:left="60"/>
              <w:spacing w:after="0" w:line="118" w:lineRule="exact"/>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on</w:t>
              </w:r>
            </w:hyperlink>
          </w:p>
        </w:tc>
      </w:tr>
      <w:tr>
        <w:trPr>
          <w:trHeight w:val="129"/>
        </w:trPr>
        <w:tc>
          <w:tcPr>
            <w:tcW w:w="1460" w:type="dxa"/>
            <w:vAlign w:val="bottom"/>
            <w:tcBorders>
              <w:top w:val="single" w:sz="8" w:color="FEFEFE"/>
            </w:tcBorders>
            <w:shd w:val="clear" w:color="auto" w:fill="FEFEFE"/>
          </w:tcPr>
          <w:p>
            <w:pPr>
              <w:spacing w:after="0"/>
              <w:rPr>
                <w:sz w:val="11"/>
                <w:szCs w:val="11"/>
                <w:color w:val="auto"/>
              </w:rPr>
            </w:pPr>
          </w:p>
        </w:tc>
        <w:tc>
          <w:tcPr>
            <w:tcW w:w="540" w:type="dxa"/>
            <w:vAlign w:val="bottom"/>
            <w:tcBorders>
              <w:top w:val="single" w:sz="8" w:color="FEFEFE"/>
              <w:right w:val="single" w:sz="8" w:color="FEFEFE"/>
            </w:tcBorders>
            <w:shd w:val="clear" w:color="auto" w:fill="FEFEFE"/>
          </w:tcPr>
          <w:p>
            <w:pPr>
              <w:spacing w:after="0"/>
              <w:rPr>
                <w:sz w:val="11"/>
                <w:szCs w:val="11"/>
                <w:color w:val="auto"/>
              </w:rPr>
            </w:pPr>
          </w:p>
        </w:tc>
        <w:tc>
          <w:tcPr>
            <w:tcW w:w="9020" w:type="dxa"/>
            <w:vAlign w:val="bottom"/>
            <w:tcBorders>
              <w:top w:val="single" w:sz="8" w:color="0000FF"/>
            </w:tcBorders>
            <w:gridSpan w:val="5"/>
            <w:shd w:val="clear" w:color="auto" w:fill="FEFEFE"/>
          </w:tcPr>
          <w:p>
            <w:pPr>
              <w:spacing w:after="0" w:line="12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Form 10-Q, as amended (File No. 001-37352), filed on May 29, 2015).</w:t>
              </w:r>
            </w:hyperlink>
          </w:p>
        </w:tc>
        <w:tc>
          <w:tcPr>
            <w:tcW w:w="240" w:type="dxa"/>
            <w:vAlign w:val="bottom"/>
            <w:tcBorders>
              <w:top w:val="single" w:sz="8" w:color="FEFEFE"/>
            </w:tcBorders>
            <w:gridSpan w:val="2"/>
            <w:shd w:val="clear" w:color="auto" w:fill="FEFEFE"/>
          </w:tcPr>
          <w:p>
            <w:pPr>
              <w:spacing w:after="0"/>
              <w:rPr>
                <w:sz w:val="11"/>
                <w:szCs w:val="11"/>
                <w:color w:val="auto"/>
              </w:rPr>
            </w:pPr>
          </w:p>
        </w:tc>
      </w:tr>
      <w:tr>
        <w:trPr>
          <w:trHeight w:val="32"/>
        </w:trPr>
        <w:tc>
          <w:tcPr>
            <w:tcW w:w="1460" w:type="dxa"/>
            <w:vAlign w:val="bottom"/>
            <w:shd w:val="clear" w:color="auto" w:fill="FEFEFE"/>
          </w:tcPr>
          <w:p>
            <w:pPr>
              <w:spacing w:after="0"/>
              <w:rPr>
                <w:sz w:val="2"/>
                <w:szCs w:val="2"/>
                <w:color w:val="auto"/>
              </w:rPr>
            </w:pPr>
          </w:p>
        </w:tc>
        <w:tc>
          <w:tcPr>
            <w:tcW w:w="540" w:type="dxa"/>
            <w:vAlign w:val="bottom"/>
            <w:tcBorders>
              <w:right w:val="single" w:sz="8" w:color="FEFEFE"/>
            </w:tcBorders>
            <w:shd w:val="clear" w:color="auto" w:fill="FEFEFE"/>
          </w:tcPr>
          <w:p>
            <w:pPr>
              <w:spacing w:after="0"/>
              <w:rPr>
                <w:sz w:val="2"/>
                <w:szCs w:val="2"/>
                <w:color w:val="auto"/>
              </w:rPr>
            </w:pPr>
          </w:p>
        </w:tc>
        <w:tc>
          <w:tcPr>
            <w:tcW w:w="4020" w:type="dxa"/>
            <w:vAlign w:val="bottom"/>
            <w:shd w:val="clear" w:color="auto" w:fill="0000FF"/>
          </w:tcPr>
          <w:p>
            <w:pPr>
              <w:spacing w:after="0"/>
              <w:rPr>
                <w:sz w:val="2"/>
                <w:szCs w:val="2"/>
                <w:color w:val="auto"/>
              </w:rPr>
            </w:pPr>
          </w:p>
        </w:tc>
        <w:tc>
          <w:tcPr>
            <w:tcW w:w="4800" w:type="dxa"/>
            <w:vAlign w:val="bottom"/>
            <w:shd w:val="clear" w:color="auto" w:fill="FEFEFE"/>
          </w:tcPr>
          <w:p>
            <w:pPr>
              <w:spacing w:after="0"/>
              <w:rPr>
                <w:sz w:val="2"/>
                <w:szCs w:val="2"/>
                <w:color w:val="auto"/>
              </w:rPr>
            </w:pPr>
          </w:p>
        </w:tc>
        <w:tc>
          <w:tcPr>
            <w:tcW w:w="14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80" w:type="dxa"/>
            <w:vAlign w:val="bottom"/>
            <w:shd w:val="clear" w:color="auto" w:fill="FEFEFE"/>
          </w:tcPr>
          <w:p>
            <w:pPr>
              <w:spacing w:after="0"/>
              <w:rPr>
                <w:sz w:val="2"/>
                <w:szCs w:val="2"/>
                <w:color w:val="auto"/>
              </w:rPr>
            </w:pPr>
          </w:p>
        </w:tc>
        <w:tc>
          <w:tcPr>
            <w:tcW w:w="160" w:type="dxa"/>
            <w:vAlign w:val="bottom"/>
            <w:shd w:val="clear" w:color="auto" w:fill="FEFEF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7148195" cy="39344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48195" cy="3934460"/>
                    </a:xfrm>
                    <a:prstGeom prst="rect">
                      <a:avLst/>
                    </a:prstGeom>
                    <a:noFill/>
                  </pic:spPr>
                </pic:pic>
              </a:graphicData>
            </a:graphic>
          </wp:anchor>
        </w:drawing>
      </w:r>
    </w:p>
    <w:p>
      <w:pPr>
        <w:ind w:left="20"/>
        <w:spacing w:after="0" w:line="223" w:lineRule="auto"/>
        <w:tabs>
          <w:tab w:leader="none" w:pos="1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2.2</w:t>
      </w:r>
      <w:r>
        <w:rPr>
          <w:sz w:val="20"/>
          <w:szCs w:val="20"/>
          <w:color w:val="auto"/>
        </w:rPr>
        <w:tab/>
      </w:r>
      <w:hyperlink r:id="rId197">
        <w:r>
          <w:rPr>
            <w:rFonts w:ascii="Times New Roman" w:cs="Times New Roman" w:eastAsia="Times New Roman" w:hAnsi="Times New Roman"/>
            <w:sz w:val="14"/>
            <w:szCs w:val="14"/>
            <w:u w:val="single" w:color="auto"/>
            <w:color w:val="0000FF"/>
          </w:rPr>
          <w:t>Merger Agreement, dated April 15, 2015, by and among Virtu Financial, Inc., Virtu Financial Merger Sub LLC, Virtu Financial Intermediate Holdings LLC, SLP</w:t>
        </w:r>
      </w:hyperlink>
    </w:p>
    <w:p>
      <w:pPr>
        <w:ind w:left="2000" w:right="500" w:firstLine="3"/>
        <w:spacing w:after="0" w:line="235" w:lineRule="auto"/>
        <w:tabs>
          <w:tab w:leader="none" w:pos="2177" w:val="left"/>
        </w:tabs>
        <w:numPr>
          <w:ilvl w:val="0"/>
          <w:numId w:val="46"/>
        </w:numPr>
        <w:rPr>
          <w:rFonts w:ascii="Times New Roman" w:cs="Times New Roman" w:eastAsia="Times New Roman" w:hAnsi="Times New Roman"/>
          <w:sz w:val="14"/>
          <w:szCs w:val="14"/>
          <w:u w:val="single" w:color="auto"/>
          <w:color w:val="0000FF"/>
        </w:rPr>
      </w:pPr>
      <w:hyperlink r:id="rId197">
        <w:r>
          <w:rPr>
            <w:rFonts w:ascii="Times New Roman" w:cs="Times New Roman" w:eastAsia="Times New Roman" w:hAnsi="Times New Roman"/>
            <w:sz w:val="14"/>
            <w:szCs w:val="14"/>
            <w:u w:val="single" w:color="auto"/>
            <w:color w:val="0000FF"/>
          </w:rPr>
          <w:t>EW Feeder Corp., SLP III EW Feeder I, L.P. and Havelock Fund Investments Pte Ltd (incorporated herein by reference to Exhibit 2.2 to the Company’s</w:t>
        </w:r>
      </w:hyperlink>
      <w:r>
        <w:rPr>
          <w:rFonts w:ascii="Times New Roman" w:cs="Times New Roman" w:eastAsia="Times New Roman" w:hAnsi="Times New Roman"/>
          <w:sz w:val="14"/>
          <w:szCs w:val="14"/>
          <w:u w:val="single" w:color="auto"/>
          <w:color w:val="0000FF"/>
        </w:rPr>
        <w:t xml:space="preserve"> </w:t>
      </w:r>
      <w:hyperlink r:id="rId197">
        <w:r>
          <w:rPr>
            <w:rFonts w:ascii="Times New Roman" w:cs="Times New Roman" w:eastAsia="Times New Roman" w:hAnsi="Times New Roman"/>
            <w:sz w:val="14"/>
            <w:szCs w:val="14"/>
            <w:u w:val="single" w:color="auto"/>
            <w:color w:val="0000FF"/>
          </w:rPr>
          <w:t>quarterly report on Form 10-Q, as amended (File No. 001-37352),filed on May 29, 2015).</w:t>
        </w:r>
      </w:hyperlink>
    </w:p>
    <w:tbl>
      <w:tblPr>
        <w:tblLayout w:type="fixed"/>
        <w:tblInd w:w="0" w:type="dxa"/>
        <w:tblCellMar>
          <w:top w:w="0" w:type="dxa"/>
          <w:left w:w="0" w:type="dxa"/>
          <w:bottom w:w="0" w:type="dxa"/>
          <w:right w:w="0" w:type="dxa"/>
        </w:tblCellMar>
      </w:tblPr>
      <w:tr>
        <w:trPr>
          <w:trHeight w:val="150"/>
        </w:trPr>
        <w:tc>
          <w:tcPr>
            <w:tcW w:w="146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2.3</w:t>
            </w:r>
          </w:p>
        </w:tc>
        <w:tc>
          <w:tcPr>
            <w:tcW w:w="560" w:type="dxa"/>
            <w:vAlign w:val="bottom"/>
            <w:tcBorders>
              <w:right w:val="single" w:sz="8" w:color="FEFEFE"/>
            </w:tcBorders>
          </w:tcPr>
          <w:p>
            <w:pPr>
              <w:spacing w:after="0"/>
              <w:rPr>
                <w:sz w:val="13"/>
                <w:szCs w:val="13"/>
                <w:color w:val="auto"/>
              </w:rPr>
            </w:pPr>
          </w:p>
        </w:tc>
        <w:tc>
          <w:tcPr>
            <w:tcW w:w="9240" w:type="dxa"/>
            <w:vAlign w:val="bottom"/>
            <w:tcBorders>
              <w:right w:val="single" w:sz="8" w:color="FEFEFE"/>
            </w:tcBorders>
            <w:gridSpan w:val="28"/>
            <w:shd w:val="clear" w:color="auto" w:fill="FEFEFE"/>
          </w:tcPr>
          <w:p>
            <w:pPr>
              <w:spacing w:after="0" w:line="151"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Merger Agreement, dated April 15, 2015, by and among Virtu Financial, Inc., Virtu Financial Merger Sub II LLC, Virtu Financial Intermediate Holdings II LLC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9060" w:type="dxa"/>
            <w:vAlign w:val="bottom"/>
            <w:tcBorders>
              <w:top w:val="single" w:sz="8" w:color="0000FF"/>
            </w:tcBorders>
            <w:gridSpan w:val="23"/>
            <w:shd w:val="clear" w:color="auto" w:fill="FEFEFE"/>
          </w:tcPr>
          <w:p>
            <w:pPr>
              <w:spacing w:after="0" w:line="118" w:lineRule="exact"/>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and Wilbur Investments LLC (incorporated herein by reference to Exhibit 2.3 to the Company’s Quarterly Report on Form 10-Q, as amended (File No. 001-</w:t>
              </w:r>
            </w:hyperlink>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560" w:type="dxa"/>
            <w:vAlign w:val="bottom"/>
            <w:tcBorders>
              <w:right w:val="single" w:sz="8" w:color="FEFEFE"/>
            </w:tcBorders>
          </w:tcPr>
          <w:p>
            <w:pPr>
              <w:spacing w:after="0"/>
              <w:rPr>
                <w:sz w:val="11"/>
                <w:szCs w:val="11"/>
                <w:color w:val="auto"/>
              </w:rPr>
            </w:pPr>
          </w:p>
        </w:tc>
        <w:tc>
          <w:tcPr>
            <w:tcW w:w="1800" w:type="dxa"/>
            <w:vAlign w:val="bottom"/>
            <w:tcBorders>
              <w:top w:val="single" w:sz="8" w:color="0000FF"/>
              <w:bottom w:val="single" w:sz="8" w:color="0000FF"/>
            </w:tcBorders>
            <w:gridSpan w:val="3"/>
            <w:shd w:val="clear" w:color="auto" w:fill="FEFEFE"/>
          </w:tcPr>
          <w:p>
            <w:pPr>
              <w:spacing w:after="0" w:line="129" w:lineRule="exact"/>
              <w:rPr>
                <w:rFonts w:ascii="Times New Roman" w:cs="Times New Roman" w:eastAsia="Times New Roman" w:hAnsi="Times New Roman"/>
                <w:sz w:val="14"/>
                <w:szCs w:val="14"/>
                <w:color w:val="0000FF"/>
                <w:w w:val="99"/>
              </w:rPr>
            </w:pPr>
            <w:hyperlink r:id="rId198">
              <w:r>
                <w:rPr>
                  <w:rFonts w:ascii="Times New Roman" w:cs="Times New Roman" w:eastAsia="Times New Roman" w:hAnsi="Times New Roman"/>
                  <w:sz w:val="14"/>
                  <w:szCs w:val="14"/>
                  <w:color w:val="0000FF"/>
                  <w:w w:val="99"/>
                </w:rPr>
                <w:t>37352)</w:t>
              </w:r>
              <w:r>
                <w:rPr>
                  <w:rFonts w:ascii="Times New Roman" w:cs="Times New Roman" w:eastAsia="Times New Roman" w:hAnsi="Times New Roman"/>
                  <w:sz w:val="14"/>
                  <w:szCs w:val="14"/>
                  <w:u w:val="single" w:color="auto"/>
                  <w:color w:val="0000FF"/>
                  <w:w w:val="99"/>
                </w:rPr>
                <w:t>,</w:t>
              </w:r>
              <w:r>
                <w:rPr>
                  <w:rFonts w:ascii="Times New Roman" w:cs="Times New Roman" w:eastAsia="Times New Roman" w:hAnsi="Times New Roman"/>
                  <w:sz w:val="14"/>
                  <w:szCs w:val="14"/>
                  <w:color w:val="0000FF"/>
                  <w:w w:val="99"/>
                </w:rPr>
                <w:t xml:space="preserve"> filed on May 29, 2015).</w:t>
              </w:r>
            </w:hyperlink>
          </w:p>
        </w:tc>
        <w:tc>
          <w:tcPr>
            <w:tcW w:w="7020" w:type="dxa"/>
            <w:vAlign w:val="bottom"/>
            <w:tcBorders>
              <w:top w:val="single" w:sz="8" w:color="0000FF"/>
              <w:bottom w:val="single" w:sz="8" w:color="FEFEFE"/>
            </w:tcBorders>
            <w:gridSpan w:val="12"/>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60" w:type="dxa"/>
            <w:vAlign w:val="bottom"/>
            <w:tcBorders>
              <w:top w:val="single" w:sz="8" w:color="FEFEFE"/>
              <w:bottom w:val="single" w:sz="8" w:color="FEFEFE"/>
            </w:tcBorders>
            <w:shd w:val="clear" w:color="auto" w:fill="FEFEFE"/>
          </w:tcPr>
          <w:p>
            <w:pPr>
              <w:spacing w:after="0"/>
              <w:rPr>
                <w:sz w:val="11"/>
                <w:szCs w:val="11"/>
                <w:color w:val="auto"/>
              </w:rPr>
            </w:pPr>
          </w:p>
        </w:tc>
        <w:tc>
          <w:tcPr>
            <w:tcW w:w="8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60" w:type="dxa"/>
            <w:vAlign w:val="bottom"/>
            <w:tcBorders>
              <w:top w:val="single" w:sz="8" w:color="FEFEFE"/>
              <w:bottom w:val="single" w:sz="8" w:color="FEFEFE"/>
            </w:tcBorders>
            <w:shd w:val="clear" w:color="auto" w:fill="FEFEFE"/>
          </w:tcPr>
          <w:p>
            <w:pPr>
              <w:spacing w:after="0"/>
              <w:rPr>
                <w:sz w:val="11"/>
                <w:szCs w:val="11"/>
                <w:color w:val="auto"/>
              </w:rPr>
            </w:pPr>
          </w:p>
        </w:tc>
        <w:tc>
          <w:tcPr>
            <w:tcW w:w="6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w:t>
            </w:r>
          </w:p>
        </w:tc>
        <w:tc>
          <w:tcPr>
            <w:tcW w:w="560" w:type="dxa"/>
            <w:vAlign w:val="bottom"/>
            <w:tcBorders>
              <w:right w:val="single" w:sz="8" w:color="FEFEFE"/>
            </w:tcBorders>
          </w:tcPr>
          <w:p>
            <w:pPr>
              <w:spacing w:after="0"/>
              <w:rPr>
                <w:sz w:val="13"/>
                <w:szCs w:val="13"/>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Agreement and Plan of Merger, dated April 20, 2017, by and among Virtu Financial, Inc., Orchestra Merger Sub, Inc. and KCG Holdings, Inc. (incorporated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7240" w:type="dxa"/>
            <w:vAlign w:val="bottom"/>
            <w:tcBorders>
              <w:top w:val="single" w:sz="8" w:color="0000FF"/>
              <w:bottom w:val="single" w:sz="8" w:color="0000FF"/>
            </w:tcBorders>
            <w:gridSpan w:val="11"/>
            <w:shd w:val="clear" w:color="auto" w:fill="FEFEFE"/>
          </w:tcPr>
          <w:p>
            <w:pPr>
              <w:spacing w:after="0" w:line="118" w:lineRule="exact"/>
              <w:rPr>
                <w:rFonts w:ascii="Times New Roman" w:cs="Times New Roman" w:eastAsia="Times New Roman" w:hAnsi="Times New Roman"/>
                <w:sz w:val="13"/>
                <w:szCs w:val="13"/>
                <w:color w:val="0000FF"/>
              </w:rPr>
            </w:pPr>
            <w:hyperlink r:id="rId199">
              <w:r>
                <w:rPr>
                  <w:rFonts w:ascii="Times New Roman" w:cs="Times New Roman" w:eastAsia="Times New Roman" w:hAnsi="Times New Roman"/>
                  <w:sz w:val="13"/>
                  <w:szCs w:val="13"/>
                  <w:color w:val="0000FF"/>
                </w:rPr>
                <w:t>herein by reference to Exhibit 2.1 to the Company’s Current Report on Form 8-K (File No. 001-37352) filed on April 21, 2017).</w:t>
              </w:r>
            </w:hyperlink>
          </w:p>
        </w:tc>
        <w:tc>
          <w:tcPr>
            <w:tcW w:w="1600" w:type="dxa"/>
            <w:vAlign w:val="bottom"/>
            <w:tcBorders>
              <w:top w:val="single" w:sz="8" w:color="0000FF"/>
              <w:bottom w:val="single" w:sz="8" w:color="FEFEFE"/>
            </w:tcBorders>
            <w:gridSpan w:val="5"/>
            <w:shd w:val="clear" w:color="auto" w:fill="FEFEFE"/>
          </w:tcPr>
          <w:p>
            <w:pPr>
              <w:spacing w:after="0"/>
              <w:rPr>
                <w:sz w:val="10"/>
                <w:szCs w:val="10"/>
                <w:color w:val="auto"/>
              </w:rPr>
            </w:pPr>
          </w:p>
        </w:tc>
        <w:tc>
          <w:tcPr>
            <w:tcW w:w="60" w:type="dxa"/>
            <w:vAlign w:val="bottom"/>
            <w:tcBorders>
              <w:top w:val="single" w:sz="8" w:color="FEFEFE"/>
              <w:bottom w:val="single" w:sz="8" w:color="FEFEFE"/>
            </w:tcBorders>
            <w:shd w:val="clear" w:color="auto" w:fill="FEFEFE"/>
          </w:tcPr>
          <w:p>
            <w:pPr>
              <w:spacing w:after="0"/>
              <w:rPr>
                <w:sz w:val="10"/>
                <w:szCs w:val="10"/>
                <w:color w:val="auto"/>
              </w:rPr>
            </w:pPr>
          </w:p>
        </w:tc>
        <w:tc>
          <w:tcPr>
            <w:tcW w:w="8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0" w:type="dxa"/>
            <w:vAlign w:val="bottom"/>
            <w:tcBorders>
              <w:top w:val="single" w:sz="8" w:color="FEFEFE"/>
              <w:bottom w:val="single" w:sz="8" w:color="FEFEFE"/>
            </w:tcBorders>
            <w:shd w:val="clear" w:color="auto" w:fill="FEFEFE"/>
          </w:tcPr>
          <w:p>
            <w:pPr>
              <w:spacing w:after="0"/>
              <w:rPr>
                <w:sz w:val="10"/>
                <w:szCs w:val="10"/>
                <w:color w:val="auto"/>
              </w:rPr>
            </w:pPr>
          </w:p>
        </w:tc>
        <w:tc>
          <w:tcPr>
            <w:tcW w:w="4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60" w:type="dxa"/>
            <w:vAlign w:val="bottom"/>
            <w:tcBorders>
              <w:top w:val="single" w:sz="8" w:color="FEFEFE"/>
              <w:bottom w:val="single" w:sz="8" w:color="FEFEFE"/>
            </w:tcBorders>
            <w:shd w:val="clear" w:color="auto" w:fill="FEFEFE"/>
          </w:tcPr>
          <w:p>
            <w:pPr>
              <w:spacing w:after="0"/>
              <w:rPr>
                <w:sz w:val="10"/>
                <w:szCs w:val="10"/>
                <w:color w:val="auto"/>
              </w:rPr>
            </w:pPr>
          </w:p>
        </w:tc>
        <w:tc>
          <w:tcPr>
            <w:tcW w:w="6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w:t>
            </w:r>
          </w:p>
        </w:tc>
        <w:tc>
          <w:tcPr>
            <w:tcW w:w="560" w:type="dxa"/>
            <w:vAlign w:val="bottom"/>
            <w:tcBorders>
              <w:right w:val="single" w:sz="8" w:color="FEFEFE"/>
            </w:tcBorders>
          </w:tcPr>
          <w:p>
            <w:pPr>
              <w:spacing w:after="0"/>
              <w:rPr>
                <w:sz w:val="14"/>
                <w:szCs w:val="14"/>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Temasek Investment Agreement, dated April 20, 2017, by and between Virtu Financial, Inc. and Aranda Investments Pte. Ltd. (incorporated herein by reference to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9180" w:type="dxa"/>
            <w:vAlign w:val="bottom"/>
            <w:tcBorders>
              <w:top w:val="single" w:sz="8" w:color="0000FF"/>
            </w:tcBorders>
            <w:gridSpan w:val="27"/>
            <w:shd w:val="clear" w:color="auto" w:fill="FEFEFE"/>
          </w:tcPr>
          <w:p>
            <w:pPr>
              <w:spacing w:after="0" w:line="118" w:lineRule="exact"/>
              <w:rPr>
                <w:rFonts w:ascii="Times New Roman" w:cs="Times New Roman" w:eastAsia="Times New Roman" w:hAnsi="Times New Roman"/>
                <w:sz w:val="13"/>
                <w:szCs w:val="13"/>
                <w:color w:val="0000FF"/>
              </w:rPr>
            </w:pPr>
            <w:hyperlink r:id="rId200">
              <w:r>
                <w:rPr>
                  <w:rFonts w:ascii="Times New Roman" w:cs="Times New Roman" w:eastAsia="Times New Roman" w:hAnsi="Times New Roman"/>
                  <w:sz w:val="13"/>
                  <w:szCs w:val="13"/>
                  <w:color w:val="0000FF"/>
                </w:rPr>
                <w:t>Exhibit 2.2 to the Company’s Quarterly Report on Form 10-Q (File No. 001-37352) filed on May 10, 2017).</w:t>
              </w:r>
            </w:hyperlink>
          </w:p>
        </w:tc>
        <w:tc>
          <w:tcPr>
            <w:tcW w:w="60" w:type="dxa"/>
            <w:vAlign w:val="bottom"/>
            <w:tcBorders>
              <w:top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660" w:type="dxa"/>
            <w:vAlign w:val="bottom"/>
            <w:gridSpan w:val="2"/>
            <w:shd w:val="clear" w:color="auto" w:fill="FEFEFE"/>
          </w:tcPr>
          <w:p>
            <w:pPr>
              <w:spacing w:after="0" w:line="20" w:lineRule="exact"/>
              <w:rPr>
                <w:sz w:val="1"/>
                <w:szCs w:val="1"/>
                <w:color w:val="auto"/>
              </w:rPr>
            </w:pPr>
          </w:p>
        </w:tc>
        <w:tc>
          <w:tcPr>
            <w:tcW w:w="680" w:type="dxa"/>
            <w:vAlign w:val="bottom"/>
            <w:shd w:val="clear" w:color="auto" w:fill="FEFEFE"/>
          </w:tcPr>
          <w:p>
            <w:pPr>
              <w:spacing w:after="0" w:line="20" w:lineRule="exact"/>
              <w:rPr>
                <w:sz w:val="1"/>
                <w:szCs w:val="1"/>
                <w:color w:val="auto"/>
              </w:rPr>
            </w:pPr>
          </w:p>
        </w:tc>
        <w:tc>
          <w:tcPr>
            <w:tcW w:w="440" w:type="dxa"/>
            <w:vAlign w:val="bottom"/>
            <w:shd w:val="clear" w:color="auto" w:fill="FEFEFE"/>
          </w:tcPr>
          <w:p>
            <w:pPr>
              <w:spacing w:after="0" w:line="20" w:lineRule="exact"/>
              <w:rPr>
                <w:sz w:val="1"/>
                <w:szCs w:val="1"/>
                <w:color w:val="auto"/>
              </w:rPr>
            </w:pPr>
          </w:p>
        </w:tc>
        <w:tc>
          <w:tcPr>
            <w:tcW w:w="200" w:type="dxa"/>
            <w:vAlign w:val="bottom"/>
            <w:gridSpan w:val="3"/>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2.6</w:t>
            </w:r>
          </w:p>
        </w:tc>
        <w:tc>
          <w:tcPr>
            <w:tcW w:w="560" w:type="dxa"/>
            <w:vAlign w:val="bottom"/>
            <w:tcBorders>
              <w:right w:val="single" w:sz="8" w:color="FEFEFE"/>
            </w:tcBorders>
          </w:tcPr>
          <w:p>
            <w:pPr>
              <w:spacing w:after="0"/>
              <w:rPr>
                <w:sz w:val="14"/>
                <w:szCs w:val="14"/>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Agreement and Plan of Merger, dated November 6, 2018, by and among Virtu Financial, Inc., Impala Merger Sub, Inc. and Investment Technology Group,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8980" w:type="dxa"/>
            <w:vAlign w:val="bottom"/>
            <w:tcBorders>
              <w:top w:val="single" w:sz="8" w:color="0000FF"/>
            </w:tcBorders>
            <w:gridSpan w:val="18"/>
            <w:shd w:val="clear" w:color="auto" w:fill="FEFEFE"/>
          </w:tcPr>
          <w:p>
            <w:pPr>
              <w:spacing w:after="0" w:line="118" w:lineRule="exact"/>
              <w:rPr>
                <w:rFonts w:ascii="Times New Roman" w:cs="Times New Roman" w:eastAsia="Times New Roman" w:hAnsi="Times New Roman"/>
                <w:sz w:val="13"/>
                <w:szCs w:val="13"/>
                <w:color w:val="0000FF"/>
              </w:rPr>
            </w:pPr>
            <w:hyperlink r:id="rId201">
              <w:r>
                <w:rPr>
                  <w:rFonts w:ascii="Times New Roman" w:cs="Times New Roman" w:eastAsia="Times New Roman" w:hAnsi="Times New Roman"/>
                  <w:sz w:val="13"/>
                  <w:szCs w:val="13"/>
                  <w:color w:val="0000FF"/>
                </w:rPr>
                <w:t>(incorporated herein by reference to Exhibit 2.1 to the Company’s Current Report on Form 8-K (File No. 001-37352) filed on November 8, 2018).</w:t>
              </w:r>
            </w:hyperlink>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0" w:type="dxa"/>
            <w:vAlign w:val="bottom"/>
            <w:tcBorders>
              <w:top w:val="single" w:sz="8" w:color="FEFEFE"/>
            </w:tcBorders>
            <w:shd w:val="clear" w:color="auto" w:fill="FEFEFE"/>
          </w:tcPr>
          <w:p>
            <w:pPr>
              <w:spacing w:after="0"/>
              <w:rPr>
                <w:sz w:val="10"/>
                <w:szCs w:val="10"/>
                <w:color w:val="auto"/>
              </w:rPr>
            </w:pPr>
          </w:p>
        </w:tc>
        <w:tc>
          <w:tcPr>
            <w:tcW w:w="40" w:type="dxa"/>
            <w:vAlign w:val="bottom"/>
            <w:tcBorders>
              <w:top w:val="single" w:sz="8" w:color="FEFEFE"/>
            </w:tcBorders>
            <w:gridSpan w:val="2"/>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shd w:val="clear" w:color="auto" w:fill="FEFEFE"/>
          </w:tcPr>
          <w:p>
            <w:pPr>
              <w:spacing w:after="0" w:line="20" w:lineRule="exact"/>
              <w:rPr>
                <w:sz w:val="1"/>
                <w:szCs w:val="1"/>
                <w:color w:val="auto"/>
              </w:rPr>
            </w:pPr>
          </w:p>
        </w:tc>
        <w:tc>
          <w:tcPr>
            <w:tcW w:w="200" w:type="dxa"/>
            <w:vAlign w:val="bottom"/>
            <w:gridSpan w:val="3"/>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560" w:type="dxa"/>
            <w:vAlign w:val="bottom"/>
            <w:tcBorders>
              <w:right w:val="single" w:sz="8" w:color="FEFEFE"/>
            </w:tcBorders>
          </w:tcPr>
          <w:p>
            <w:pPr>
              <w:spacing w:after="0"/>
              <w:rPr>
                <w:sz w:val="14"/>
                <w:szCs w:val="14"/>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Second Amended and Restated Certificate of Incorporation of the Registrant (incorporated herein by reference to Exhibit 3.1 to the Company’s Quarterly Report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9080" w:type="dxa"/>
            <w:vAlign w:val="bottom"/>
            <w:tcBorders>
              <w:top w:val="single" w:sz="8" w:color="0000FF"/>
            </w:tcBorders>
            <w:gridSpan w:val="24"/>
            <w:shd w:val="clear" w:color="auto" w:fill="FEFEFE"/>
          </w:tcPr>
          <w:p>
            <w:pPr>
              <w:spacing w:after="0" w:line="118" w:lineRule="exact"/>
              <w:rPr>
                <w:rFonts w:ascii="Times New Roman" w:cs="Times New Roman" w:eastAsia="Times New Roman" w:hAnsi="Times New Roman"/>
                <w:sz w:val="13"/>
                <w:szCs w:val="13"/>
                <w:color w:val="0000FF"/>
              </w:rPr>
            </w:pPr>
            <w:hyperlink r:id="rId202">
              <w:r>
                <w:rPr>
                  <w:rFonts w:ascii="Times New Roman" w:cs="Times New Roman" w:eastAsia="Times New Roman" w:hAnsi="Times New Roman"/>
                  <w:sz w:val="13"/>
                  <w:szCs w:val="13"/>
                  <w:color w:val="0000FF"/>
                </w:rPr>
                <w:t>on Form 10-Q (File No. 001-37352), filed on July 28, 2023).</w:t>
              </w:r>
            </w:hyperlink>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400" w:type="dxa"/>
            <w:vAlign w:val="bottom"/>
            <w:shd w:val="clear" w:color="auto" w:fill="FEFEFE"/>
          </w:tcPr>
          <w:p>
            <w:pPr>
              <w:spacing w:after="0" w:line="20" w:lineRule="exact"/>
              <w:rPr>
                <w:sz w:val="1"/>
                <w:szCs w:val="1"/>
                <w:color w:val="auto"/>
              </w:rPr>
            </w:pPr>
          </w:p>
        </w:tc>
        <w:tc>
          <w:tcPr>
            <w:tcW w:w="2540" w:type="dxa"/>
            <w:vAlign w:val="bottom"/>
            <w:gridSpan w:val="2"/>
            <w:shd w:val="clear" w:color="auto" w:fill="FEFEFE"/>
          </w:tcPr>
          <w:p>
            <w:pPr>
              <w:spacing w:after="0" w:line="20" w:lineRule="exact"/>
              <w:rPr>
                <w:sz w:val="1"/>
                <w:szCs w:val="1"/>
                <w:color w:val="auto"/>
              </w:rPr>
            </w:pPr>
          </w:p>
        </w:tc>
        <w:tc>
          <w:tcPr>
            <w:tcW w:w="660" w:type="dxa"/>
            <w:vAlign w:val="bottom"/>
            <w:gridSpan w:val="2"/>
            <w:shd w:val="clear" w:color="auto" w:fill="FEFEFE"/>
          </w:tcPr>
          <w:p>
            <w:pPr>
              <w:spacing w:after="0" w:line="20" w:lineRule="exact"/>
              <w:rPr>
                <w:sz w:val="1"/>
                <w:szCs w:val="1"/>
                <w:color w:val="auto"/>
              </w:rPr>
            </w:pPr>
          </w:p>
        </w:tc>
        <w:tc>
          <w:tcPr>
            <w:tcW w:w="1120" w:type="dxa"/>
            <w:vAlign w:val="bottom"/>
            <w:gridSpan w:val="2"/>
            <w:shd w:val="clear" w:color="auto" w:fill="FEFEFE"/>
          </w:tcPr>
          <w:p>
            <w:pPr>
              <w:spacing w:after="0" w:line="20" w:lineRule="exact"/>
              <w:rPr>
                <w:sz w:val="1"/>
                <w:szCs w:val="1"/>
                <w:color w:val="auto"/>
              </w:rPr>
            </w:pPr>
          </w:p>
        </w:tc>
        <w:tc>
          <w:tcPr>
            <w:tcW w:w="200" w:type="dxa"/>
            <w:vAlign w:val="bottom"/>
            <w:gridSpan w:val="3"/>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560" w:type="dxa"/>
            <w:vAlign w:val="bottom"/>
            <w:tcBorders>
              <w:right w:val="single" w:sz="8" w:color="FEFEFE"/>
            </w:tcBorders>
          </w:tcPr>
          <w:p>
            <w:pPr>
              <w:spacing w:after="0"/>
              <w:rPr>
                <w:sz w:val="14"/>
                <w:szCs w:val="14"/>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Amended and Restated By-laws of the Registrant (incorporated herein by reference to Exhibit 3.2 to the Company’s Quarterly Report on Form 10-Q, as amended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9120" w:type="dxa"/>
            <w:vAlign w:val="bottom"/>
            <w:tcBorders>
              <w:top w:val="single" w:sz="8" w:color="0000FF"/>
            </w:tcBorders>
            <w:gridSpan w:val="26"/>
            <w:shd w:val="clear" w:color="auto" w:fill="FEFEFE"/>
          </w:tcPr>
          <w:p>
            <w:pPr>
              <w:spacing w:after="0" w:line="118" w:lineRule="exact"/>
              <w:rPr>
                <w:rFonts w:ascii="Times New Roman" w:cs="Times New Roman" w:eastAsia="Times New Roman" w:hAnsi="Times New Roman"/>
                <w:sz w:val="13"/>
                <w:szCs w:val="13"/>
                <w:color w:val="0000FF"/>
              </w:rPr>
            </w:pPr>
            <w:hyperlink r:id="rId203">
              <w:r>
                <w:rPr>
                  <w:rFonts w:ascii="Times New Roman" w:cs="Times New Roman" w:eastAsia="Times New Roman" w:hAnsi="Times New Roman"/>
                  <w:sz w:val="13"/>
                  <w:szCs w:val="13"/>
                  <w:color w:val="0000FF"/>
                </w:rPr>
                <w:t>(File No. 001-37352), filed on May 29, 2015).</w:t>
              </w:r>
            </w:hyperlink>
          </w:p>
        </w:tc>
        <w:tc>
          <w:tcPr>
            <w:tcW w:w="6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FEFEFE"/>
          </w:tcPr>
          <w:p>
            <w:pPr>
              <w:spacing w:after="0" w:line="20" w:lineRule="exact"/>
              <w:rPr>
                <w:sz w:val="1"/>
                <w:szCs w:val="1"/>
                <w:color w:val="auto"/>
              </w:rPr>
            </w:pPr>
          </w:p>
        </w:tc>
        <w:tc>
          <w:tcPr>
            <w:tcW w:w="1100" w:type="dxa"/>
            <w:vAlign w:val="bottom"/>
            <w:gridSpan w:val="2"/>
            <w:shd w:val="clear" w:color="auto" w:fill="FEFEFE"/>
          </w:tcPr>
          <w:p>
            <w:pPr>
              <w:spacing w:after="0" w:line="20" w:lineRule="exact"/>
              <w:rPr>
                <w:sz w:val="1"/>
                <w:szCs w:val="1"/>
                <w:color w:val="auto"/>
              </w:rPr>
            </w:pPr>
          </w:p>
        </w:tc>
        <w:tc>
          <w:tcPr>
            <w:tcW w:w="400" w:type="dxa"/>
            <w:vAlign w:val="bottom"/>
            <w:shd w:val="clear" w:color="auto" w:fill="FEFEFE"/>
          </w:tcPr>
          <w:p>
            <w:pPr>
              <w:spacing w:after="0" w:line="20" w:lineRule="exact"/>
              <w:rPr>
                <w:sz w:val="1"/>
                <w:szCs w:val="1"/>
                <w:color w:val="auto"/>
              </w:rPr>
            </w:pPr>
          </w:p>
        </w:tc>
        <w:tc>
          <w:tcPr>
            <w:tcW w:w="2540" w:type="dxa"/>
            <w:vAlign w:val="bottom"/>
            <w:gridSpan w:val="2"/>
            <w:shd w:val="clear" w:color="auto" w:fill="FEFEFE"/>
          </w:tcPr>
          <w:p>
            <w:pPr>
              <w:spacing w:after="0" w:line="20" w:lineRule="exact"/>
              <w:rPr>
                <w:sz w:val="1"/>
                <w:szCs w:val="1"/>
                <w:color w:val="auto"/>
              </w:rPr>
            </w:pPr>
          </w:p>
        </w:tc>
        <w:tc>
          <w:tcPr>
            <w:tcW w:w="660" w:type="dxa"/>
            <w:vAlign w:val="bottom"/>
            <w:gridSpan w:val="2"/>
            <w:shd w:val="clear" w:color="auto" w:fill="FEFEFE"/>
          </w:tcPr>
          <w:p>
            <w:pPr>
              <w:spacing w:after="0" w:line="20" w:lineRule="exact"/>
              <w:rPr>
                <w:sz w:val="1"/>
                <w:szCs w:val="1"/>
                <w:color w:val="auto"/>
              </w:rPr>
            </w:pPr>
          </w:p>
        </w:tc>
        <w:tc>
          <w:tcPr>
            <w:tcW w:w="1120" w:type="dxa"/>
            <w:vAlign w:val="bottom"/>
            <w:gridSpan w:val="2"/>
            <w:shd w:val="clear" w:color="auto" w:fill="FEFEFE"/>
          </w:tcPr>
          <w:p>
            <w:pPr>
              <w:spacing w:after="0" w:line="20" w:lineRule="exact"/>
              <w:rPr>
                <w:sz w:val="1"/>
                <w:szCs w:val="1"/>
                <w:color w:val="auto"/>
              </w:rPr>
            </w:pPr>
          </w:p>
        </w:tc>
        <w:tc>
          <w:tcPr>
            <w:tcW w:w="200" w:type="dxa"/>
            <w:vAlign w:val="bottom"/>
            <w:gridSpan w:val="3"/>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560" w:type="dxa"/>
            <w:vAlign w:val="bottom"/>
            <w:tcBorders>
              <w:right w:val="single" w:sz="8" w:color="FEFEFE"/>
            </w:tcBorders>
          </w:tcPr>
          <w:p>
            <w:pPr>
              <w:spacing w:after="0"/>
              <w:rPr>
                <w:sz w:val="14"/>
                <w:szCs w:val="14"/>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Description of the Capital Stock (incorporated herein by reference to Exhibit 4.1 to the Company’s Annual Report on Form 10-K (File No. 001-37352) filed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9020" w:type="dxa"/>
            <w:vAlign w:val="bottom"/>
            <w:tcBorders>
              <w:top w:val="single" w:sz="8" w:color="0000FF"/>
            </w:tcBorders>
            <w:gridSpan w:val="20"/>
            <w:shd w:val="clear" w:color="auto" w:fill="FEFEFE"/>
          </w:tcPr>
          <w:p>
            <w:pPr>
              <w:spacing w:after="0" w:line="118" w:lineRule="exact"/>
              <w:rPr>
                <w:rFonts w:ascii="Times New Roman" w:cs="Times New Roman" w:eastAsia="Times New Roman" w:hAnsi="Times New Roman"/>
                <w:sz w:val="13"/>
                <w:szCs w:val="13"/>
                <w:color w:val="0000FF"/>
              </w:rPr>
            </w:pPr>
            <w:hyperlink r:id="rId204">
              <w:r>
                <w:rPr>
                  <w:rFonts w:ascii="Times New Roman" w:cs="Times New Roman" w:eastAsia="Times New Roman" w:hAnsi="Times New Roman"/>
                  <w:sz w:val="13"/>
                  <w:szCs w:val="13"/>
                  <w:color w:val="0000FF"/>
                </w:rPr>
                <w:t>February 28, 2020).</w:t>
              </w:r>
            </w:hyperlink>
          </w:p>
        </w:tc>
        <w:tc>
          <w:tcPr>
            <w:tcW w:w="20" w:type="dxa"/>
            <w:vAlign w:val="bottom"/>
            <w:tcBorders>
              <w:top w:val="single" w:sz="8" w:color="FEFEFE"/>
            </w:tcBorders>
            <w:shd w:val="clear" w:color="auto" w:fill="FEFEFE"/>
          </w:tcPr>
          <w:p>
            <w:pPr>
              <w:spacing w:after="0"/>
              <w:rPr>
                <w:sz w:val="10"/>
                <w:szCs w:val="10"/>
                <w:color w:val="auto"/>
              </w:rPr>
            </w:pPr>
          </w:p>
        </w:tc>
        <w:tc>
          <w:tcPr>
            <w:tcW w:w="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tcBorders>
            <w:gridSpan w:val="3"/>
            <w:shd w:val="clear" w:color="auto" w:fill="FEFEFE"/>
          </w:tcPr>
          <w:p>
            <w:pPr>
              <w:spacing w:after="0"/>
              <w:rPr>
                <w:sz w:val="10"/>
                <w:szCs w:val="10"/>
                <w:color w:val="auto"/>
              </w:rPr>
            </w:pPr>
          </w:p>
        </w:tc>
        <w:tc>
          <w:tcPr>
            <w:tcW w:w="80" w:type="dxa"/>
            <w:vAlign w:val="bottom"/>
            <w:tcBorders>
              <w:top w:val="single" w:sz="8" w:color="FEFEFE"/>
            </w:tcBorders>
            <w:gridSpan w:val="2"/>
            <w:shd w:val="clear" w:color="auto" w:fill="FEFEFE"/>
          </w:tcPr>
          <w:p>
            <w:pPr>
              <w:spacing w:after="0"/>
              <w:rPr>
                <w:sz w:val="10"/>
                <w:szCs w:val="10"/>
                <w:color w:val="auto"/>
              </w:rPr>
            </w:pPr>
          </w:p>
        </w:tc>
        <w:tc>
          <w:tcPr>
            <w:tcW w:w="60" w:type="dxa"/>
            <w:vAlign w:val="bottom"/>
            <w:tcBorders>
              <w:top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80" w:type="dxa"/>
            <w:vAlign w:val="bottom"/>
            <w:gridSpan w:val="3"/>
            <w:shd w:val="clear" w:color="auto" w:fill="FEFEFE"/>
          </w:tcPr>
          <w:p>
            <w:pPr>
              <w:spacing w:after="0" w:line="20" w:lineRule="exact"/>
              <w:rPr>
                <w:sz w:val="1"/>
                <w:szCs w:val="1"/>
                <w:color w:val="auto"/>
              </w:rPr>
            </w:pPr>
          </w:p>
        </w:tc>
        <w:tc>
          <w:tcPr>
            <w:tcW w:w="1100" w:type="dxa"/>
            <w:vAlign w:val="bottom"/>
            <w:gridSpan w:val="2"/>
            <w:shd w:val="clear" w:color="auto" w:fill="FEFEFE"/>
          </w:tcPr>
          <w:p>
            <w:pPr>
              <w:spacing w:after="0" w:line="20" w:lineRule="exact"/>
              <w:rPr>
                <w:sz w:val="1"/>
                <w:szCs w:val="1"/>
                <w:color w:val="auto"/>
              </w:rPr>
            </w:pPr>
          </w:p>
        </w:tc>
        <w:tc>
          <w:tcPr>
            <w:tcW w:w="400" w:type="dxa"/>
            <w:vAlign w:val="bottom"/>
            <w:shd w:val="clear" w:color="auto" w:fill="FEFEFE"/>
          </w:tcPr>
          <w:p>
            <w:pPr>
              <w:spacing w:after="0" w:line="20" w:lineRule="exact"/>
              <w:rPr>
                <w:sz w:val="1"/>
                <w:szCs w:val="1"/>
                <w:color w:val="auto"/>
              </w:rPr>
            </w:pPr>
          </w:p>
        </w:tc>
        <w:tc>
          <w:tcPr>
            <w:tcW w:w="2540" w:type="dxa"/>
            <w:vAlign w:val="bottom"/>
            <w:gridSpan w:val="2"/>
            <w:shd w:val="clear" w:color="auto" w:fill="FEFEFE"/>
          </w:tcPr>
          <w:p>
            <w:pPr>
              <w:spacing w:after="0" w:line="20" w:lineRule="exact"/>
              <w:rPr>
                <w:sz w:val="1"/>
                <w:szCs w:val="1"/>
                <w:color w:val="auto"/>
              </w:rPr>
            </w:pPr>
          </w:p>
        </w:tc>
        <w:tc>
          <w:tcPr>
            <w:tcW w:w="660" w:type="dxa"/>
            <w:vAlign w:val="bottom"/>
            <w:gridSpan w:val="2"/>
            <w:shd w:val="clear" w:color="auto" w:fill="FEFEFE"/>
          </w:tcPr>
          <w:p>
            <w:pPr>
              <w:spacing w:after="0" w:line="20" w:lineRule="exact"/>
              <w:rPr>
                <w:sz w:val="1"/>
                <w:szCs w:val="1"/>
                <w:color w:val="auto"/>
              </w:rPr>
            </w:pPr>
          </w:p>
        </w:tc>
        <w:tc>
          <w:tcPr>
            <w:tcW w:w="1120" w:type="dxa"/>
            <w:vAlign w:val="bottom"/>
            <w:gridSpan w:val="2"/>
            <w:shd w:val="clear" w:color="auto" w:fill="FEFEFE"/>
          </w:tcPr>
          <w:p>
            <w:pPr>
              <w:spacing w:after="0" w:line="20" w:lineRule="exact"/>
              <w:rPr>
                <w:sz w:val="1"/>
                <w:szCs w:val="1"/>
                <w:color w:val="auto"/>
              </w:rPr>
            </w:pPr>
          </w:p>
        </w:tc>
        <w:tc>
          <w:tcPr>
            <w:tcW w:w="200" w:type="dxa"/>
            <w:vAlign w:val="bottom"/>
            <w:gridSpan w:val="3"/>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0" w:type="dxa"/>
            <w:vAlign w:val="bottom"/>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1460" w:type="dxa"/>
            <w:vAlign w:val="bottom"/>
          </w:tcPr>
          <w:p>
            <w:pPr>
              <w:spacing w:after="0" w:line="20" w:lineRule="exact"/>
              <w:rPr>
                <w:sz w:val="1"/>
                <w:szCs w:val="1"/>
                <w:color w:val="auto"/>
              </w:rPr>
            </w:pPr>
          </w:p>
        </w:tc>
        <w:tc>
          <w:tcPr>
            <w:tcW w:w="560" w:type="dxa"/>
            <w:vAlign w:val="bottom"/>
            <w:tcBorders>
              <w:right w:val="single" w:sz="8" w:color="FEFEFE"/>
            </w:tcBorders>
            <w:vMerge w:val="restart"/>
          </w:tcPr>
          <w:p>
            <w:pPr>
              <w:spacing w:after="0" w:line="20" w:lineRule="exact"/>
              <w:rPr>
                <w:sz w:val="1"/>
                <w:szCs w:val="1"/>
                <w:color w:val="auto"/>
              </w:rPr>
            </w:pPr>
          </w:p>
        </w:tc>
        <w:tc>
          <w:tcPr>
            <w:tcW w:w="9240" w:type="dxa"/>
            <w:vAlign w:val="bottom"/>
            <w:tcBorders>
              <w:right w:val="single" w:sz="8" w:color="FEFEFE"/>
            </w:tcBorders>
            <w:gridSpan w:val="28"/>
            <w:vMerge w:val="restart"/>
            <w:shd w:val="clear" w:color="auto" w:fill="FEFEFE"/>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Indenture, dated as of June 21, 2024, by and among Virtu Financial LLC, as Holdings, VFH Parent LLC, as Issuer, Valor Co-Issuer, Inc., as Co-Issuer, the</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60" w:type="dxa"/>
            <w:vAlign w:val="bottom"/>
            <w:shd w:val="clear" w:color="auto" w:fill="FEFEFE"/>
          </w:tcPr>
          <w:p>
            <w:pPr>
              <w:ind w:left="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560" w:type="dxa"/>
            <w:vAlign w:val="bottom"/>
            <w:tcBorders>
              <w:right w:val="single" w:sz="8" w:color="FEFEFE"/>
            </w:tcBorders>
            <w:vMerge w:val="continue"/>
          </w:tcPr>
          <w:p>
            <w:pPr>
              <w:spacing w:after="0"/>
              <w:rPr>
                <w:sz w:val="12"/>
                <w:szCs w:val="12"/>
                <w:color w:val="auto"/>
              </w:rPr>
            </w:pPr>
          </w:p>
        </w:tc>
        <w:tc>
          <w:tcPr>
            <w:tcW w:w="9240" w:type="dxa"/>
            <w:vAlign w:val="bottom"/>
            <w:tcBorders>
              <w:right w:val="single" w:sz="8" w:color="FEFEFE"/>
            </w:tcBorders>
            <w:gridSpan w:val="28"/>
            <w:vMerge w:val="continue"/>
            <w:shd w:val="clear" w:color="auto" w:fill="FEFEF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EFEFE"/>
          </w:tcPr>
          <w:p>
            <w:pPr>
              <w:spacing w:after="0" w:line="20" w:lineRule="exact"/>
              <w:rPr>
                <w:sz w:val="1"/>
                <w:szCs w:val="1"/>
                <w:color w:val="auto"/>
              </w:rPr>
            </w:pPr>
          </w:p>
        </w:tc>
        <w:tc>
          <w:tcPr>
            <w:tcW w:w="560" w:type="dxa"/>
            <w:vAlign w:val="bottom"/>
            <w:tcBorders>
              <w:right w:val="single" w:sz="8" w:color="FEFEF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0" w:type="dxa"/>
            <w:vAlign w:val="bottom"/>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460" w:type="dxa"/>
            <w:vAlign w:val="bottom"/>
            <w:shd w:val="clear" w:color="auto" w:fill="FEFEFE"/>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9240" w:type="dxa"/>
            <w:vAlign w:val="bottom"/>
            <w:tcBorders>
              <w:right w:val="single" w:sz="8" w:color="FEFEFE"/>
            </w:tcBorders>
            <w:gridSpan w:val="28"/>
            <w:shd w:val="clear" w:color="auto" w:fill="FEFEFE"/>
          </w:tcPr>
          <w:p>
            <w:pPr>
              <w:spacing w:after="0" w:line="118" w:lineRule="exact"/>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Subsidiary Guarantors, and U.S. Bank National Association, as Trustee and Collateral Agent (incorporated herein by reference to Exhibit 4.1 to the Company’s</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60" w:type="dxa"/>
            <w:vAlign w:val="bottom"/>
            <w:tcBorders>
              <w:top w:val="single" w:sz="8" w:color="FEFEFE"/>
            </w:tcBorders>
            <w:shd w:val="clear" w:color="auto" w:fill="FEFEFE"/>
          </w:tcPr>
          <w:p>
            <w:pPr>
              <w:spacing w:after="0"/>
              <w:rPr>
                <w:sz w:val="11"/>
                <w:szCs w:val="11"/>
                <w:color w:val="auto"/>
              </w:rPr>
            </w:pPr>
          </w:p>
        </w:tc>
        <w:tc>
          <w:tcPr>
            <w:tcW w:w="560" w:type="dxa"/>
            <w:vAlign w:val="bottom"/>
            <w:tcBorders>
              <w:right w:val="single" w:sz="8" w:color="FEFEFE"/>
            </w:tcBorders>
          </w:tcPr>
          <w:p>
            <w:pPr>
              <w:spacing w:after="0"/>
              <w:rPr>
                <w:sz w:val="11"/>
                <w:szCs w:val="11"/>
                <w:color w:val="auto"/>
              </w:rPr>
            </w:pPr>
          </w:p>
        </w:tc>
        <w:tc>
          <w:tcPr>
            <w:tcW w:w="9000" w:type="dxa"/>
            <w:vAlign w:val="bottom"/>
            <w:tcBorders>
              <w:top w:val="single" w:sz="8" w:color="0000FF"/>
            </w:tcBorders>
            <w:gridSpan w:val="19"/>
            <w:shd w:val="clear" w:color="auto" w:fill="FEFEFE"/>
          </w:tcPr>
          <w:p>
            <w:pPr>
              <w:spacing w:after="0" w:line="129"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Quarterly Report on Form 10-Q (File No. 001-37352) filed on July 26, 2024)</w:t>
              </w:r>
            </w:hyperlink>
            <w:hyperlink r:id="rId205">
              <w:r>
                <w:rPr>
                  <w:rFonts w:ascii="Times New Roman" w:cs="Times New Roman" w:eastAsia="Times New Roman" w:hAnsi="Times New Roman"/>
                  <w:sz w:val="14"/>
                  <w:szCs w:val="14"/>
                  <w:color w:val="0000FF"/>
                </w:rPr>
                <w:t>.</w:t>
              </w:r>
            </w:hyperlink>
          </w:p>
        </w:tc>
        <w:tc>
          <w:tcPr>
            <w:tcW w:w="40" w:type="dxa"/>
            <w:vAlign w:val="bottom"/>
            <w:tcBorders>
              <w:top w:val="single" w:sz="8" w:color="FEFEFE"/>
            </w:tcBorders>
            <w:gridSpan w:val="2"/>
            <w:shd w:val="clear" w:color="auto" w:fill="FEFEFE"/>
          </w:tcPr>
          <w:p>
            <w:pPr>
              <w:spacing w:after="0"/>
              <w:rPr>
                <w:sz w:val="11"/>
                <w:szCs w:val="11"/>
                <w:color w:val="auto"/>
              </w:rPr>
            </w:pPr>
          </w:p>
        </w:tc>
        <w:tc>
          <w:tcPr>
            <w:tcW w:w="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3"/>
            <w:shd w:val="clear" w:color="auto" w:fill="FEFEFE"/>
          </w:tcPr>
          <w:p>
            <w:pPr>
              <w:spacing w:after="0"/>
              <w:rPr>
                <w:sz w:val="11"/>
                <w:szCs w:val="11"/>
                <w:color w:val="auto"/>
              </w:rPr>
            </w:pPr>
          </w:p>
        </w:tc>
        <w:tc>
          <w:tcPr>
            <w:tcW w:w="80" w:type="dxa"/>
            <w:vAlign w:val="bottom"/>
            <w:tcBorders>
              <w:top w:val="single" w:sz="8" w:color="FEFEFE"/>
            </w:tcBorders>
            <w:gridSpan w:val="2"/>
            <w:shd w:val="clear" w:color="auto" w:fill="FEFEFE"/>
          </w:tcPr>
          <w:p>
            <w:pPr>
              <w:spacing w:after="0"/>
              <w:rPr>
                <w:sz w:val="11"/>
                <w:szCs w:val="11"/>
                <w:color w:val="auto"/>
              </w:rPr>
            </w:pPr>
          </w:p>
        </w:tc>
        <w:tc>
          <w:tcPr>
            <w:tcW w:w="6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FEFEFE"/>
            </w:tcBorders>
            <w:shd w:val="clear" w:color="auto" w:fill="FEFEFE"/>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60" w:type="dxa"/>
            <w:vAlign w:val="bottom"/>
            <w:tcBorders>
              <w:bottom w:val="single" w:sz="8" w:color="FEFEFE"/>
            </w:tcBorders>
            <w:shd w:val="clear" w:color="auto" w:fill="0000FF"/>
          </w:tcPr>
          <w:p>
            <w:pPr>
              <w:spacing w:after="0" w:line="20" w:lineRule="exact"/>
              <w:rPr>
                <w:sz w:val="1"/>
                <w:szCs w:val="1"/>
                <w:color w:val="auto"/>
              </w:rPr>
            </w:pPr>
          </w:p>
        </w:tc>
        <w:tc>
          <w:tcPr>
            <w:tcW w:w="2320" w:type="dxa"/>
            <w:vAlign w:val="bottom"/>
            <w:tcBorders>
              <w:bottom w:val="single" w:sz="8" w:color="FEFEFE"/>
            </w:tcBorders>
            <w:gridSpan w:val="4"/>
            <w:shd w:val="clear" w:color="auto" w:fill="0000FF"/>
          </w:tcPr>
          <w:p>
            <w:pPr>
              <w:spacing w:after="0" w:line="20" w:lineRule="exact"/>
              <w:rPr>
                <w:sz w:val="1"/>
                <w:szCs w:val="1"/>
                <w:color w:val="auto"/>
              </w:rPr>
            </w:pPr>
          </w:p>
        </w:tc>
        <w:tc>
          <w:tcPr>
            <w:tcW w:w="1100" w:type="dxa"/>
            <w:vAlign w:val="bottom"/>
            <w:tcBorders>
              <w:bottom w:val="single" w:sz="8" w:color="FEFEFE"/>
            </w:tcBorders>
            <w:gridSpan w:val="2"/>
            <w:shd w:val="clear" w:color="auto" w:fill="0000FF"/>
          </w:tcPr>
          <w:p>
            <w:pPr>
              <w:spacing w:after="0" w:line="20" w:lineRule="exact"/>
              <w:rPr>
                <w:sz w:val="1"/>
                <w:szCs w:val="1"/>
                <w:color w:val="auto"/>
              </w:rPr>
            </w:pPr>
          </w:p>
        </w:tc>
        <w:tc>
          <w:tcPr>
            <w:tcW w:w="400" w:type="dxa"/>
            <w:vAlign w:val="bottom"/>
            <w:tcBorders>
              <w:bottom w:val="single" w:sz="8" w:color="FEFEFE"/>
            </w:tcBorders>
            <w:shd w:val="clear" w:color="auto" w:fill="0000FF"/>
          </w:tcPr>
          <w:p>
            <w:pPr>
              <w:spacing w:after="0" w:line="20" w:lineRule="exact"/>
              <w:rPr>
                <w:sz w:val="1"/>
                <w:szCs w:val="1"/>
                <w:color w:val="auto"/>
              </w:rPr>
            </w:pPr>
          </w:p>
        </w:tc>
        <w:tc>
          <w:tcPr>
            <w:tcW w:w="2540" w:type="dxa"/>
            <w:vAlign w:val="bottom"/>
            <w:tcBorders>
              <w:bottom w:val="single" w:sz="8" w:color="FEFEFE"/>
            </w:tcBorders>
            <w:gridSpan w:val="2"/>
            <w:shd w:val="clear" w:color="auto" w:fill="FEFEFE"/>
          </w:tcPr>
          <w:p>
            <w:pPr>
              <w:spacing w:after="0" w:line="20" w:lineRule="exact"/>
              <w:rPr>
                <w:sz w:val="1"/>
                <w:szCs w:val="1"/>
                <w:color w:val="auto"/>
              </w:rPr>
            </w:pPr>
          </w:p>
        </w:tc>
        <w:tc>
          <w:tcPr>
            <w:tcW w:w="660" w:type="dxa"/>
            <w:vAlign w:val="bottom"/>
            <w:tcBorders>
              <w:bottom w:val="single" w:sz="8" w:color="FEFEFE"/>
            </w:tcBorders>
            <w:gridSpan w:val="2"/>
            <w:shd w:val="clear" w:color="auto" w:fill="FEFEFE"/>
          </w:tcPr>
          <w:p>
            <w:pPr>
              <w:spacing w:after="0" w:line="20" w:lineRule="exact"/>
              <w:rPr>
                <w:sz w:val="1"/>
                <w:szCs w:val="1"/>
                <w:color w:val="auto"/>
              </w:rPr>
            </w:pPr>
          </w:p>
        </w:tc>
        <w:tc>
          <w:tcPr>
            <w:tcW w:w="1320" w:type="dxa"/>
            <w:vAlign w:val="bottom"/>
            <w:tcBorders>
              <w:bottom w:val="single" w:sz="8" w:color="FEFEFE"/>
            </w:tcBorders>
            <w:gridSpan w:val="5"/>
            <w:shd w:val="clear" w:color="auto" w:fill="FEFEFE"/>
          </w:tcPr>
          <w:p>
            <w:pPr>
              <w:spacing w:after="0" w:line="20" w:lineRule="exact"/>
              <w:rPr>
                <w:sz w:val="1"/>
                <w:szCs w:val="1"/>
                <w:color w:val="auto"/>
              </w:rPr>
            </w:pPr>
          </w:p>
        </w:tc>
        <w:tc>
          <w:tcPr>
            <w:tcW w:w="140" w:type="dxa"/>
            <w:vAlign w:val="bottom"/>
            <w:tcBorders>
              <w:bottom w:val="single" w:sz="8" w:color="FEFEFE"/>
            </w:tcBorders>
            <w:gridSpan w:val="4"/>
            <w:shd w:val="clear" w:color="auto" w:fill="FEFEFE"/>
          </w:tcPr>
          <w:p>
            <w:pPr>
              <w:spacing w:after="0" w:line="20" w:lineRule="exact"/>
              <w:rPr>
                <w:sz w:val="1"/>
                <w:szCs w:val="1"/>
                <w:color w:val="auto"/>
              </w:rPr>
            </w:pPr>
          </w:p>
        </w:tc>
        <w:tc>
          <w:tcPr>
            <w:tcW w:w="0" w:type="dxa"/>
            <w:vAlign w:val="bottom"/>
            <w:tcBorders>
              <w:bottom w:val="single" w:sz="8" w:color="FEFEFE"/>
            </w:tcBorders>
            <w:shd w:val="clear" w:color="auto" w:fill="FEFEFE"/>
          </w:tcPr>
          <w:p>
            <w:pPr>
              <w:spacing w:after="0" w:line="20" w:lineRule="exact"/>
              <w:rPr>
                <w:sz w:val="1"/>
                <w:szCs w:val="1"/>
                <w:color w:val="auto"/>
              </w:rPr>
            </w:pPr>
          </w:p>
        </w:tc>
        <w:tc>
          <w:tcPr>
            <w:tcW w:w="60" w:type="dxa"/>
            <w:vAlign w:val="bottom"/>
            <w:tcBorders>
              <w:bottom w:val="single" w:sz="8" w:color="FEFEFE"/>
            </w:tcBorders>
            <w:gridSpan w:val="3"/>
            <w:shd w:val="clear" w:color="auto" w:fill="FEFEFE"/>
          </w:tcPr>
          <w:p>
            <w:pPr>
              <w:spacing w:after="0" w:line="20" w:lineRule="exact"/>
              <w:rPr>
                <w:sz w:val="1"/>
                <w:szCs w:val="1"/>
                <w:color w:val="auto"/>
              </w:rPr>
            </w:pPr>
          </w:p>
        </w:tc>
        <w:tc>
          <w:tcPr>
            <w:tcW w:w="80" w:type="dxa"/>
            <w:vAlign w:val="bottom"/>
            <w:tcBorders>
              <w:bottom w:val="single" w:sz="8" w:color="FEFEFE"/>
            </w:tcBorders>
            <w:gridSpan w:val="2"/>
            <w:shd w:val="clear" w:color="auto" w:fill="FEFEFE"/>
          </w:tcPr>
          <w:p>
            <w:pPr>
              <w:spacing w:after="0" w:line="20" w:lineRule="exact"/>
              <w:rPr>
                <w:sz w:val="1"/>
                <w:szCs w:val="1"/>
                <w:color w:val="auto"/>
              </w:rPr>
            </w:pPr>
          </w:p>
        </w:tc>
        <w:tc>
          <w:tcPr>
            <w:tcW w:w="60" w:type="dxa"/>
            <w:vAlign w:val="bottom"/>
            <w:tcBorders>
              <w:bottom w:val="single" w:sz="8" w:color="FEFEFE"/>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46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10.1†</w:t>
            </w:r>
          </w:p>
        </w:tc>
        <w:tc>
          <w:tcPr>
            <w:tcW w:w="560" w:type="dxa"/>
            <w:vAlign w:val="bottom"/>
            <w:tcBorders>
              <w:right w:val="single" w:sz="8" w:color="FEFEFE"/>
            </w:tcBorders>
          </w:tcPr>
          <w:p>
            <w:pPr>
              <w:spacing w:after="0"/>
              <w:rPr>
                <w:sz w:val="12"/>
                <w:szCs w:val="12"/>
                <w:color w:val="auto"/>
              </w:rPr>
            </w:pPr>
          </w:p>
        </w:tc>
        <w:tc>
          <w:tcPr>
            <w:tcW w:w="9240" w:type="dxa"/>
            <w:vAlign w:val="bottom"/>
            <w:tcBorders>
              <w:right w:val="single" w:sz="8" w:color="FEFEFE"/>
            </w:tcBorders>
            <w:gridSpan w:val="28"/>
            <w:shd w:val="clear" w:color="auto" w:fill="FEFEFE"/>
          </w:tcPr>
          <w:p>
            <w:pPr>
              <w:spacing w:after="0" w:line="141"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Virtu Financial, Inc. Amended and Restated 2015 Management Incentive Plan (incorporated herein by reference to Exhibit 4.3 to the Company’s Registration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8900" w:type="dxa"/>
            <w:vAlign w:val="bottom"/>
            <w:tcBorders>
              <w:top w:val="single" w:sz="8" w:color="0000FF"/>
            </w:tcBorders>
            <w:gridSpan w:val="17"/>
            <w:shd w:val="clear" w:color="auto" w:fill="FEFEFE"/>
          </w:tcPr>
          <w:p>
            <w:pPr>
              <w:spacing w:after="0" w:line="118" w:lineRule="exact"/>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Statement on Form S-8 (File No. 333-219110) filed on June 30, 2017).</w:t>
              </w:r>
            </w:hyperlink>
          </w:p>
        </w:tc>
        <w:tc>
          <w:tcPr>
            <w:tcW w:w="140" w:type="dxa"/>
            <w:vAlign w:val="bottom"/>
            <w:tcBorders>
              <w:top w:val="single" w:sz="8" w:color="FEFEFE"/>
            </w:tcBorders>
            <w:gridSpan w:val="4"/>
            <w:shd w:val="clear" w:color="auto" w:fill="FEFEFE"/>
          </w:tcPr>
          <w:p>
            <w:pPr>
              <w:spacing w:after="0"/>
              <w:rPr>
                <w:sz w:val="10"/>
                <w:szCs w:val="10"/>
                <w:color w:val="auto"/>
              </w:rPr>
            </w:pPr>
          </w:p>
        </w:tc>
        <w:tc>
          <w:tcPr>
            <w:tcW w:w="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tcBorders>
            <w:gridSpan w:val="3"/>
            <w:shd w:val="clear" w:color="auto" w:fill="FEFEFE"/>
          </w:tcPr>
          <w:p>
            <w:pPr>
              <w:spacing w:after="0"/>
              <w:rPr>
                <w:sz w:val="10"/>
                <w:szCs w:val="10"/>
                <w:color w:val="auto"/>
              </w:rPr>
            </w:pPr>
          </w:p>
        </w:tc>
        <w:tc>
          <w:tcPr>
            <w:tcW w:w="80" w:type="dxa"/>
            <w:vAlign w:val="bottom"/>
            <w:tcBorders>
              <w:top w:val="single" w:sz="8" w:color="FEFEFE"/>
            </w:tcBorders>
            <w:gridSpan w:val="2"/>
            <w:shd w:val="clear" w:color="auto" w:fill="FEFEFE"/>
          </w:tcPr>
          <w:p>
            <w:pPr>
              <w:spacing w:after="0"/>
              <w:rPr>
                <w:sz w:val="10"/>
                <w:szCs w:val="10"/>
                <w:color w:val="auto"/>
              </w:rPr>
            </w:pPr>
          </w:p>
        </w:tc>
        <w:tc>
          <w:tcPr>
            <w:tcW w:w="60" w:type="dxa"/>
            <w:vAlign w:val="bottom"/>
            <w:tcBorders>
              <w:top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940" w:type="dxa"/>
            <w:vAlign w:val="bottom"/>
            <w:gridSpan w:val="3"/>
            <w:shd w:val="clear" w:color="auto" w:fill="FEFEFE"/>
          </w:tcPr>
          <w:p>
            <w:pPr>
              <w:spacing w:after="0" w:line="20" w:lineRule="exact"/>
              <w:rPr>
                <w:sz w:val="1"/>
                <w:szCs w:val="1"/>
                <w:color w:val="auto"/>
              </w:rPr>
            </w:pPr>
          </w:p>
        </w:tc>
        <w:tc>
          <w:tcPr>
            <w:tcW w:w="660" w:type="dxa"/>
            <w:vAlign w:val="bottom"/>
            <w:gridSpan w:val="2"/>
            <w:shd w:val="clear" w:color="auto" w:fill="FEFEFE"/>
          </w:tcPr>
          <w:p>
            <w:pPr>
              <w:spacing w:after="0" w:line="20" w:lineRule="exact"/>
              <w:rPr>
                <w:sz w:val="1"/>
                <w:szCs w:val="1"/>
                <w:color w:val="auto"/>
              </w:rPr>
            </w:pPr>
          </w:p>
        </w:tc>
        <w:tc>
          <w:tcPr>
            <w:tcW w:w="1460" w:type="dxa"/>
            <w:vAlign w:val="bottom"/>
            <w:gridSpan w:val="9"/>
            <w:shd w:val="clear" w:color="auto" w:fill="FEFEFE"/>
          </w:tcPr>
          <w:p>
            <w:pPr>
              <w:spacing w:after="0" w:line="20" w:lineRule="exact"/>
              <w:rPr>
                <w:sz w:val="1"/>
                <w:szCs w:val="1"/>
                <w:color w:val="auto"/>
              </w:rPr>
            </w:pPr>
          </w:p>
        </w:tc>
        <w:tc>
          <w:tcPr>
            <w:tcW w:w="0" w:type="dxa"/>
            <w:vAlign w:val="bottom"/>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560" w:type="dxa"/>
            <w:vAlign w:val="bottom"/>
            <w:tcBorders>
              <w:right w:val="single" w:sz="8" w:color="FEFEFE"/>
            </w:tcBorders>
          </w:tcPr>
          <w:p>
            <w:pPr>
              <w:spacing w:after="0"/>
              <w:rPr>
                <w:sz w:val="14"/>
                <w:szCs w:val="14"/>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Virtu Financial, Inc. Amended and Restated 2015 Management Incentive Plan Form of Restricted Stock Unit and Common Stock Award Agreement (incorporated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7580" w:type="dxa"/>
            <w:vAlign w:val="bottom"/>
            <w:tcBorders>
              <w:top w:val="single" w:sz="8" w:color="0000FF"/>
              <w:bottom w:val="single" w:sz="8" w:color="0000FF"/>
            </w:tcBorders>
            <w:gridSpan w:val="12"/>
            <w:shd w:val="clear" w:color="auto" w:fill="FEFEFE"/>
          </w:tcPr>
          <w:p>
            <w:pPr>
              <w:spacing w:after="0" w:line="118" w:lineRule="exact"/>
              <w:rPr>
                <w:rFonts w:ascii="Times New Roman" w:cs="Times New Roman" w:eastAsia="Times New Roman" w:hAnsi="Times New Roman"/>
                <w:sz w:val="13"/>
                <w:szCs w:val="13"/>
                <w:color w:val="0000FF"/>
              </w:rPr>
            </w:pPr>
            <w:hyperlink r:id="rId208">
              <w:r>
                <w:rPr>
                  <w:rFonts w:ascii="Times New Roman" w:cs="Times New Roman" w:eastAsia="Times New Roman" w:hAnsi="Times New Roman"/>
                  <w:sz w:val="13"/>
                  <w:szCs w:val="13"/>
                  <w:color w:val="0000FF"/>
                </w:rPr>
                <w:t>herein by reference to Exhibit 10.4 to the Company’s Annual Report on Form 10-K (File No. 001-37352) filed on February 25, 2021).</w:t>
              </w:r>
            </w:hyperlink>
          </w:p>
        </w:tc>
        <w:tc>
          <w:tcPr>
            <w:tcW w:w="1660" w:type="dxa"/>
            <w:vAlign w:val="bottom"/>
            <w:tcBorders>
              <w:top w:val="single" w:sz="8" w:color="0000FF"/>
              <w:bottom w:val="single" w:sz="8" w:color="FEFEFE"/>
              <w:right w:val="single" w:sz="8" w:color="FEFEFE"/>
            </w:tcBorders>
            <w:gridSpan w:val="16"/>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560" w:type="dxa"/>
            <w:vAlign w:val="bottom"/>
            <w:tcBorders>
              <w:right w:val="single" w:sz="8" w:color="FEFEFE"/>
            </w:tcBorders>
          </w:tcPr>
          <w:p>
            <w:pPr>
              <w:spacing w:after="0"/>
              <w:rPr>
                <w:sz w:val="14"/>
                <w:szCs w:val="14"/>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Form of Indemnification Agreement (incorporated herein by reference to Exhibit 10.2 to the Company’s Amendment No. 2 to Form S-1 Registration Statement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9040" w:type="dxa"/>
            <w:vAlign w:val="bottom"/>
            <w:tcBorders>
              <w:top w:val="single" w:sz="8" w:color="0000FF"/>
            </w:tcBorders>
            <w:gridSpan w:val="21"/>
            <w:shd w:val="clear" w:color="auto" w:fill="FEFEFE"/>
          </w:tcPr>
          <w:p>
            <w:pPr>
              <w:spacing w:after="0" w:line="118" w:lineRule="exact"/>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(File No. 333-194473) filed on February 20, 2015).</w:t>
              </w:r>
            </w:hyperlink>
          </w:p>
        </w:tc>
        <w:tc>
          <w:tcPr>
            <w:tcW w:w="0" w:type="dxa"/>
            <w:vAlign w:val="bottom"/>
            <w:tcBorders>
              <w:top w:val="single" w:sz="8" w:color="FEFEFE"/>
            </w:tcBorders>
            <w:shd w:val="clear" w:color="auto" w:fill="FEFEFE"/>
          </w:tcPr>
          <w:p>
            <w:pPr>
              <w:spacing w:after="0"/>
              <w:rPr>
                <w:sz w:val="10"/>
                <w:szCs w:val="10"/>
                <w:color w:val="auto"/>
              </w:rPr>
            </w:pPr>
          </w:p>
        </w:tc>
        <w:tc>
          <w:tcPr>
            <w:tcW w:w="60" w:type="dxa"/>
            <w:vAlign w:val="bottom"/>
            <w:tcBorders>
              <w:top w:val="single" w:sz="8" w:color="FEFEFE"/>
            </w:tcBorders>
            <w:gridSpan w:val="3"/>
            <w:shd w:val="clear" w:color="auto" w:fill="FEFEFE"/>
          </w:tcPr>
          <w:p>
            <w:pPr>
              <w:spacing w:after="0"/>
              <w:rPr>
                <w:sz w:val="10"/>
                <w:szCs w:val="10"/>
                <w:color w:val="auto"/>
              </w:rPr>
            </w:pPr>
          </w:p>
        </w:tc>
        <w:tc>
          <w:tcPr>
            <w:tcW w:w="80" w:type="dxa"/>
            <w:vAlign w:val="bottom"/>
            <w:tcBorders>
              <w:top w:val="single" w:sz="8" w:color="FEFEFE"/>
            </w:tcBorders>
            <w:gridSpan w:val="2"/>
            <w:shd w:val="clear" w:color="auto" w:fill="FEFEFE"/>
          </w:tcPr>
          <w:p>
            <w:pPr>
              <w:spacing w:after="0"/>
              <w:rPr>
                <w:sz w:val="10"/>
                <w:szCs w:val="10"/>
                <w:color w:val="auto"/>
              </w:rPr>
            </w:pPr>
          </w:p>
        </w:tc>
        <w:tc>
          <w:tcPr>
            <w:tcW w:w="60" w:type="dxa"/>
            <w:vAlign w:val="bottom"/>
            <w:tcBorders>
              <w:top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4040" w:type="dxa"/>
            <w:vAlign w:val="bottom"/>
            <w:gridSpan w:val="5"/>
            <w:shd w:val="clear" w:color="auto" w:fill="FEFEFE"/>
          </w:tcPr>
          <w:p>
            <w:pPr>
              <w:spacing w:after="0" w:line="20" w:lineRule="exact"/>
              <w:rPr>
                <w:sz w:val="1"/>
                <w:szCs w:val="1"/>
                <w:color w:val="auto"/>
              </w:rPr>
            </w:pPr>
          </w:p>
        </w:tc>
        <w:tc>
          <w:tcPr>
            <w:tcW w:w="2120" w:type="dxa"/>
            <w:vAlign w:val="bottom"/>
            <w:gridSpan w:val="12"/>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560" w:type="dxa"/>
            <w:vAlign w:val="bottom"/>
            <w:tcBorders>
              <w:right w:val="single" w:sz="8" w:color="FEFEFE"/>
            </w:tcBorders>
          </w:tcPr>
          <w:p>
            <w:pPr>
              <w:spacing w:after="0"/>
              <w:rPr>
                <w:sz w:val="14"/>
                <w:szCs w:val="14"/>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Credit Agreement, dated January 13, 2022, among Virtu Financial LLC, as Holdings, VFH Parent LLC, as Borrower, the Lenders, Issuing Banks and Swingline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9040" w:type="dxa"/>
            <w:vAlign w:val="bottom"/>
            <w:tcBorders>
              <w:top w:val="single" w:sz="8" w:color="0000FF"/>
              <w:bottom w:val="single" w:sz="8" w:color="0000FF"/>
            </w:tcBorders>
            <w:gridSpan w:val="22"/>
            <w:shd w:val="clear" w:color="auto" w:fill="FEFEFE"/>
          </w:tcPr>
          <w:p>
            <w:pPr>
              <w:spacing w:after="0" w:line="118" w:lineRule="exact"/>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Lender Party Hereto, and JPMorgan Chase Bank, N.A., as Administrative Agent, and Jefferies Finance LLC and RBC Capital Markets, as Joint Lead Arrangers</w:t>
              </w:r>
            </w:hyperlink>
          </w:p>
        </w:tc>
        <w:tc>
          <w:tcPr>
            <w:tcW w:w="60" w:type="dxa"/>
            <w:vAlign w:val="bottom"/>
            <w:tcBorders>
              <w:top w:val="single" w:sz="8" w:color="FEFEFE"/>
              <w:bottom w:val="single" w:sz="8" w:color="FEFEFE"/>
            </w:tcBorders>
            <w:gridSpan w:val="3"/>
            <w:shd w:val="clear" w:color="auto" w:fill="FEFEFE"/>
          </w:tcPr>
          <w:p>
            <w:pPr>
              <w:spacing w:after="0"/>
              <w:rPr>
                <w:sz w:val="10"/>
                <w:szCs w:val="10"/>
                <w:color w:val="auto"/>
              </w:rPr>
            </w:pPr>
          </w:p>
        </w:tc>
        <w:tc>
          <w:tcPr>
            <w:tcW w:w="8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6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560" w:type="dxa"/>
            <w:vAlign w:val="bottom"/>
            <w:tcBorders>
              <w:right w:val="single" w:sz="8" w:color="FEFEFE"/>
            </w:tcBorders>
          </w:tcPr>
          <w:p>
            <w:pPr>
              <w:spacing w:after="0"/>
              <w:rPr>
                <w:sz w:val="11"/>
                <w:szCs w:val="11"/>
                <w:color w:val="auto"/>
              </w:rPr>
            </w:pPr>
          </w:p>
        </w:tc>
        <w:tc>
          <w:tcPr>
            <w:tcW w:w="9240" w:type="dxa"/>
            <w:vAlign w:val="bottom"/>
            <w:tcBorders>
              <w:right w:val="single" w:sz="8" w:color="FEFEFE"/>
            </w:tcBorders>
            <w:gridSpan w:val="28"/>
            <w:shd w:val="clear" w:color="auto" w:fill="FEFEFE"/>
          </w:tcPr>
          <w:p>
            <w:pPr>
              <w:spacing w:after="0" w:line="12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and Joint Bookrunners (incorporated herein by reference to Exhibit 10.11 to the Company’s Annual Report on Form 10-K (File No. 001-37352), filed on February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60" w:type="dxa"/>
            <w:vAlign w:val="bottom"/>
            <w:tcBorders>
              <w:right w:val="single" w:sz="8" w:color="FEFEFE"/>
            </w:tcBorders>
          </w:tcPr>
          <w:p>
            <w:pPr>
              <w:spacing w:after="0"/>
              <w:rPr>
                <w:sz w:val="10"/>
                <w:szCs w:val="10"/>
                <w:color w:val="auto"/>
              </w:rPr>
            </w:pPr>
          </w:p>
        </w:tc>
        <w:tc>
          <w:tcPr>
            <w:tcW w:w="560" w:type="dxa"/>
            <w:vAlign w:val="bottom"/>
            <w:tcBorders>
              <w:top w:val="single" w:sz="8" w:color="0000FF"/>
              <w:bottom w:val="single" w:sz="8" w:color="0000FF"/>
            </w:tcBorders>
            <w:shd w:val="clear" w:color="auto" w:fill="FEFEFE"/>
          </w:tcPr>
          <w:p>
            <w:pPr>
              <w:spacing w:after="0" w:line="118" w:lineRule="exact"/>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18, 2022).</w:t>
              </w:r>
            </w:hyperlink>
          </w:p>
        </w:tc>
        <w:tc>
          <w:tcPr>
            <w:tcW w:w="540" w:type="dxa"/>
            <w:vAlign w:val="bottom"/>
            <w:tcBorders>
              <w:top w:val="single" w:sz="8" w:color="0000FF"/>
              <w:bottom w:val="single" w:sz="8" w:color="FEFEFE"/>
            </w:tcBorders>
            <w:shd w:val="clear" w:color="auto" w:fill="FEFEFE"/>
          </w:tcPr>
          <w:p>
            <w:pPr>
              <w:spacing w:after="0"/>
              <w:rPr>
                <w:sz w:val="10"/>
                <w:szCs w:val="10"/>
                <w:color w:val="auto"/>
              </w:rPr>
            </w:pPr>
          </w:p>
        </w:tc>
        <w:tc>
          <w:tcPr>
            <w:tcW w:w="700" w:type="dxa"/>
            <w:vAlign w:val="bottom"/>
            <w:tcBorders>
              <w:top w:val="single" w:sz="8" w:color="0000FF"/>
              <w:bottom w:val="single" w:sz="8" w:color="FEFEFE"/>
            </w:tcBorders>
            <w:shd w:val="clear" w:color="auto" w:fill="FEFEFE"/>
          </w:tcPr>
          <w:p>
            <w:pPr>
              <w:spacing w:after="0"/>
              <w:rPr>
                <w:sz w:val="10"/>
                <w:szCs w:val="10"/>
                <w:color w:val="auto"/>
              </w:rPr>
            </w:pPr>
          </w:p>
        </w:tc>
        <w:tc>
          <w:tcPr>
            <w:tcW w:w="800" w:type="dxa"/>
            <w:vAlign w:val="bottom"/>
            <w:tcBorders>
              <w:top w:val="single" w:sz="8" w:color="0000FF"/>
              <w:bottom w:val="single" w:sz="8" w:color="FEFEFE"/>
            </w:tcBorders>
            <w:shd w:val="clear" w:color="auto" w:fill="FEFEFE"/>
          </w:tcPr>
          <w:p>
            <w:pPr>
              <w:spacing w:after="0"/>
              <w:rPr>
                <w:sz w:val="10"/>
                <w:szCs w:val="10"/>
                <w:color w:val="auto"/>
              </w:rPr>
            </w:pPr>
          </w:p>
        </w:tc>
        <w:tc>
          <w:tcPr>
            <w:tcW w:w="280" w:type="dxa"/>
            <w:vAlign w:val="bottom"/>
            <w:tcBorders>
              <w:top w:val="single" w:sz="8" w:color="0000FF"/>
              <w:bottom w:val="single" w:sz="8" w:color="FEFEFE"/>
            </w:tcBorders>
            <w:shd w:val="clear" w:color="auto" w:fill="FEFEFE"/>
          </w:tcPr>
          <w:p>
            <w:pPr>
              <w:spacing w:after="0"/>
              <w:rPr>
                <w:sz w:val="10"/>
                <w:szCs w:val="10"/>
                <w:color w:val="auto"/>
              </w:rPr>
            </w:pPr>
          </w:p>
        </w:tc>
        <w:tc>
          <w:tcPr>
            <w:tcW w:w="540" w:type="dxa"/>
            <w:vAlign w:val="bottom"/>
            <w:tcBorders>
              <w:top w:val="single" w:sz="8" w:color="0000FF"/>
              <w:bottom w:val="single" w:sz="8" w:color="FEFEFE"/>
            </w:tcBorders>
            <w:shd w:val="clear" w:color="auto" w:fill="FEFEFE"/>
          </w:tcPr>
          <w:p>
            <w:pPr>
              <w:spacing w:after="0"/>
              <w:rPr>
                <w:sz w:val="10"/>
                <w:szCs w:val="10"/>
                <w:color w:val="auto"/>
              </w:rPr>
            </w:pPr>
          </w:p>
        </w:tc>
        <w:tc>
          <w:tcPr>
            <w:tcW w:w="560" w:type="dxa"/>
            <w:vAlign w:val="bottom"/>
            <w:tcBorders>
              <w:top w:val="single" w:sz="8" w:color="0000FF"/>
              <w:bottom w:val="single" w:sz="8" w:color="FEFEFE"/>
            </w:tcBorders>
            <w:shd w:val="clear" w:color="auto" w:fill="FEFEFE"/>
          </w:tcPr>
          <w:p>
            <w:pPr>
              <w:spacing w:after="0"/>
              <w:rPr>
                <w:sz w:val="10"/>
                <w:szCs w:val="10"/>
                <w:color w:val="auto"/>
              </w:rPr>
            </w:pPr>
          </w:p>
        </w:tc>
        <w:tc>
          <w:tcPr>
            <w:tcW w:w="400" w:type="dxa"/>
            <w:vAlign w:val="bottom"/>
            <w:tcBorders>
              <w:top w:val="single" w:sz="8" w:color="0000FF"/>
              <w:bottom w:val="single" w:sz="8" w:color="FEFEFE"/>
            </w:tcBorders>
            <w:shd w:val="clear" w:color="auto" w:fill="FEFEFE"/>
          </w:tcPr>
          <w:p>
            <w:pPr>
              <w:spacing w:after="0"/>
              <w:rPr>
                <w:sz w:val="10"/>
                <w:szCs w:val="10"/>
                <w:color w:val="auto"/>
              </w:rPr>
            </w:pPr>
          </w:p>
        </w:tc>
        <w:tc>
          <w:tcPr>
            <w:tcW w:w="1720" w:type="dxa"/>
            <w:vAlign w:val="bottom"/>
            <w:tcBorders>
              <w:top w:val="single" w:sz="8" w:color="0000FF"/>
              <w:bottom w:val="single" w:sz="8" w:color="FEFEFE"/>
            </w:tcBorders>
            <w:shd w:val="clear" w:color="auto" w:fill="FEFEFE"/>
          </w:tcPr>
          <w:p>
            <w:pPr>
              <w:spacing w:after="0"/>
              <w:rPr>
                <w:sz w:val="10"/>
                <w:szCs w:val="10"/>
                <w:color w:val="auto"/>
              </w:rPr>
            </w:pPr>
          </w:p>
        </w:tc>
        <w:tc>
          <w:tcPr>
            <w:tcW w:w="820" w:type="dxa"/>
            <w:vAlign w:val="bottom"/>
            <w:tcBorders>
              <w:top w:val="single" w:sz="8" w:color="0000FF"/>
              <w:bottom w:val="single" w:sz="8" w:color="FEFEFE"/>
            </w:tcBorders>
            <w:shd w:val="clear" w:color="auto" w:fill="FEFEFE"/>
          </w:tcPr>
          <w:p>
            <w:pPr>
              <w:spacing w:after="0"/>
              <w:rPr>
                <w:sz w:val="10"/>
                <w:szCs w:val="10"/>
                <w:color w:val="auto"/>
              </w:rPr>
            </w:pPr>
          </w:p>
        </w:tc>
        <w:tc>
          <w:tcPr>
            <w:tcW w:w="320" w:type="dxa"/>
            <w:vAlign w:val="bottom"/>
            <w:tcBorders>
              <w:top w:val="single" w:sz="8" w:color="0000FF"/>
              <w:bottom w:val="single" w:sz="8" w:color="FEFEFE"/>
            </w:tcBorders>
            <w:shd w:val="clear" w:color="auto" w:fill="FEFEFE"/>
          </w:tcPr>
          <w:p>
            <w:pPr>
              <w:spacing w:after="0"/>
              <w:rPr>
                <w:sz w:val="10"/>
                <w:szCs w:val="10"/>
                <w:color w:val="auto"/>
              </w:rPr>
            </w:pPr>
          </w:p>
        </w:tc>
        <w:tc>
          <w:tcPr>
            <w:tcW w:w="340" w:type="dxa"/>
            <w:vAlign w:val="bottom"/>
            <w:tcBorders>
              <w:top w:val="single" w:sz="8" w:color="0000FF"/>
              <w:bottom w:val="single" w:sz="8" w:color="FEFEFE"/>
            </w:tcBorders>
            <w:shd w:val="clear" w:color="auto" w:fill="FEFEFE"/>
          </w:tcPr>
          <w:p>
            <w:pPr>
              <w:spacing w:after="0"/>
              <w:rPr>
                <w:sz w:val="10"/>
                <w:szCs w:val="10"/>
                <w:color w:val="auto"/>
              </w:rPr>
            </w:pPr>
          </w:p>
        </w:tc>
        <w:tc>
          <w:tcPr>
            <w:tcW w:w="680" w:type="dxa"/>
            <w:vAlign w:val="bottom"/>
            <w:tcBorders>
              <w:top w:val="single" w:sz="8" w:color="0000FF"/>
              <w:bottom w:val="single" w:sz="8" w:color="FEFEFE"/>
            </w:tcBorders>
            <w:shd w:val="clear" w:color="auto" w:fill="FEFEFE"/>
          </w:tcPr>
          <w:p>
            <w:pPr>
              <w:spacing w:after="0"/>
              <w:rPr>
                <w:sz w:val="10"/>
                <w:szCs w:val="10"/>
                <w:color w:val="auto"/>
              </w:rPr>
            </w:pPr>
          </w:p>
        </w:tc>
        <w:tc>
          <w:tcPr>
            <w:tcW w:w="440" w:type="dxa"/>
            <w:vAlign w:val="bottom"/>
            <w:tcBorders>
              <w:top w:val="single" w:sz="8" w:color="0000FF"/>
              <w:bottom w:val="single" w:sz="8" w:color="FEFEFE"/>
            </w:tcBorders>
            <w:shd w:val="clear" w:color="auto" w:fill="FEFEFE"/>
          </w:tcPr>
          <w:p>
            <w:pPr>
              <w:spacing w:after="0"/>
              <w:rPr>
                <w:sz w:val="10"/>
                <w:szCs w:val="10"/>
                <w:color w:val="auto"/>
              </w:rPr>
            </w:pPr>
          </w:p>
        </w:tc>
        <w:tc>
          <w:tcPr>
            <w:tcW w:w="120" w:type="dxa"/>
            <w:vAlign w:val="bottom"/>
            <w:tcBorders>
              <w:top w:val="single" w:sz="8" w:color="0000FF"/>
              <w:bottom w:val="single" w:sz="8" w:color="FEFEFE"/>
            </w:tcBorders>
            <w:shd w:val="clear" w:color="auto" w:fill="FEFEFE"/>
          </w:tcPr>
          <w:p>
            <w:pPr>
              <w:spacing w:after="0"/>
              <w:rPr>
                <w:sz w:val="10"/>
                <w:szCs w:val="10"/>
                <w:color w:val="auto"/>
              </w:rPr>
            </w:pPr>
          </w:p>
        </w:tc>
        <w:tc>
          <w:tcPr>
            <w:tcW w:w="20" w:type="dxa"/>
            <w:vAlign w:val="bottom"/>
            <w:tcBorders>
              <w:top w:val="single" w:sz="8" w:color="0000FF"/>
              <w:bottom w:val="single" w:sz="8" w:color="FEFEFE"/>
            </w:tcBorders>
            <w:shd w:val="clear" w:color="auto" w:fill="FEFEFE"/>
          </w:tcPr>
          <w:p>
            <w:pPr>
              <w:spacing w:after="0"/>
              <w:rPr>
                <w:sz w:val="10"/>
                <w:szCs w:val="10"/>
                <w:color w:val="auto"/>
              </w:rPr>
            </w:pPr>
          </w:p>
        </w:tc>
        <w:tc>
          <w:tcPr>
            <w:tcW w:w="60" w:type="dxa"/>
            <w:vAlign w:val="bottom"/>
            <w:tcBorders>
              <w:top w:val="single" w:sz="8" w:color="0000FF"/>
              <w:bottom w:val="single" w:sz="8" w:color="FEFEFE"/>
            </w:tcBorders>
            <w:shd w:val="clear" w:color="auto" w:fill="FEFEFE"/>
          </w:tcPr>
          <w:p>
            <w:pPr>
              <w:spacing w:after="0"/>
              <w:rPr>
                <w:sz w:val="10"/>
                <w:szCs w:val="10"/>
                <w:color w:val="auto"/>
              </w:rPr>
            </w:pPr>
          </w:p>
        </w:tc>
        <w:tc>
          <w:tcPr>
            <w:tcW w:w="80" w:type="dxa"/>
            <w:vAlign w:val="bottom"/>
            <w:tcBorders>
              <w:top w:val="single" w:sz="8" w:color="0000FF"/>
              <w:bottom w:val="single" w:sz="8" w:color="FEFEFE"/>
            </w:tcBorders>
            <w:shd w:val="clear" w:color="auto" w:fill="FEFEFE"/>
          </w:tcPr>
          <w:p>
            <w:pPr>
              <w:spacing w:after="0"/>
              <w:rPr>
                <w:sz w:val="10"/>
                <w:szCs w:val="10"/>
                <w:color w:val="auto"/>
              </w:rPr>
            </w:pPr>
          </w:p>
        </w:tc>
        <w:tc>
          <w:tcPr>
            <w:tcW w:w="20" w:type="dxa"/>
            <w:vAlign w:val="bottom"/>
            <w:tcBorders>
              <w:top w:val="single" w:sz="8" w:color="0000FF"/>
              <w:bottom w:val="single" w:sz="8" w:color="FEFEFE"/>
            </w:tcBorders>
            <w:shd w:val="clear" w:color="auto" w:fill="FEFEFE"/>
          </w:tcPr>
          <w:p>
            <w:pPr>
              <w:spacing w:after="0"/>
              <w:rPr>
                <w:sz w:val="10"/>
                <w:szCs w:val="10"/>
                <w:color w:val="auto"/>
              </w:rPr>
            </w:pPr>
          </w:p>
        </w:tc>
        <w:tc>
          <w:tcPr>
            <w:tcW w:w="20" w:type="dxa"/>
            <w:vAlign w:val="bottom"/>
            <w:tcBorders>
              <w:top w:val="single" w:sz="8" w:color="0000FF"/>
              <w:bottom w:val="single" w:sz="8" w:color="FEFEFE"/>
            </w:tcBorders>
            <w:shd w:val="clear" w:color="auto" w:fill="FEFEFE"/>
          </w:tcPr>
          <w:p>
            <w:pPr>
              <w:spacing w:after="0"/>
              <w:rPr>
                <w:sz w:val="10"/>
                <w:szCs w:val="10"/>
                <w:color w:val="auto"/>
              </w:rPr>
            </w:pPr>
          </w:p>
        </w:tc>
        <w:tc>
          <w:tcPr>
            <w:tcW w:w="20" w:type="dxa"/>
            <w:vAlign w:val="bottom"/>
            <w:tcBorders>
              <w:top w:val="single" w:sz="8" w:color="0000FF"/>
              <w:bottom w:val="single" w:sz="8" w:color="FEFEFE"/>
            </w:tcBorders>
            <w:shd w:val="clear" w:color="auto" w:fill="FEFEFE"/>
          </w:tcPr>
          <w:p>
            <w:pPr>
              <w:spacing w:after="0"/>
              <w:rPr>
                <w:sz w:val="10"/>
                <w:szCs w:val="10"/>
                <w:color w:val="auto"/>
              </w:rPr>
            </w:pPr>
          </w:p>
        </w:tc>
        <w:tc>
          <w:tcPr>
            <w:tcW w:w="0" w:type="dxa"/>
            <w:vAlign w:val="bottom"/>
            <w:tcBorders>
              <w:top w:val="single" w:sz="8" w:color="0000FF"/>
              <w:bottom w:val="single" w:sz="8" w:color="FEFEFE"/>
            </w:tcBorders>
            <w:shd w:val="clear" w:color="auto" w:fill="FEFEFE"/>
          </w:tcPr>
          <w:p>
            <w:pPr>
              <w:spacing w:after="0"/>
              <w:rPr>
                <w:sz w:val="10"/>
                <w:szCs w:val="10"/>
                <w:color w:val="auto"/>
              </w:rPr>
            </w:pPr>
          </w:p>
        </w:tc>
        <w:tc>
          <w:tcPr>
            <w:tcW w:w="20" w:type="dxa"/>
            <w:vAlign w:val="bottom"/>
            <w:tcBorders>
              <w:top w:val="single" w:sz="8" w:color="0000FF"/>
              <w:bottom w:val="single" w:sz="8" w:color="FEFEFE"/>
            </w:tcBorders>
            <w:shd w:val="clear" w:color="auto" w:fill="FEFEFE"/>
          </w:tcPr>
          <w:p>
            <w:pPr>
              <w:spacing w:after="0"/>
              <w:rPr>
                <w:sz w:val="10"/>
                <w:szCs w:val="10"/>
                <w:color w:val="auto"/>
              </w:rPr>
            </w:pPr>
          </w:p>
        </w:tc>
        <w:tc>
          <w:tcPr>
            <w:tcW w:w="20" w:type="dxa"/>
            <w:vAlign w:val="bottom"/>
            <w:tcBorders>
              <w:top w:val="single" w:sz="8" w:color="0000FF"/>
              <w:bottom w:val="single" w:sz="8" w:color="FEFEFE"/>
            </w:tcBorders>
            <w:shd w:val="clear" w:color="auto" w:fill="FEFEFE"/>
          </w:tcPr>
          <w:p>
            <w:pPr>
              <w:spacing w:after="0"/>
              <w:rPr>
                <w:sz w:val="10"/>
                <w:szCs w:val="10"/>
                <w:color w:val="auto"/>
              </w:rPr>
            </w:pPr>
          </w:p>
        </w:tc>
        <w:tc>
          <w:tcPr>
            <w:tcW w:w="20" w:type="dxa"/>
            <w:vAlign w:val="bottom"/>
            <w:tcBorders>
              <w:top w:val="single" w:sz="8" w:color="0000FF"/>
              <w:bottom w:val="single" w:sz="8" w:color="FEFEFE"/>
            </w:tcBorders>
            <w:shd w:val="clear" w:color="auto" w:fill="FEFEFE"/>
          </w:tcPr>
          <w:p>
            <w:pPr>
              <w:spacing w:after="0"/>
              <w:rPr>
                <w:sz w:val="10"/>
                <w:szCs w:val="10"/>
                <w:color w:val="auto"/>
              </w:rPr>
            </w:pPr>
          </w:p>
        </w:tc>
        <w:tc>
          <w:tcPr>
            <w:tcW w:w="20" w:type="dxa"/>
            <w:vAlign w:val="bottom"/>
            <w:tcBorders>
              <w:top w:val="single" w:sz="8" w:color="0000FF"/>
              <w:bottom w:val="single" w:sz="8" w:color="FEFEFE"/>
            </w:tcBorders>
            <w:shd w:val="clear" w:color="auto" w:fill="FEFEFE"/>
          </w:tcPr>
          <w:p>
            <w:pPr>
              <w:spacing w:after="0"/>
              <w:rPr>
                <w:sz w:val="10"/>
                <w:szCs w:val="10"/>
                <w:color w:val="auto"/>
              </w:rPr>
            </w:pPr>
          </w:p>
        </w:tc>
        <w:tc>
          <w:tcPr>
            <w:tcW w:w="60" w:type="dxa"/>
            <w:vAlign w:val="bottom"/>
            <w:tcBorders>
              <w:top w:val="single" w:sz="8" w:color="0000FF"/>
              <w:bottom w:val="single" w:sz="8" w:color="FEFEFE"/>
            </w:tcBorders>
            <w:shd w:val="clear" w:color="auto" w:fill="FEFEFE"/>
          </w:tcPr>
          <w:p>
            <w:pPr>
              <w:spacing w:after="0"/>
              <w:rPr>
                <w:sz w:val="10"/>
                <w:szCs w:val="10"/>
                <w:color w:val="auto"/>
              </w:rPr>
            </w:pPr>
          </w:p>
        </w:tc>
        <w:tc>
          <w:tcPr>
            <w:tcW w:w="6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560" w:type="dxa"/>
            <w:vAlign w:val="bottom"/>
            <w:tcBorders>
              <w:right w:val="single" w:sz="8" w:color="FEFEFE"/>
            </w:tcBorders>
          </w:tcPr>
          <w:p>
            <w:pPr>
              <w:spacing w:after="0"/>
              <w:rPr>
                <w:sz w:val="13"/>
                <w:szCs w:val="13"/>
                <w:color w:val="auto"/>
              </w:rPr>
            </w:pPr>
          </w:p>
        </w:tc>
        <w:tc>
          <w:tcPr>
            <w:tcW w:w="9240" w:type="dxa"/>
            <w:vAlign w:val="bottom"/>
            <w:tcBorders>
              <w:right w:val="single" w:sz="8" w:color="FEFEFE"/>
            </w:tcBorders>
            <w:gridSpan w:val="28"/>
            <w:shd w:val="clear" w:color="auto" w:fill="FEFEFE"/>
          </w:tcPr>
          <w:p>
            <w:pPr>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Stockholders Agreement, dated as of April 15, 2015, by and among Virtu Financial, Inc. and the stockholders named therein (incorporated herein by reference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460" w:type="dxa"/>
            <w:vAlign w:val="bottom"/>
            <w:tcBorders>
              <w:top w:val="single" w:sz="8" w:color="FEFEFE"/>
              <w:bottom w:val="single" w:sz="8" w:color="FEFEFE"/>
            </w:tcBorders>
            <w:shd w:val="clear" w:color="auto" w:fill="FEFEFE"/>
          </w:tcPr>
          <w:p>
            <w:pPr>
              <w:spacing w:after="0"/>
              <w:rPr>
                <w:sz w:val="12"/>
                <w:szCs w:val="12"/>
                <w:color w:val="auto"/>
              </w:rPr>
            </w:pPr>
          </w:p>
        </w:tc>
        <w:tc>
          <w:tcPr>
            <w:tcW w:w="560" w:type="dxa"/>
            <w:vAlign w:val="bottom"/>
            <w:tcBorders>
              <w:right w:val="single" w:sz="8" w:color="FEFEFE"/>
            </w:tcBorders>
          </w:tcPr>
          <w:p>
            <w:pPr>
              <w:spacing w:after="0"/>
              <w:rPr>
                <w:sz w:val="12"/>
                <w:szCs w:val="12"/>
                <w:color w:val="auto"/>
              </w:rPr>
            </w:pPr>
          </w:p>
        </w:tc>
        <w:tc>
          <w:tcPr>
            <w:tcW w:w="6920" w:type="dxa"/>
            <w:vAlign w:val="bottom"/>
            <w:tcBorders>
              <w:top w:val="single" w:sz="8" w:color="0000FF"/>
              <w:bottom w:val="single" w:sz="8" w:color="0000FF"/>
            </w:tcBorders>
            <w:gridSpan w:val="10"/>
            <w:shd w:val="clear" w:color="auto" w:fill="FEFEFE"/>
          </w:tcPr>
          <w:p>
            <w:pPr>
              <w:spacing w:after="0" w:line="118" w:lineRule="exact"/>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Exhibit 10.2 to the Company’s Quarterly Report on Form 10-Q, as amended (File No. 001-37352) filed on May 29, 2015).</w:t>
              </w:r>
            </w:hyperlink>
          </w:p>
        </w:tc>
        <w:tc>
          <w:tcPr>
            <w:tcW w:w="2180" w:type="dxa"/>
            <w:vAlign w:val="bottom"/>
            <w:tcBorders>
              <w:top w:val="single" w:sz="8" w:color="0000FF"/>
              <w:bottom w:val="single" w:sz="8" w:color="FEFEFE"/>
            </w:tcBorders>
            <w:gridSpan w:val="15"/>
            <w:shd w:val="clear" w:color="auto" w:fill="FEFEFE"/>
          </w:tcPr>
          <w:p>
            <w:pPr>
              <w:spacing w:after="0"/>
              <w:rPr>
                <w:sz w:val="12"/>
                <w:szCs w:val="12"/>
                <w:color w:val="auto"/>
              </w:rPr>
            </w:pPr>
          </w:p>
        </w:tc>
        <w:tc>
          <w:tcPr>
            <w:tcW w:w="140" w:type="dxa"/>
            <w:vAlign w:val="bottom"/>
            <w:tcBorders>
              <w:top w:val="single" w:sz="8" w:color="FEFEFE"/>
              <w:bottom w:val="single" w:sz="8" w:color="FEFEFE"/>
              <w:right w:val="single" w:sz="8" w:color="FEFEFE"/>
            </w:tcBorders>
            <w:gridSpan w:val="3"/>
            <w:shd w:val="clear" w:color="auto" w:fill="FEFEF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9"/>
        </w:trPr>
        <w:tc>
          <w:tcPr>
            <w:tcW w:w="1460" w:type="dxa"/>
            <w:vAlign w:val="bottom"/>
          </w:tcPr>
          <w:p>
            <w:pPr>
              <w:spacing w:after="0"/>
              <w:rPr>
                <w:sz w:val="24"/>
                <w:szCs w:val="24"/>
                <w:color w:val="auto"/>
              </w:rPr>
            </w:pPr>
          </w:p>
        </w:tc>
        <w:tc>
          <w:tcPr>
            <w:tcW w:w="454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color w:val="auto"/>
              </w:rPr>
              <w:t>151</w:t>
            </w: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540" w:type="dxa"/>
            <w:vAlign w:val="bottom"/>
            <w:shd w:val="clear" w:color="auto" w:fill="FEFEFE"/>
          </w:tcPr>
          <w:p>
            <w:pPr>
              <w:spacing w:after="0"/>
              <w:rPr>
                <w:sz w:val="13"/>
                <w:szCs w:val="13"/>
                <w:color w:val="auto"/>
              </w:rPr>
            </w:pPr>
          </w:p>
        </w:tc>
        <w:tc>
          <w:tcPr>
            <w:tcW w:w="9260" w:type="dxa"/>
            <w:vAlign w:val="bottom"/>
            <w:gridSpan w:val="37"/>
            <w:shd w:val="clear" w:color="auto" w:fill="FEFEFE"/>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Exchange Agreement, dated as of April 15, 2015, by and among Virtu Financial LLC, Virtu Financial, Inc. and the holders of Common Units and shares of Class</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Borders>
              <w:top w:val="single" w:sz="8" w:color="FEFEFE"/>
            </w:tcBorders>
            <w:shd w:val="clear" w:color="auto" w:fill="FEFEFE"/>
          </w:tcPr>
          <w:p>
            <w:pPr>
              <w:spacing w:after="0"/>
              <w:rPr>
                <w:sz w:val="10"/>
                <w:szCs w:val="10"/>
                <w:color w:val="auto"/>
              </w:rPr>
            </w:pPr>
          </w:p>
        </w:tc>
        <w:tc>
          <w:tcPr>
            <w:tcW w:w="9140" w:type="dxa"/>
            <w:vAlign w:val="bottom"/>
            <w:tcBorders>
              <w:top w:val="single" w:sz="8" w:color="0000FF"/>
            </w:tcBorders>
            <w:gridSpan w:val="27"/>
            <w:shd w:val="clear" w:color="auto" w:fill="FEFEFE"/>
          </w:tcPr>
          <w:p>
            <w:pPr>
              <w:spacing w:after="0" w:line="118" w:lineRule="exact"/>
              <w:rPr>
                <w:rFonts w:ascii="Times New Roman" w:cs="Times New Roman" w:eastAsia="Times New Roman" w:hAnsi="Times New Roman"/>
                <w:sz w:val="13"/>
                <w:szCs w:val="13"/>
                <w:color w:val="0000FF"/>
              </w:rPr>
            </w:pPr>
            <w:hyperlink r:id="rId214">
              <w:r>
                <w:rPr>
                  <w:rFonts w:ascii="Times New Roman" w:cs="Times New Roman" w:eastAsia="Times New Roman" w:hAnsi="Times New Roman"/>
                  <w:sz w:val="13"/>
                  <w:szCs w:val="13"/>
                  <w:color w:val="0000FF"/>
                </w:rPr>
                <w:t>C Common Stock or Class D Common Stock (as each defined therein) (incorporated herein by reference to Exhibit 10.3 to the Company’s Quarterly Report on</w:t>
              </w:r>
            </w:hyperlink>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4294967237"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60" w:type="dxa"/>
            <w:vAlign w:val="bottom"/>
            <w:tcBorders>
              <w:top w:val="single" w:sz="8" w:color="FEFEFE"/>
            </w:tcBorders>
            <w:shd w:val="clear" w:color="auto" w:fill="FEFEFE"/>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000" w:type="dxa"/>
            <w:vAlign w:val="bottom"/>
            <w:tcBorders>
              <w:top w:val="single" w:sz="8" w:color="0000FF"/>
            </w:tcBorders>
            <w:gridSpan w:val="20"/>
            <w:shd w:val="clear" w:color="auto" w:fill="FEFEFE"/>
          </w:tcPr>
          <w:p>
            <w:pPr>
              <w:spacing w:after="0" w:line="129"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Form 10-Q, as amended (File No. 001-37352) filed on May 29, 2015).</w:t>
              </w:r>
            </w:hyperlink>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294967237"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EFEFE"/>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800" w:type="dxa"/>
            <w:vAlign w:val="bottom"/>
            <w:shd w:val="clear" w:color="auto" w:fill="FEFEFE"/>
          </w:tcPr>
          <w:p>
            <w:pPr>
              <w:spacing w:after="0" w:line="20" w:lineRule="exact"/>
              <w:rPr>
                <w:sz w:val="1"/>
                <w:szCs w:val="1"/>
                <w:color w:val="auto"/>
              </w:rPr>
            </w:pPr>
          </w:p>
        </w:tc>
        <w:tc>
          <w:tcPr>
            <w:tcW w:w="500" w:type="dxa"/>
            <w:vAlign w:val="bottom"/>
            <w:shd w:val="clear" w:color="auto" w:fill="FEFEFE"/>
          </w:tcPr>
          <w:p>
            <w:pPr>
              <w:spacing w:after="0" w:line="20" w:lineRule="exact"/>
              <w:rPr>
                <w:sz w:val="1"/>
                <w:szCs w:val="1"/>
                <w:color w:val="auto"/>
              </w:rPr>
            </w:pPr>
          </w:p>
        </w:tc>
        <w:tc>
          <w:tcPr>
            <w:tcW w:w="1020" w:type="dxa"/>
            <w:vAlign w:val="bottom"/>
            <w:shd w:val="clear" w:color="auto" w:fill="FEFEFE"/>
          </w:tcPr>
          <w:p>
            <w:pPr>
              <w:spacing w:after="0" w:line="20" w:lineRule="exact"/>
              <w:rPr>
                <w:sz w:val="1"/>
                <w:szCs w:val="1"/>
                <w:color w:val="auto"/>
              </w:rPr>
            </w:pPr>
          </w:p>
        </w:tc>
        <w:tc>
          <w:tcPr>
            <w:tcW w:w="4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98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294967237"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540" w:type="dxa"/>
            <w:vAlign w:val="bottom"/>
            <w:shd w:val="clear" w:color="auto" w:fill="FEFEFE"/>
          </w:tcPr>
          <w:p>
            <w:pPr>
              <w:spacing w:after="0"/>
              <w:rPr>
                <w:sz w:val="13"/>
                <w:szCs w:val="13"/>
                <w:color w:val="auto"/>
              </w:rPr>
            </w:pPr>
          </w:p>
        </w:tc>
        <w:tc>
          <w:tcPr>
            <w:tcW w:w="9260" w:type="dxa"/>
            <w:vAlign w:val="bottom"/>
            <w:gridSpan w:val="37"/>
            <w:shd w:val="clear" w:color="auto" w:fill="FEFEFE"/>
          </w:tcPr>
          <w:p>
            <w:pPr>
              <w:spacing w:after="0"/>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Tax Receivable Agreement, dated as of April 15, 2015, by and among Virtu Financial, Inc., TJMT Holdings LLC, Virtu Employee Holdco, the Management</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Borders>
              <w:top w:val="single" w:sz="8" w:color="FEFEFE"/>
            </w:tcBorders>
            <w:shd w:val="clear" w:color="auto" w:fill="FEFEFE"/>
          </w:tcPr>
          <w:p>
            <w:pPr>
              <w:spacing w:after="0"/>
              <w:rPr>
                <w:sz w:val="10"/>
                <w:szCs w:val="10"/>
                <w:color w:val="auto"/>
              </w:rPr>
            </w:pPr>
          </w:p>
        </w:tc>
        <w:tc>
          <w:tcPr>
            <w:tcW w:w="8860" w:type="dxa"/>
            <w:vAlign w:val="bottom"/>
            <w:tcBorders>
              <w:top w:val="single" w:sz="8" w:color="0000FF"/>
            </w:tcBorders>
            <w:gridSpan w:val="17"/>
            <w:shd w:val="clear" w:color="auto" w:fill="FEFEFE"/>
          </w:tcPr>
          <w:p>
            <w:pPr>
              <w:spacing w:after="0" w:line="118" w:lineRule="exact"/>
              <w:rPr>
                <w:rFonts w:ascii="Times New Roman" w:cs="Times New Roman" w:eastAsia="Times New Roman" w:hAnsi="Times New Roman"/>
                <w:sz w:val="13"/>
                <w:szCs w:val="13"/>
                <w:color w:val="0000FF"/>
              </w:rPr>
            </w:pPr>
            <w:hyperlink r:id="rId215">
              <w:r>
                <w:rPr>
                  <w:rFonts w:ascii="Times New Roman" w:cs="Times New Roman" w:eastAsia="Times New Roman" w:hAnsi="Times New Roman"/>
                  <w:sz w:val="13"/>
                  <w:szCs w:val="13"/>
                  <w:color w:val="0000FF"/>
                </w:rPr>
                <w:t>Members and other pre-IPO investors (incorporated herein by reference to Exhibit 10.5 to the Company’s Quarterly Report on Form 10-Q, as amended (File</w:t>
              </w:r>
            </w:hyperlink>
          </w:p>
        </w:tc>
        <w:tc>
          <w:tcPr>
            <w:tcW w:w="2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360" w:type="dxa"/>
            <w:vAlign w:val="bottom"/>
            <w:tcBorders>
              <w:top w:val="single" w:sz="8" w:color="FEFEFE"/>
            </w:tcBorders>
            <w:gridSpan w:val="18"/>
            <w:shd w:val="clear" w:color="auto" w:fill="FEFEFE"/>
          </w:tcPr>
          <w:p>
            <w:pPr>
              <w:jc w:val="right"/>
              <w:ind w:right="160"/>
              <w:spacing w:after="0" w:line="118" w:lineRule="exact"/>
              <w:rPr>
                <w:rFonts w:ascii="Times New Roman" w:cs="Times New Roman" w:eastAsia="Times New Roman" w:hAnsi="Times New Roman"/>
                <w:sz w:val="13"/>
                <w:szCs w:val="13"/>
                <w:color w:val="0000FF"/>
                <w:w w:val="93"/>
              </w:rPr>
            </w:pPr>
            <w:hyperlink r:id="rId215">
              <w:r>
                <w:rPr>
                  <w:rFonts w:ascii="Times New Roman" w:cs="Times New Roman" w:eastAsia="Times New Roman" w:hAnsi="Times New Roman"/>
                  <w:sz w:val="13"/>
                  <w:szCs w:val="13"/>
                  <w:color w:val="0000FF"/>
                  <w:w w:val="93"/>
                </w:rPr>
                <w:t>No.</w:t>
              </w:r>
            </w:hyperlink>
          </w:p>
        </w:tc>
        <w:tc>
          <w:tcPr>
            <w:tcW w:w="0" w:type="dxa"/>
            <w:vAlign w:val="bottom"/>
          </w:tcPr>
          <w:p>
            <w:pPr>
              <w:spacing w:after="0"/>
              <w:rPr>
                <w:sz w:val="1"/>
                <w:szCs w:val="1"/>
                <w:color w:val="auto"/>
              </w:rPr>
            </w:pPr>
          </w:p>
        </w:tc>
      </w:tr>
      <w:tr>
        <w:trPr>
          <w:trHeight w:val="129"/>
        </w:trPr>
        <w:tc>
          <w:tcPr>
            <w:tcW w:w="1460" w:type="dxa"/>
            <w:vAlign w:val="bottom"/>
            <w:tcBorders>
              <w:top w:val="single" w:sz="8" w:color="FEFEFE"/>
            </w:tcBorders>
            <w:vMerge w:val="restart"/>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540" w:type="dxa"/>
            <w:vAlign w:val="bottom"/>
            <w:tcBorders>
              <w:top w:val="single" w:sz="8" w:color="FEFEFE"/>
            </w:tcBorders>
            <w:shd w:val="clear" w:color="auto" w:fill="FEFEFE"/>
          </w:tcPr>
          <w:p>
            <w:pPr>
              <w:spacing w:after="0"/>
              <w:rPr>
                <w:sz w:val="11"/>
                <w:szCs w:val="11"/>
                <w:color w:val="auto"/>
              </w:rPr>
            </w:pPr>
          </w:p>
        </w:tc>
        <w:tc>
          <w:tcPr>
            <w:tcW w:w="9100" w:type="dxa"/>
            <w:vAlign w:val="bottom"/>
            <w:tcBorders>
              <w:top w:val="single" w:sz="8" w:color="0000FF"/>
            </w:tcBorders>
            <w:gridSpan w:val="25"/>
            <w:shd w:val="clear" w:color="auto" w:fill="FEFEFE"/>
          </w:tcPr>
          <w:p>
            <w:pPr>
              <w:spacing w:after="0" w:line="12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001-37352) filed on May 29, 2015).</w:t>
              </w:r>
            </w:hyperlink>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294967237"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460" w:type="dxa"/>
            <w:vAlign w:val="bottom"/>
            <w:vMerge w:val="continue"/>
            <w:shd w:val="clear" w:color="auto" w:fill="FEFEFE"/>
          </w:tcPr>
          <w:p>
            <w:pPr>
              <w:spacing w:after="0"/>
              <w:rPr>
                <w:sz w:val="2"/>
                <w:szCs w:val="2"/>
                <w:color w:val="auto"/>
              </w:rPr>
            </w:pPr>
          </w:p>
        </w:tc>
        <w:tc>
          <w:tcPr>
            <w:tcW w:w="540" w:type="dxa"/>
            <w:vAlign w:val="bottom"/>
            <w:shd w:val="clear" w:color="auto" w:fill="FEFEFE"/>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240" w:type="dxa"/>
            <w:vAlign w:val="bottom"/>
            <w:shd w:val="clear" w:color="auto" w:fill="FEFEFE"/>
          </w:tcPr>
          <w:p>
            <w:pPr>
              <w:spacing w:after="0"/>
              <w:rPr>
                <w:sz w:val="2"/>
                <w:szCs w:val="2"/>
                <w:color w:val="auto"/>
              </w:rPr>
            </w:pPr>
          </w:p>
        </w:tc>
        <w:tc>
          <w:tcPr>
            <w:tcW w:w="300" w:type="dxa"/>
            <w:vAlign w:val="bottom"/>
            <w:shd w:val="clear" w:color="auto" w:fill="FEFEFE"/>
          </w:tcPr>
          <w:p>
            <w:pPr>
              <w:spacing w:after="0"/>
              <w:rPr>
                <w:sz w:val="2"/>
                <w:szCs w:val="2"/>
                <w:color w:val="auto"/>
              </w:rPr>
            </w:pPr>
          </w:p>
        </w:tc>
        <w:tc>
          <w:tcPr>
            <w:tcW w:w="80" w:type="dxa"/>
            <w:vAlign w:val="bottom"/>
            <w:shd w:val="clear" w:color="auto" w:fill="FEFEFE"/>
          </w:tcPr>
          <w:p>
            <w:pPr>
              <w:spacing w:after="0"/>
              <w:rPr>
                <w:sz w:val="2"/>
                <w:szCs w:val="2"/>
                <w:color w:val="auto"/>
              </w:rPr>
            </w:pPr>
          </w:p>
        </w:tc>
        <w:tc>
          <w:tcPr>
            <w:tcW w:w="1320" w:type="dxa"/>
            <w:vAlign w:val="bottom"/>
            <w:shd w:val="clear" w:color="auto" w:fill="FEFEFE"/>
          </w:tcPr>
          <w:p>
            <w:pPr>
              <w:spacing w:after="0"/>
              <w:rPr>
                <w:sz w:val="2"/>
                <w:szCs w:val="2"/>
                <w:color w:val="auto"/>
              </w:rPr>
            </w:pPr>
          </w:p>
        </w:tc>
        <w:tc>
          <w:tcPr>
            <w:tcW w:w="180" w:type="dxa"/>
            <w:vAlign w:val="bottom"/>
            <w:shd w:val="clear" w:color="auto" w:fill="FEFEFE"/>
          </w:tcPr>
          <w:p>
            <w:pPr>
              <w:spacing w:after="0"/>
              <w:rPr>
                <w:sz w:val="2"/>
                <w:szCs w:val="2"/>
                <w:color w:val="auto"/>
              </w:rPr>
            </w:pPr>
          </w:p>
        </w:tc>
        <w:tc>
          <w:tcPr>
            <w:tcW w:w="800" w:type="dxa"/>
            <w:vAlign w:val="bottom"/>
            <w:shd w:val="clear" w:color="auto" w:fill="FEFEFE"/>
          </w:tcPr>
          <w:p>
            <w:pPr>
              <w:spacing w:after="0"/>
              <w:rPr>
                <w:sz w:val="2"/>
                <w:szCs w:val="2"/>
                <w:color w:val="auto"/>
              </w:rPr>
            </w:pPr>
          </w:p>
        </w:tc>
        <w:tc>
          <w:tcPr>
            <w:tcW w:w="500" w:type="dxa"/>
            <w:vAlign w:val="bottom"/>
            <w:shd w:val="clear" w:color="auto" w:fill="FEFEFE"/>
          </w:tcPr>
          <w:p>
            <w:pPr>
              <w:spacing w:after="0"/>
              <w:rPr>
                <w:sz w:val="2"/>
                <w:szCs w:val="2"/>
                <w:color w:val="auto"/>
              </w:rPr>
            </w:pPr>
          </w:p>
        </w:tc>
        <w:tc>
          <w:tcPr>
            <w:tcW w:w="1020" w:type="dxa"/>
            <w:vAlign w:val="bottom"/>
            <w:shd w:val="clear" w:color="auto" w:fill="FEFEFE"/>
          </w:tcPr>
          <w:p>
            <w:pPr>
              <w:spacing w:after="0"/>
              <w:rPr>
                <w:sz w:val="2"/>
                <w:szCs w:val="2"/>
                <w:color w:val="auto"/>
              </w:rPr>
            </w:pPr>
          </w:p>
        </w:tc>
        <w:tc>
          <w:tcPr>
            <w:tcW w:w="46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68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980" w:type="dxa"/>
            <w:vAlign w:val="bottom"/>
            <w:shd w:val="clear" w:color="auto" w:fill="FEFEFE"/>
          </w:tcPr>
          <w:p>
            <w:pPr>
              <w:spacing w:after="0"/>
              <w:rPr>
                <w:sz w:val="2"/>
                <w:szCs w:val="2"/>
                <w:color w:val="auto"/>
              </w:rPr>
            </w:pPr>
          </w:p>
        </w:tc>
        <w:tc>
          <w:tcPr>
            <w:tcW w:w="8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10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10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4294967237"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460" w:type="dxa"/>
            <w:vAlign w:val="bottom"/>
            <w:vMerge w:val="continue"/>
            <w:shd w:val="clear" w:color="auto" w:fill="FEFEFE"/>
          </w:tcPr>
          <w:p>
            <w:pPr>
              <w:spacing w:after="0"/>
              <w:rPr>
                <w:sz w:val="12"/>
                <w:szCs w:val="12"/>
                <w:color w:val="auto"/>
              </w:rPr>
            </w:pPr>
          </w:p>
        </w:tc>
        <w:tc>
          <w:tcPr>
            <w:tcW w:w="540" w:type="dxa"/>
            <w:vAlign w:val="bottom"/>
          </w:tcPr>
          <w:p>
            <w:pPr>
              <w:spacing w:after="0"/>
              <w:rPr>
                <w:sz w:val="12"/>
                <w:szCs w:val="12"/>
                <w:color w:val="auto"/>
              </w:rPr>
            </w:pPr>
          </w:p>
        </w:tc>
        <w:tc>
          <w:tcPr>
            <w:tcW w:w="9260" w:type="dxa"/>
            <w:vAlign w:val="bottom"/>
            <w:gridSpan w:val="37"/>
          </w:tcPr>
          <w:p>
            <w:pPr>
              <w:spacing w:after="0" w:line="149"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Tax Receivable Agreement, dated as of April 15, 2015, by and between Virtu Financial, Inc. and the Investor Post-IPO Stockholders (incorporated herein by</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bottom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76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216">
              <w:r>
                <w:rPr>
                  <w:rFonts w:ascii="Times New Roman" w:cs="Times New Roman" w:eastAsia="Times New Roman" w:hAnsi="Times New Roman"/>
                  <w:sz w:val="13"/>
                  <w:szCs w:val="13"/>
                  <w:color w:val="0000FF"/>
                </w:rPr>
                <w:t>reference to Exhibit 10.6 to the Company’s Quarterly Report on Form 10-Q, as amended (File No. 001-37352) filed on May 29, 2015).</w:t>
              </w:r>
            </w:hyperlink>
          </w:p>
        </w:tc>
        <w:tc>
          <w:tcPr>
            <w:tcW w:w="122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3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540" w:type="dxa"/>
            <w:vAlign w:val="bottom"/>
          </w:tcPr>
          <w:p>
            <w:pPr>
              <w:spacing w:after="0"/>
              <w:rPr>
                <w:sz w:val="14"/>
                <w:szCs w:val="14"/>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Tax Receivable Agreement, dated as of April 15, 2015, by and among Virtu Financial, Inc. and the Silver Lake Post-IPO Members (incorporated herein by</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bottom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764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reference to Exhibit 10.7 to the Company’s Quarterly Report on Form 10-Q, as amended (File No. 001-37352) filed on May 29, 2015).</w:t>
              </w:r>
            </w:hyperlink>
          </w:p>
        </w:tc>
        <w:tc>
          <w:tcPr>
            <w:tcW w:w="1120" w:type="dxa"/>
            <w:vAlign w:val="bottom"/>
            <w:tcBorders>
              <w:top w:val="single" w:sz="8" w:color="0000FF"/>
            </w:tcBorders>
            <w:gridSpan w:val="4"/>
          </w:tcPr>
          <w:p>
            <w:pPr>
              <w:spacing w:after="0"/>
              <w:rPr>
                <w:sz w:val="10"/>
                <w:szCs w:val="10"/>
                <w:color w:val="auto"/>
              </w:rPr>
            </w:pPr>
          </w:p>
        </w:tc>
        <w:tc>
          <w:tcPr>
            <w:tcW w:w="140" w:type="dxa"/>
            <w:vAlign w:val="bottom"/>
            <w:gridSpan w:val="3"/>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3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540" w:type="dxa"/>
            <w:vAlign w:val="bottom"/>
          </w:tcPr>
          <w:p>
            <w:pPr>
              <w:spacing w:after="0"/>
              <w:rPr>
                <w:sz w:val="14"/>
                <w:szCs w:val="14"/>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Third Amended and Restated Limited Liability Company Agreement of Virtu Financial LLC, dated as of April 15, 2015 (incorporated herein by reference to</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bottom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694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218">
              <w:r>
                <w:rPr>
                  <w:rFonts w:ascii="Times New Roman" w:cs="Times New Roman" w:eastAsia="Times New Roman" w:hAnsi="Times New Roman"/>
                  <w:sz w:val="13"/>
                  <w:szCs w:val="13"/>
                  <w:color w:val="0000FF"/>
                </w:rPr>
                <w:t>Exhibit 10.8 to the Company’s Quarterly Report on Form 10-Q, as amended (File No. 001-37352) filed on May 29, 2015).</w:t>
              </w:r>
            </w:hyperlink>
          </w:p>
        </w:tc>
        <w:tc>
          <w:tcPr>
            <w:tcW w:w="1960" w:type="dxa"/>
            <w:vAlign w:val="bottom"/>
            <w:tcBorders>
              <w:top w:val="single" w:sz="8" w:color="0000FF"/>
            </w:tcBorders>
            <w:gridSpan w:val="9"/>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3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540" w:type="dxa"/>
            <w:vAlign w:val="bottom"/>
          </w:tcPr>
          <w:p>
            <w:pPr>
              <w:spacing w:after="0"/>
              <w:rPr>
                <w:sz w:val="14"/>
                <w:szCs w:val="14"/>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19">
              <w:r>
                <w:rPr>
                  <w:rFonts w:ascii="Times New Roman" w:cs="Times New Roman" w:eastAsia="Times New Roman" w:hAnsi="Times New Roman"/>
                  <w:sz w:val="14"/>
                  <w:szCs w:val="14"/>
                  <w:color w:val="0000FF"/>
                </w:rPr>
                <w:t>Amended and Restated Limited Liability Company Agreement of Virtu Employee Holdco LLC, dated as of April 15, 2015 (incorporated herein by reference to</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90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219">
              <w:r>
                <w:rPr>
                  <w:rFonts w:ascii="Times New Roman" w:cs="Times New Roman" w:eastAsia="Times New Roman" w:hAnsi="Times New Roman"/>
                  <w:sz w:val="13"/>
                  <w:szCs w:val="13"/>
                  <w:color w:val="0000FF"/>
                </w:rPr>
                <w:t>Exhibit 10.9 to the Company’s Quarterly Report on Form 10-Q, as amended (File No. 001-37352), filed on May 29,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3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EFEF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540" w:type="dxa"/>
            <w:vAlign w:val="bottom"/>
          </w:tcPr>
          <w:p>
            <w:pPr>
              <w:spacing w:after="0"/>
              <w:rPr>
                <w:sz w:val="14"/>
                <w:szCs w:val="14"/>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20">
              <w:r>
                <w:rPr>
                  <w:rFonts w:ascii="Times New Roman" w:cs="Times New Roman" w:eastAsia="Times New Roman" w:hAnsi="Times New Roman"/>
                  <w:sz w:val="14"/>
                  <w:szCs w:val="14"/>
                  <w:color w:val="0000FF"/>
                </w:rPr>
                <w:t>Class C Common Stock Subscription Agreement, dated as of April 15, 2015 (incorporated herein by reference to Exhibit 10.10 to the Company’s Quarterly Report</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928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220">
              <w:r>
                <w:rPr>
                  <w:rFonts w:ascii="Times New Roman" w:cs="Times New Roman" w:eastAsia="Times New Roman" w:hAnsi="Times New Roman"/>
                  <w:sz w:val="13"/>
                  <w:szCs w:val="13"/>
                  <w:color w:val="0000FF"/>
                </w:rPr>
                <w:t>on Form 10-Q, as amended (File No. 001-37352) filed on May 29, 2015).</w:t>
              </w:r>
            </w:hyperlink>
          </w:p>
        </w:tc>
        <w:tc>
          <w:tcPr>
            <w:tcW w:w="20" w:type="dxa"/>
            <w:vAlign w:val="bottom"/>
          </w:tcPr>
          <w:p>
            <w:pPr>
              <w:spacing w:after="0"/>
              <w:rPr>
                <w:sz w:val="10"/>
                <w:szCs w:val="10"/>
                <w:color w:val="auto"/>
              </w:rPr>
            </w:pPr>
          </w:p>
        </w:tc>
        <w:tc>
          <w:tcPr>
            <w:tcW w:w="429496723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EFEF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540" w:type="dxa"/>
            <w:vAlign w:val="bottom"/>
          </w:tcPr>
          <w:p>
            <w:pPr>
              <w:spacing w:after="0"/>
              <w:rPr>
                <w:sz w:val="14"/>
                <w:szCs w:val="14"/>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Class D Common Stock Subscription Agreement, dated as of April 15, 2015 (incorporated herein by reference to Exhibit 10.11 to the Company’s Quarterly Report</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9300" w:type="dxa"/>
            <w:vAlign w:val="bottom"/>
            <w:tcBorders>
              <w:top w:val="single" w:sz="8" w:color="0000FF"/>
            </w:tcBorders>
            <w:gridSpan w:val="35"/>
          </w:tcPr>
          <w:p>
            <w:pPr>
              <w:spacing w:after="0" w:line="118" w:lineRule="exact"/>
              <w:rPr>
                <w:rFonts w:ascii="Times New Roman" w:cs="Times New Roman" w:eastAsia="Times New Roman" w:hAnsi="Times New Roman"/>
                <w:sz w:val="13"/>
                <w:szCs w:val="13"/>
                <w:color w:val="0000FF"/>
              </w:rPr>
            </w:pPr>
            <w:hyperlink r:id="rId221">
              <w:r>
                <w:rPr>
                  <w:rFonts w:ascii="Times New Roman" w:cs="Times New Roman" w:eastAsia="Times New Roman" w:hAnsi="Times New Roman"/>
                  <w:sz w:val="13"/>
                  <w:szCs w:val="13"/>
                  <w:color w:val="0000FF"/>
                </w:rPr>
                <w:t>on Form 10-Q, as amended (File No. 001-37352) filed on May 29, 2015).</w:t>
              </w:r>
            </w:hyperlink>
          </w:p>
        </w:tc>
        <w:tc>
          <w:tcPr>
            <w:tcW w:w="429496723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EFEF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540" w:type="dxa"/>
            <w:vAlign w:val="bottom"/>
          </w:tcPr>
          <w:p>
            <w:pPr>
              <w:spacing w:after="0"/>
              <w:rPr>
                <w:sz w:val="14"/>
                <w:szCs w:val="14"/>
                <w:color w:val="auto"/>
              </w:rPr>
            </w:pPr>
          </w:p>
        </w:tc>
        <w:tc>
          <w:tcPr>
            <w:tcW w:w="86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Stockholders Agreement, dated April 20, 2017, by and among Virtu Financial, Inc., TJMT Holdings LLC, Aranda Investments Pte. Ltd., Havelock Fund</w:t>
              </w:r>
            </w:hyperlink>
          </w:p>
        </w:tc>
        <w:tc>
          <w:tcPr>
            <w:tcW w:w="62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9260" w:type="dxa"/>
            <w:vAlign w:val="bottom"/>
            <w:gridSpan w:val="37"/>
          </w:tcPr>
          <w:p>
            <w:pPr>
              <w:spacing w:after="0" w:line="118" w:lineRule="exact"/>
              <w:rPr>
                <w:rFonts w:ascii="Times New Roman" w:cs="Times New Roman" w:eastAsia="Times New Roman" w:hAnsi="Times New Roman"/>
                <w:sz w:val="13"/>
                <w:szCs w:val="13"/>
                <w:color w:val="0000FF"/>
              </w:rPr>
            </w:pPr>
            <w:hyperlink r:id="rId222">
              <w:r>
                <w:rPr>
                  <w:rFonts w:ascii="Times New Roman" w:cs="Times New Roman" w:eastAsia="Times New Roman" w:hAnsi="Times New Roman"/>
                  <w:sz w:val="13"/>
                  <w:szCs w:val="13"/>
                  <w:color w:val="0000FF"/>
                </w:rPr>
                <w:t>Investments Pte Ltd. and North Island Holdings I, LP (incorporated herein by reference to Exhibit 10.2 to the Company’s Quarterly Report on Form 10-Q (File</w:t>
              </w:r>
            </w:hyperlink>
          </w:p>
        </w:tc>
        <w:tc>
          <w:tcPr>
            <w:tcW w:w="0" w:type="dxa"/>
            <w:vAlign w:val="bottom"/>
          </w:tcPr>
          <w:p>
            <w:pPr>
              <w:spacing w:after="0"/>
              <w:rPr>
                <w:sz w:val="1"/>
                <w:szCs w:val="1"/>
                <w:color w:val="auto"/>
              </w:rPr>
            </w:pPr>
          </w:p>
        </w:tc>
      </w:tr>
      <w:tr>
        <w:trPr>
          <w:trHeight w:val="129"/>
        </w:trPr>
        <w:tc>
          <w:tcPr>
            <w:tcW w:w="1460" w:type="dxa"/>
            <w:vAlign w:val="bottom"/>
            <w:tcBorders>
              <w:top w:val="single" w:sz="8" w:color="FEFEFE"/>
            </w:tcBorders>
            <w:shd w:val="clear" w:color="auto" w:fill="FEFEFE"/>
          </w:tcPr>
          <w:p>
            <w:pPr>
              <w:spacing w:after="0"/>
              <w:rPr>
                <w:sz w:val="11"/>
                <w:szCs w:val="11"/>
                <w:color w:val="auto"/>
              </w:rPr>
            </w:pPr>
          </w:p>
        </w:tc>
        <w:tc>
          <w:tcPr>
            <w:tcW w:w="540" w:type="dxa"/>
            <w:vAlign w:val="bottom"/>
          </w:tcPr>
          <w:p>
            <w:pPr>
              <w:spacing w:after="0"/>
              <w:rPr>
                <w:sz w:val="11"/>
                <w:szCs w:val="11"/>
                <w:color w:val="auto"/>
              </w:rPr>
            </w:pPr>
          </w:p>
        </w:tc>
        <w:tc>
          <w:tcPr>
            <w:tcW w:w="902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No. 001-37352) filed on May 10, 2017).</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EFEF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540" w:type="dxa"/>
            <w:vAlign w:val="bottom"/>
          </w:tcPr>
          <w:p>
            <w:pPr>
              <w:spacing w:after="0"/>
              <w:rPr>
                <w:sz w:val="13"/>
                <w:szCs w:val="13"/>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Amended and Restated Registration Rights Agreement, dated April 20, 2017, by and among Virtu Financial, Inc., TJMT Holdings LLC, Aranda Investments Pte.</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bottom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9160" w:type="dxa"/>
            <w:vAlign w:val="bottom"/>
            <w:tcBorders>
              <w:top w:val="single" w:sz="8" w:color="0000FF"/>
              <w:bottom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223">
              <w:r>
                <w:rPr>
                  <w:rFonts w:ascii="Times New Roman" w:cs="Times New Roman" w:eastAsia="Times New Roman" w:hAnsi="Times New Roman"/>
                  <w:sz w:val="13"/>
                  <w:szCs w:val="13"/>
                  <w:color w:val="0000FF"/>
                </w:rPr>
                <w:t>Ltd., Havelock Fund Investments Pte Ltd., North Island Holdings I, LP and the additional holders named therein (incorporated herein by reference to Exhibit 10.3</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60" w:type="dxa"/>
            <w:vAlign w:val="bottom"/>
            <w:shd w:val="clear" w:color="auto" w:fill="FEFEFE"/>
          </w:tcPr>
          <w:p>
            <w:pPr>
              <w:spacing w:after="0"/>
              <w:rPr>
                <w:sz w:val="11"/>
                <w:szCs w:val="11"/>
                <w:color w:val="auto"/>
              </w:rPr>
            </w:pPr>
          </w:p>
        </w:tc>
        <w:tc>
          <w:tcPr>
            <w:tcW w:w="540" w:type="dxa"/>
            <w:vAlign w:val="bottom"/>
          </w:tcPr>
          <w:p>
            <w:pPr>
              <w:spacing w:after="0"/>
              <w:rPr>
                <w:sz w:val="11"/>
                <w:szCs w:val="11"/>
                <w:color w:val="auto"/>
              </w:rPr>
            </w:pPr>
          </w:p>
        </w:tc>
        <w:tc>
          <w:tcPr>
            <w:tcW w:w="9220" w:type="dxa"/>
            <w:vAlign w:val="bottom"/>
            <w:gridSpan w:val="31"/>
          </w:tcPr>
          <w:p>
            <w:pPr>
              <w:spacing w:after="0" w:line="129" w:lineRule="exact"/>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to the Company’s Quarterly Report on Form 10-Q (File No. 001-37352) filed on May 10, 2017).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EFEF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540" w:type="dxa"/>
            <w:vAlign w:val="bottom"/>
          </w:tcPr>
          <w:p>
            <w:pPr>
              <w:spacing w:after="0"/>
              <w:rPr>
                <w:sz w:val="13"/>
                <w:szCs w:val="13"/>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Second Amendment, dated as of June 2, 2017, to the Third Amended and Restated Limited Liability Company Agreement of Virtu Financial LLC, by and among</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918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224">
              <w:r>
                <w:rPr>
                  <w:rFonts w:ascii="Times New Roman" w:cs="Times New Roman" w:eastAsia="Times New Roman" w:hAnsi="Times New Roman"/>
                  <w:sz w:val="13"/>
                  <w:szCs w:val="13"/>
                  <w:color w:val="0000FF"/>
                </w:rPr>
                <w:t>Virtu Financial LLC, Virtu Financial, Inc. and TJMT Holdings LLC (incorporated herein by reference to Exhibit 10.1 to the Company’s Current Report on Form</w:t>
              </w:r>
            </w:hyperlink>
          </w:p>
        </w:tc>
        <w:tc>
          <w:tcPr>
            <w:tcW w:w="80" w:type="dxa"/>
            <w:vAlign w:val="bottom"/>
            <w:gridSpan w:val="8"/>
          </w:tcPr>
          <w:p>
            <w:pPr>
              <w:jc w:val="right"/>
              <w:ind w:right="20"/>
              <w:spacing w:after="0"/>
              <w:rPr>
                <w:rFonts w:ascii="Times New Roman" w:cs="Times New Roman" w:eastAsia="Times New Roman" w:hAnsi="Times New Roman"/>
                <w:sz w:val="6"/>
                <w:szCs w:val="6"/>
                <w:color w:val="0000FF"/>
                <w:w w:val="78"/>
              </w:rPr>
            </w:pPr>
            <w:hyperlink r:id="rId224">
              <w:r>
                <w:rPr>
                  <w:rFonts w:ascii="Times New Roman" w:cs="Times New Roman" w:eastAsia="Times New Roman" w:hAnsi="Times New Roman"/>
                  <w:sz w:val="6"/>
                  <w:szCs w:val="6"/>
                  <w:color w:val="0000FF"/>
                  <w:w w:val="78"/>
                </w:rPr>
                <w:t>8-</w:t>
              </w:r>
            </w:hyperlink>
          </w:p>
        </w:tc>
        <w:tc>
          <w:tcPr>
            <w:tcW w:w="0" w:type="dxa"/>
            <w:vAlign w:val="bottom"/>
          </w:tcPr>
          <w:p>
            <w:pPr>
              <w:spacing w:after="0"/>
              <w:rPr>
                <w:sz w:val="1"/>
                <w:szCs w:val="1"/>
                <w:color w:val="auto"/>
              </w:rPr>
            </w:pPr>
          </w:p>
        </w:tc>
      </w:tr>
      <w:tr>
        <w:trPr>
          <w:trHeight w:val="129"/>
        </w:trPr>
        <w:tc>
          <w:tcPr>
            <w:tcW w:w="1460" w:type="dxa"/>
            <w:vAlign w:val="bottom"/>
            <w:tcBorders>
              <w:top w:val="single" w:sz="8" w:color="FEFEFE"/>
              <w:bottom w:val="single" w:sz="8" w:color="FEFEFE"/>
            </w:tcBorders>
            <w:shd w:val="clear" w:color="auto" w:fill="FEFEFE"/>
          </w:tcPr>
          <w:p>
            <w:pPr>
              <w:spacing w:after="0"/>
              <w:rPr>
                <w:sz w:val="11"/>
                <w:szCs w:val="11"/>
                <w:color w:val="auto"/>
              </w:rPr>
            </w:pPr>
          </w:p>
        </w:tc>
        <w:tc>
          <w:tcPr>
            <w:tcW w:w="540" w:type="dxa"/>
            <w:vAlign w:val="bottom"/>
          </w:tcPr>
          <w:p>
            <w:pPr>
              <w:spacing w:after="0"/>
              <w:rPr>
                <w:sz w:val="11"/>
                <w:szCs w:val="11"/>
                <w:color w:val="auto"/>
              </w:rPr>
            </w:pPr>
          </w:p>
        </w:tc>
        <w:tc>
          <w:tcPr>
            <w:tcW w:w="266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K (File No. 001-37352) filed on June 2, 2017).</w:t>
              </w:r>
            </w:hyperlink>
          </w:p>
        </w:tc>
        <w:tc>
          <w:tcPr>
            <w:tcW w:w="6580" w:type="dxa"/>
            <w:vAlign w:val="bottom"/>
            <w:tcBorders>
              <w:top w:val="single" w:sz="8" w:color="0000FF"/>
            </w:tcBorders>
            <w:gridSpan w:val="3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540" w:type="dxa"/>
            <w:vAlign w:val="bottom"/>
          </w:tcPr>
          <w:p>
            <w:pPr>
              <w:spacing w:after="0"/>
              <w:rPr>
                <w:sz w:val="13"/>
                <w:szCs w:val="13"/>
                <w:color w:val="auto"/>
              </w:rPr>
            </w:pPr>
          </w:p>
        </w:tc>
        <w:tc>
          <w:tcPr>
            <w:tcW w:w="906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Third Amendment, dated as of January 5, 2018, to the Third Amended and Restated Limited Liability Company Agreement of Virtu Financial LLC, dated as of</w:t>
              </w:r>
            </w:hyperlink>
          </w:p>
        </w:tc>
        <w:tc>
          <w:tcPr>
            <w:tcW w:w="2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460" w:type="dxa"/>
            <w:vAlign w:val="bottom"/>
            <w:tcBorders>
              <w:bottom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9240" w:type="dxa"/>
            <w:vAlign w:val="bottom"/>
            <w:tcBorders>
              <w:bottom w:val="single" w:sz="8" w:color="0000FF"/>
            </w:tcBorders>
            <w:gridSpan w:val="36"/>
          </w:tcPr>
          <w:p>
            <w:pPr>
              <w:spacing w:after="0" w:line="118" w:lineRule="exact"/>
              <w:rPr>
                <w:rFonts w:ascii="Times New Roman" w:cs="Times New Roman" w:eastAsia="Times New Roman" w:hAnsi="Times New Roman"/>
                <w:sz w:val="13"/>
                <w:szCs w:val="13"/>
                <w:color w:val="0000FF"/>
              </w:rPr>
            </w:pPr>
            <w:hyperlink r:id="rId225">
              <w:r>
                <w:rPr>
                  <w:rFonts w:ascii="Times New Roman" w:cs="Times New Roman" w:eastAsia="Times New Roman" w:hAnsi="Times New Roman"/>
                  <w:sz w:val="13"/>
                  <w:szCs w:val="13"/>
                  <w:color w:val="0000FF"/>
                </w:rPr>
                <w:t>April 15, 2015 (incorporated herein by reference to Exhibit 10.30 to the Company’s Annual Report on Form 10-K (File No. 001-37352), filed on March 13, 2018).</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540" w:type="dxa"/>
            <w:vAlign w:val="bottom"/>
          </w:tcPr>
          <w:p>
            <w:pPr>
              <w:spacing w:after="0"/>
              <w:rPr>
                <w:sz w:val="14"/>
                <w:szCs w:val="14"/>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Amendment No. 1 to the Amended and Restated Registration Rights Agreement, dated May 10, 2018, by and among Virtu Financial, Inc., TJMT Holdings LLC,</w:t>
              </w:r>
            </w:hyperlink>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Pr>
          <w:p>
            <w:pPr>
              <w:spacing w:after="0"/>
              <w:rPr>
                <w:sz w:val="10"/>
                <w:szCs w:val="10"/>
                <w:color w:val="auto"/>
              </w:rPr>
            </w:pPr>
          </w:p>
        </w:tc>
        <w:tc>
          <w:tcPr>
            <w:tcW w:w="912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226">
              <w:r>
                <w:rPr>
                  <w:rFonts w:ascii="Times New Roman" w:cs="Times New Roman" w:eastAsia="Times New Roman" w:hAnsi="Times New Roman"/>
                  <w:sz w:val="13"/>
                  <w:szCs w:val="13"/>
                  <w:color w:val="0000FF"/>
                </w:rPr>
                <w:t>North Island Holdings I, LP, Havelock Fund Investments Pte Ltd and Aranda Investments Pte. Ltd (incorporated herein by reference to Exhibit 10.1 to the</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60" w:type="dxa"/>
            <w:vAlign w:val="bottom"/>
            <w:tcBorders>
              <w:top w:val="single" w:sz="8" w:color="FEFEFE"/>
            </w:tcBorders>
            <w:shd w:val="clear" w:color="auto" w:fill="FEFEFE"/>
          </w:tcPr>
          <w:p>
            <w:pPr>
              <w:spacing w:after="0"/>
              <w:rPr>
                <w:sz w:val="11"/>
                <w:szCs w:val="11"/>
                <w:color w:val="auto"/>
              </w:rPr>
            </w:pPr>
          </w:p>
        </w:tc>
        <w:tc>
          <w:tcPr>
            <w:tcW w:w="540" w:type="dxa"/>
            <w:vAlign w:val="bottom"/>
          </w:tcPr>
          <w:p>
            <w:pPr>
              <w:spacing w:after="0"/>
              <w:rPr>
                <w:sz w:val="11"/>
                <w:szCs w:val="11"/>
                <w:color w:val="auto"/>
              </w:rPr>
            </w:pPr>
          </w:p>
        </w:tc>
        <w:tc>
          <w:tcPr>
            <w:tcW w:w="872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Company’s Current Report on Form 8-K (File No. 001-37352), filed on May 15, 2018).</w:t>
              </w:r>
            </w:hyperlink>
          </w:p>
        </w:tc>
        <w:tc>
          <w:tcPr>
            <w:tcW w:w="360" w:type="dxa"/>
            <w:vAlign w:val="bottom"/>
            <w:gridSpan w:val="9"/>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460" w:type="dxa"/>
            <w:vAlign w:val="bottom"/>
            <w:shd w:val="clear" w:color="auto" w:fill="FEFEFE"/>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540" w:type="dxa"/>
            <w:vAlign w:val="bottom"/>
          </w:tcPr>
          <w:p>
            <w:pPr>
              <w:spacing w:after="0"/>
              <w:rPr>
                <w:sz w:val="16"/>
                <w:szCs w:val="16"/>
                <w:color w:val="auto"/>
              </w:rPr>
            </w:pPr>
          </w:p>
        </w:tc>
        <w:tc>
          <w:tcPr>
            <w:tcW w:w="9260" w:type="dxa"/>
            <w:vAlign w:val="bottom"/>
            <w:gridSpan w:val="37"/>
            <w:vMerge w:val="restart"/>
          </w:tcPr>
          <w:p>
            <w:pPr>
              <w:spacing w:after="0"/>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Investment Technology Group, Inc. 2007 Omnibus Equity Compensation Plan, Amended and Restated Effective June 8, 2017 (incorporated herein by reference to</w:t>
              </w:r>
            </w:hyperlink>
          </w:p>
        </w:tc>
        <w:tc>
          <w:tcPr>
            <w:tcW w:w="0" w:type="dxa"/>
            <w:vAlign w:val="bottom"/>
          </w:tcPr>
          <w:p>
            <w:pPr>
              <w:spacing w:after="0"/>
              <w:rPr>
                <w:sz w:val="1"/>
                <w:szCs w:val="1"/>
                <w:color w:val="auto"/>
              </w:rPr>
            </w:pPr>
          </w:p>
        </w:tc>
      </w:tr>
      <w:tr>
        <w:trPr>
          <w:trHeight w:val="39"/>
        </w:trPr>
        <w:tc>
          <w:tcPr>
            <w:tcW w:w="1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60" w:type="dxa"/>
            <w:vAlign w:val="bottom"/>
            <w:gridSpan w:val="3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8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227">
              <w:r>
                <w:rPr>
                  <w:rFonts w:ascii="Times New Roman" w:cs="Times New Roman" w:eastAsia="Times New Roman" w:hAnsi="Times New Roman"/>
                  <w:sz w:val="13"/>
                  <w:szCs w:val="13"/>
                  <w:color w:val="0000FF"/>
                </w:rPr>
                <w:t>Exhibit 4.3 to the Company’s Registration Statement on Form S-8 (File No. 333-230012) filed on March 1, 2019).</w:t>
              </w:r>
            </w:hyperlink>
          </w:p>
        </w:tc>
        <w:tc>
          <w:tcPr>
            <w:tcW w:w="276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540" w:type="dxa"/>
            <w:vAlign w:val="bottom"/>
          </w:tcPr>
          <w:p>
            <w:pPr>
              <w:spacing w:after="0"/>
              <w:rPr>
                <w:sz w:val="20"/>
                <w:szCs w:val="20"/>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Virtu Financial, Inc. Amended and Restated 2015 Management Incentive Plan Employee Restricted Stock Unit Award Agreement, dated as of February 3, 2022,</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6500" w:type="dxa"/>
            <w:vAlign w:val="bottom"/>
            <w:gridSpan w:val="21"/>
            <w:shd w:val="clear" w:color="auto" w:fill="0000FF"/>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60" w:type="dxa"/>
            <w:vAlign w:val="bottom"/>
            <w:gridSpan w:val="37"/>
          </w:tcPr>
          <w:p>
            <w:pPr>
              <w:spacing w:after="0" w:line="118" w:lineRule="exact"/>
              <w:rPr>
                <w:rFonts w:ascii="Times New Roman" w:cs="Times New Roman" w:eastAsia="Times New Roman" w:hAnsi="Times New Roman"/>
                <w:sz w:val="13"/>
                <w:szCs w:val="13"/>
                <w:color w:val="0000FF"/>
              </w:rPr>
            </w:pPr>
            <w:hyperlink r:id="rId228">
              <w:r>
                <w:rPr>
                  <w:rFonts w:ascii="Times New Roman" w:cs="Times New Roman" w:eastAsia="Times New Roman" w:hAnsi="Times New Roman"/>
                  <w:sz w:val="13"/>
                  <w:szCs w:val="13"/>
                  <w:color w:val="0000FF"/>
                </w:rPr>
                <w:t>by and between Virtu Financial, Inc. and Douglas A. Cifu (incorporated herein by reference to Exhibit 10.43 to the Company’s Annual Report on Form 10-K (File</w:t>
              </w:r>
            </w:hyperlink>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No. 001-37352), filed on February 18, 2022).</w:t>
              </w:r>
            </w:hyperlink>
          </w:p>
        </w:tc>
        <w:tc>
          <w:tcPr>
            <w:tcW w:w="6680" w:type="dxa"/>
            <w:vAlign w:val="bottom"/>
            <w:tcBorders>
              <w:top w:val="single" w:sz="8" w:color="0000FF"/>
            </w:tcBorders>
            <w:gridSpan w:val="30"/>
          </w:tcPr>
          <w:p>
            <w:pPr>
              <w:spacing w:after="0"/>
              <w:rPr>
                <w:sz w:val="11"/>
                <w:szCs w:val="11"/>
                <w:color w:val="auto"/>
              </w:rPr>
            </w:pPr>
          </w:p>
        </w:tc>
        <w:tc>
          <w:tcPr>
            <w:tcW w:w="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540" w:type="dxa"/>
            <w:vAlign w:val="bottom"/>
          </w:tcPr>
          <w:p>
            <w:pPr>
              <w:spacing w:after="0"/>
              <w:rPr>
                <w:sz w:val="13"/>
                <w:szCs w:val="13"/>
                <w:color w:val="auto"/>
              </w:rPr>
            </w:pPr>
          </w:p>
        </w:tc>
        <w:tc>
          <w:tcPr>
            <w:tcW w:w="9260" w:type="dxa"/>
            <w:vAlign w:val="bottom"/>
            <w:gridSpan w:val="37"/>
          </w:tcPr>
          <w:p>
            <w:pPr>
              <w:spacing w:after="0"/>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Virtu Financial, Inc. Amended and Restated 2015 Management Incentive Plan Employee Restricted Stock Unit Award Agreement, dated as of February 3, 2022,</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80" w:type="dxa"/>
            <w:vAlign w:val="bottom"/>
            <w:gridSpan w:val="24"/>
            <w:shd w:val="clear" w:color="auto" w:fill="0000FF"/>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60" w:type="dxa"/>
            <w:vAlign w:val="bottom"/>
            <w:gridSpan w:val="37"/>
          </w:tcPr>
          <w:p>
            <w:pPr>
              <w:spacing w:after="0" w:line="118" w:lineRule="exact"/>
              <w:rPr>
                <w:rFonts w:ascii="Times New Roman" w:cs="Times New Roman" w:eastAsia="Times New Roman" w:hAnsi="Times New Roman"/>
                <w:sz w:val="13"/>
                <w:szCs w:val="13"/>
                <w:color w:val="0000FF"/>
              </w:rPr>
            </w:pPr>
            <w:hyperlink r:id="rId229">
              <w:r>
                <w:rPr>
                  <w:rFonts w:ascii="Times New Roman" w:cs="Times New Roman" w:eastAsia="Times New Roman" w:hAnsi="Times New Roman"/>
                  <w:sz w:val="13"/>
                  <w:szCs w:val="13"/>
                  <w:color w:val="0000FF"/>
                </w:rPr>
                <w:t>by and between Virtu Financial, Inc. and Joseph Molluso (incorporated herein by reference to Exhibit 10.44 to the Company’s Annual Report on Form 10-K (File</w:t>
              </w:r>
            </w:hyperlink>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No. 001-37352), filed on February 18, 2022).</w:t>
              </w:r>
            </w:hyperlink>
          </w:p>
        </w:tc>
        <w:tc>
          <w:tcPr>
            <w:tcW w:w="6620" w:type="dxa"/>
            <w:vAlign w:val="bottom"/>
            <w:tcBorders>
              <w:top w:val="single" w:sz="8" w:color="0000FF"/>
            </w:tcBorders>
            <w:gridSpan w:val="27"/>
          </w:tcPr>
          <w:p>
            <w:pPr>
              <w:spacing w:after="0"/>
              <w:rPr>
                <w:sz w:val="11"/>
                <w:szCs w:val="11"/>
                <w:color w:val="auto"/>
              </w:rPr>
            </w:pPr>
          </w:p>
        </w:tc>
        <w:tc>
          <w:tcPr>
            <w:tcW w:w="6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540" w:type="dxa"/>
            <w:vAlign w:val="bottom"/>
          </w:tcPr>
          <w:p>
            <w:pPr>
              <w:spacing w:after="0"/>
              <w:rPr>
                <w:sz w:val="14"/>
                <w:szCs w:val="14"/>
                <w:color w:val="auto"/>
              </w:rPr>
            </w:pPr>
          </w:p>
        </w:tc>
        <w:tc>
          <w:tcPr>
            <w:tcW w:w="9260" w:type="dxa"/>
            <w:vAlign w:val="bottom"/>
            <w:gridSpan w:val="37"/>
          </w:tcPr>
          <w:p>
            <w:pPr>
              <w:spacing w:after="0"/>
              <w:rPr>
                <w:rFonts w:ascii="Times New Roman" w:cs="Times New Roman" w:eastAsia="Times New Roman" w:hAnsi="Times New Roman"/>
                <w:sz w:val="14"/>
                <w:szCs w:val="14"/>
                <w:u w:val="single" w:color="auto"/>
                <w:color w:val="0000FF"/>
              </w:rPr>
            </w:pPr>
            <w:hyperlink r:id="rId230">
              <w:r>
                <w:rPr>
                  <w:rFonts w:ascii="Times New Roman" w:cs="Times New Roman" w:eastAsia="Times New Roman" w:hAnsi="Times New Roman"/>
                  <w:sz w:val="14"/>
                  <w:szCs w:val="14"/>
                  <w:u w:val="single" w:color="auto"/>
                  <w:color w:val="0000FF"/>
                </w:rPr>
                <w:t>Virtu Financial, Inc. Amended and Restated 2015 Management Incentive Plan Employee Restricted Stock Unit and Common Stock Award Agreement, dated as of</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-3928110</wp:posOffset>
            </wp:positionV>
            <wp:extent cx="6224905" cy="41300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6224905" cy="4130040"/>
                    </a:xfrm>
                    <a:prstGeom prst="rect">
                      <a:avLst/>
                    </a:prstGeom>
                    <a:noFill/>
                  </pic:spPr>
                </pic:pic>
              </a:graphicData>
            </a:graphic>
          </wp:anchor>
        </w:drawing>
      </w:r>
    </w:p>
    <w:p>
      <w:pPr>
        <w:ind w:left="2000" w:right="180"/>
        <w:spacing w:after="0" w:line="235" w:lineRule="auto"/>
        <w:rPr>
          <w:rFonts w:ascii="Times New Roman" w:cs="Times New Roman" w:eastAsia="Times New Roman" w:hAnsi="Times New Roman"/>
          <w:sz w:val="14"/>
          <w:szCs w:val="14"/>
          <w:u w:val="single" w:color="auto"/>
          <w:color w:val="0000FF"/>
        </w:rPr>
      </w:pPr>
      <w:hyperlink r:id="rId230">
        <w:r>
          <w:rPr>
            <w:rFonts w:ascii="Times New Roman" w:cs="Times New Roman" w:eastAsia="Times New Roman" w:hAnsi="Times New Roman"/>
            <w:sz w:val="14"/>
            <w:szCs w:val="14"/>
            <w:u w:val="single" w:color="auto"/>
            <w:color w:val="0000FF"/>
          </w:rPr>
          <w:t>February 3, 2022, by and between Virtu Financial, Inc. and Brett Fairclough (incorporated herein by reference to Exhibit 10.47 to the Company’s Annual Report</w:t>
        </w:r>
      </w:hyperlink>
      <w:r>
        <w:rPr>
          <w:rFonts w:ascii="Times New Roman" w:cs="Times New Roman" w:eastAsia="Times New Roman" w:hAnsi="Times New Roman"/>
          <w:sz w:val="14"/>
          <w:szCs w:val="14"/>
          <w:u w:val="single" w:color="auto"/>
          <w:color w:val="0000FF"/>
        </w:rPr>
        <w:t xml:space="preserve"> </w:t>
      </w:r>
      <w:hyperlink r:id="rId230">
        <w:r>
          <w:rPr>
            <w:rFonts w:ascii="Times New Roman" w:cs="Times New Roman" w:eastAsia="Times New Roman" w:hAnsi="Times New Roman"/>
            <w:sz w:val="14"/>
            <w:szCs w:val="14"/>
            <w:u w:val="single" w:color="auto"/>
            <w:color w:val="0000FF"/>
          </w:rPr>
          <w:t>on Form 10-K (File No. 001-37352), filed on February 18, 2022).</w:t>
        </w:r>
      </w:hyperlink>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3"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10.23†</w:t>
            </w:r>
          </w:p>
        </w:tc>
        <w:tc>
          <w:tcPr>
            <w:tcW w:w="5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9300" w:type="dxa"/>
            <w:vAlign w:val="bottom"/>
            <w:gridSpan w:val="32"/>
            <w:shd w:val="clear" w:color="auto" w:fill="FEFEFE"/>
          </w:tcPr>
          <w:p>
            <w:pPr>
              <w:spacing w:after="0"/>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9220" w:type="dxa"/>
            <w:vAlign w:val="bottom"/>
            <w:tcBorders>
              <w:top w:val="single" w:sz="8" w:color="0000FF"/>
              <w:bottom w:val="single" w:sz="8" w:color="0000FF"/>
            </w:tcBorders>
            <w:gridSpan w:val="28"/>
            <w:shd w:val="clear" w:color="auto" w:fill="FEFEFE"/>
          </w:tcPr>
          <w:p>
            <w:pPr>
              <w:spacing w:after="0" w:line="118" w:lineRule="exact"/>
              <w:rPr>
                <w:rFonts w:ascii="Times New Roman" w:cs="Times New Roman" w:eastAsia="Times New Roman" w:hAnsi="Times New Roman"/>
                <w:sz w:val="13"/>
                <w:szCs w:val="13"/>
                <w:color w:val="0000FF"/>
              </w:rPr>
            </w:pPr>
            <w:hyperlink r:id="rId233">
              <w:r>
                <w:rPr>
                  <w:rFonts w:ascii="Times New Roman" w:cs="Times New Roman" w:eastAsia="Times New Roman" w:hAnsi="Times New Roman"/>
                  <w:sz w:val="13"/>
                  <w:szCs w:val="13"/>
                  <w:color w:val="0000FF"/>
                </w:rPr>
                <w:t>February 3, 2022, by and between Virtu Financial, Inc. and Stephen Cavoli (incorporated herein by reference to Exhibit 10.48 to the Company’s Annual Report on</w:t>
              </w:r>
            </w:hyperlink>
          </w:p>
        </w:tc>
        <w:tc>
          <w:tcPr>
            <w:tcW w:w="20" w:type="dxa"/>
            <w:vAlign w:val="bottom"/>
            <w:tcBorders>
              <w:top w:val="single" w:sz="8" w:color="FEFEFE"/>
              <w:bottom w:val="single" w:sz="8" w:color="0000FF"/>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10.24†</w:t>
            </w:r>
          </w:p>
        </w:tc>
        <w:tc>
          <w:tcPr>
            <w:tcW w:w="520" w:type="dxa"/>
            <w:vAlign w:val="bottom"/>
            <w:shd w:val="clear" w:color="auto" w:fill="FEFEFE"/>
          </w:tcPr>
          <w:p>
            <w:pPr>
              <w:spacing w:after="0"/>
              <w:rPr>
                <w:sz w:val="11"/>
                <w:szCs w:val="11"/>
                <w:color w:val="auto"/>
              </w:rPr>
            </w:pPr>
          </w:p>
        </w:tc>
        <w:tc>
          <w:tcPr>
            <w:tcW w:w="20" w:type="dxa"/>
            <w:vAlign w:val="bottom"/>
            <w:shd w:val="clear" w:color="auto" w:fill="FEFEFE"/>
          </w:tcPr>
          <w:p>
            <w:pPr>
              <w:spacing w:after="0"/>
              <w:rPr>
                <w:sz w:val="11"/>
                <w:szCs w:val="11"/>
                <w:color w:val="auto"/>
              </w:rPr>
            </w:pPr>
          </w:p>
        </w:tc>
        <w:tc>
          <w:tcPr>
            <w:tcW w:w="9240" w:type="dxa"/>
            <w:vAlign w:val="bottom"/>
            <w:gridSpan w:val="29"/>
            <w:shd w:val="clear" w:color="auto" w:fill="FEFEFE"/>
          </w:tcPr>
          <w:p>
            <w:pPr>
              <w:spacing w:after="0" w:line="129"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Form 10-K (File No. 001-37352), filed on February 18, 2022).</w:t>
              </w:r>
            </w:hyperlink>
          </w:p>
        </w:tc>
        <w:tc>
          <w:tcPr>
            <w:tcW w:w="20" w:type="dxa"/>
            <w:vAlign w:val="bottom"/>
            <w:shd w:val="clear" w:color="auto" w:fill="FEFEFE"/>
          </w:tcPr>
          <w:p>
            <w:pPr>
              <w:spacing w:after="0"/>
              <w:rPr>
                <w:sz w:val="11"/>
                <w:szCs w:val="11"/>
                <w:color w:val="auto"/>
              </w:rPr>
            </w:pPr>
          </w:p>
        </w:tc>
        <w:tc>
          <w:tcPr>
            <w:tcW w:w="20" w:type="dxa"/>
            <w:vAlign w:val="bottom"/>
            <w:shd w:val="clear" w:color="auto" w:fill="FEFEFE"/>
          </w:tcPr>
          <w:p>
            <w:pPr>
              <w:spacing w:after="0"/>
              <w:rPr>
                <w:sz w:val="11"/>
                <w:szCs w:val="11"/>
                <w:color w:val="auto"/>
              </w:rPr>
            </w:pPr>
          </w:p>
        </w:tc>
        <w:tc>
          <w:tcPr>
            <w:tcW w:w="20" w:type="dxa"/>
            <w:vAlign w:val="bottom"/>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440" w:type="dxa"/>
            <w:vAlign w:val="bottom"/>
            <w:vMerge w:val="continue"/>
          </w:tcPr>
          <w:p>
            <w:pPr>
              <w:spacing w:after="0"/>
              <w:rPr>
                <w:sz w:val="2"/>
                <w:szCs w:val="2"/>
                <w:color w:val="auto"/>
              </w:rPr>
            </w:pPr>
          </w:p>
        </w:tc>
        <w:tc>
          <w:tcPr>
            <w:tcW w:w="5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80" w:type="dxa"/>
            <w:vAlign w:val="bottom"/>
            <w:shd w:val="clear" w:color="auto" w:fill="FEFEFE"/>
          </w:tcPr>
          <w:p>
            <w:pPr>
              <w:spacing w:after="0"/>
              <w:rPr>
                <w:sz w:val="2"/>
                <w:szCs w:val="2"/>
                <w:color w:val="auto"/>
              </w:rPr>
            </w:pPr>
          </w:p>
        </w:tc>
        <w:tc>
          <w:tcPr>
            <w:tcW w:w="1900" w:type="dxa"/>
            <w:vAlign w:val="bottom"/>
            <w:shd w:val="clear" w:color="auto" w:fill="FEFEFE"/>
          </w:tcPr>
          <w:p>
            <w:pPr>
              <w:spacing w:after="0"/>
              <w:rPr>
                <w:sz w:val="2"/>
                <w:szCs w:val="2"/>
                <w:color w:val="auto"/>
              </w:rPr>
            </w:pPr>
          </w:p>
        </w:tc>
        <w:tc>
          <w:tcPr>
            <w:tcW w:w="1220" w:type="dxa"/>
            <w:vAlign w:val="bottom"/>
            <w:shd w:val="clear" w:color="auto" w:fill="FEFEFE"/>
          </w:tcPr>
          <w:p>
            <w:pPr>
              <w:spacing w:after="0"/>
              <w:rPr>
                <w:sz w:val="2"/>
                <w:szCs w:val="2"/>
                <w:color w:val="auto"/>
              </w:rPr>
            </w:pPr>
          </w:p>
        </w:tc>
        <w:tc>
          <w:tcPr>
            <w:tcW w:w="720" w:type="dxa"/>
            <w:vAlign w:val="bottom"/>
            <w:shd w:val="clear" w:color="auto" w:fill="FEFEFE"/>
          </w:tcPr>
          <w:p>
            <w:pPr>
              <w:spacing w:after="0"/>
              <w:rPr>
                <w:sz w:val="2"/>
                <w:szCs w:val="2"/>
                <w:color w:val="auto"/>
              </w:rPr>
            </w:pPr>
          </w:p>
        </w:tc>
        <w:tc>
          <w:tcPr>
            <w:tcW w:w="98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180" w:type="dxa"/>
            <w:vAlign w:val="bottom"/>
            <w:shd w:val="clear" w:color="auto" w:fill="FEFEFE"/>
          </w:tcPr>
          <w:p>
            <w:pPr>
              <w:spacing w:after="0"/>
              <w:rPr>
                <w:sz w:val="2"/>
                <w:szCs w:val="2"/>
                <w:color w:val="auto"/>
              </w:rPr>
            </w:pPr>
          </w:p>
        </w:tc>
        <w:tc>
          <w:tcPr>
            <w:tcW w:w="6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6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4294967257"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440" w:type="dxa"/>
            <w:vAlign w:val="bottom"/>
            <w:vMerge w:val="continue"/>
          </w:tcPr>
          <w:p>
            <w:pPr>
              <w:spacing w:after="0"/>
              <w:rPr>
                <w:sz w:val="12"/>
                <w:szCs w:val="12"/>
                <w:color w:val="auto"/>
              </w:rPr>
            </w:pPr>
          </w:p>
        </w:tc>
        <w:tc>
          <w:tcPr>
            <w:tcW w:w="520" w:type="dxa"/>
            <w:vAlign w:val="bottom"/>
            <w:shd w:val="clear" w:color="auto" w:fill="FEFEFE"/>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gridSpan w:val="32"/>
          </w:tcPr>
          <w:p>
            <w:pPr>
              <w:spacing w:after="0" w:line="149"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Virtu Financial, Inc. Deferred Compensation Plan (incorporated herein by reference to Exhibit 10.40 to the Company’s Annual Report on Form 10-K (File No.</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234">
              <w:r>
                <w:rPr>
                  <w:rFonts w:ascii="Times New Roman" w:cs="Times New Roman" w:eastAsia="Times New Roman" w:hAnsi="Times New Roman"/>
                  <w:sz w:val="13"/>
                  <w:szCs w:val="13"/>
                  <w:color w:val="0000FF"/>
                </w:rPr>
                <w:t>001-37352) filed on February 25, 2021)</w:t>
              </w:r>
            </w:hyperlink>
          </w:p>
        </w:tc>
        <w:tc>
          <w:tcPr>
            <w:tcW w:w="6760" w:type="dxa"/>
            <w:vAlign w:val="bottom"/>
            <w:tcBorders>
              <w:top w:val="single" w:sz="8" w:color="0000FF"/>
            </w:tcBorders>
            <w:gridSpan w:val="16"/>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10.25†</w:t>
            </w:r>
          </w:p>
        </w:tc>
        <w:tc>
          <w:tcPr>
            <w:tcW w:w="520" w:type="dxa"/>
            <w:vAlign w:val="bottom"/>
            <w:shd w:val="clear" w:color="auto" w:fill="FEFEFE"/>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Virtu Financial, Inc. Amended and Restated 2015 Management Incentive Plan Employee Restricted Stock Unit Award Agreement, dated as of March 1, 2022, by</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12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235">
              <w:r>
                <w:rPr>
                  <w:rFonts w:ascii="Times New Roman" w:cs="Times New Roman" w:eastAsia="Times New Roman" w:hAnsi="Times New Roman"/>
                  <w:sz w:val="13"/>
                  <w:szCs w:val="13"/>
                  <w:color w:val="0000FF"/>
                </w:rPr>
                <w:t>and between Virtu Financial, Inc. and Douglas A. Cifu (incorporated herein by reference to Exhibit 10.1 to the Company’s Quarterly Report on Form 10-Q (File</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5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No. 001-37352) filed on May 3, 2022).</w:t>
              </w:r>
            </w:hyperlink>
          </w:p>
        </w:tc>
        <w:tc>
          <w:tcPr>
            <w:tcW w:w="686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5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10.26†</w:t>
            </w:r>
          </w:p>
        </w:tc>
        <w:tc>
          <w:tcPr>
            <w:tcW w:w="520" w:type="dxa"/>
            <w:vAlign w:val="bottom"/>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Virtu Financial, Inc. Second Amended and Restated Employment Agreement, dated as of April 29, 2022, by and between Virtu Financial, Inc. and Douglas A.</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864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236">
              <w:r>
                <w:rPr>
                  <w:rFonts w:ascii="Times New Roman" w:cs="Times New Roman" w:eastAsia="Times New Roman" w:hAnsi="Times New Roman"/>
                  <w:sz w:val="13"/>
                  <w:szCs w:val="13"/>
                  <w:color w:val="0000FF"/>
                </w:rPr>
                <w:t>Cifu (incorporated herein by reference to Exhibit 10.1 to the Company’s Quarterly Report on Form 10-Q (File No. 001-37352) filed on August 2, 2022).</w:t>
              </w:r>
            </w:hyperlink>
          </w:p>
        </w:tc>
        <w:tc>
          <w:tcPr>
            <w:tcW w:w="34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10.27†</w:t>
            </w:r>
          </w:p>
        </w:tc>
        <w:tc>
          <w:tcPr>
            <w:tcW w:w="520" w:type="dxa"/>
            <w:vAlign w:val="bottom"/>
            <w:shd w:val="clear" w:color="auto" w:fill="FEFEFE"/>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Virtu Financial, Inc. Amended and Restated Employment Agreement, dated as of December 1, 2022, by and between Virtu Financial Operating LLC and Joseph</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00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237">
              <w:r>
                <w:rPr>
                  <w:rFonts w:ascii="Times New Roman" w:cs="Times New Roman" w:eastAsia="Times New Roman" w:hAnsi="Times New Roman"/>
                  <w:sz w:val="13"/>
                  <w:szCs w:val="13"/>
                  <w:color w:val="0000FF"/>
                </w:rPr>
                <w:t>Molluso (incorporated herein by reference to Exhibit 10.46 to the Company’s Annual Report on Form 10-K (File No. 001-37352) filed on February 17, 2023).</w:t>
              </w:r>
            </w:hyperlink>
          </w:p>
        </w:tc>
        <w:tc>
          <w:tcPr>
            <w:tcW w:w="14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10.28†</w:t>
            </w:r>
          </w:p>
        </w:tc>
        <w:tc>
          <w:tcPr>
            <w:tcW w:w="520" w:type="dxa"/>
            <w:vAlign w:val="bottom"/>
            <w:tcBorders>
              <w:bottom w:val="single" w:sz="8" w:color="FEFEFE"/>
            </w:tcBorders>
            <w:shd w:val="clear" w:color="auto" w:fill="FEFEFE"/>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Virtu Financial, Inc. Amended and Restated Employment Agreement, dated as of December 1, 2022, by and between Virtu Financial Operating LLC and Brett</w:t>
              </w:r>
            </w:hyperlink>
          </w:p>
        </w:tc>
        <w:tc>
          <w:tcPr>
            <w:tcW w:w="3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bottom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120" w:type="dxa"/>
            <w:vAlign w:val="bottom"/>
            <w:tcBorders>
              <w:bottom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238">
              <w:r>
                <w:rPr>
                  <w:rFonts w:ascii="Times New Roman" w:cs="Times New Roman" w:eastAsia="Times New Roman" w:hAnsi="Times New Roman"/>
                  <w:sz w:val="13"/>
                  <w:szCs w:val="13"/>
                  <w:color w:val="0000FF"/>
                </w:rPr>
                <w:t>Fairclough (incorporated herein by reference to Exhibit 10.47 to the Company’s Annual Report on Form 10-K (File No. 001-37352) filed on February 17, 2023).</w:t>
              </w:r>
            </w:hyperlink>
          </w:p>
        </w:tc>
        <w:tc>
          <w:tcPr>
            <w:tcW w:w="1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10.29†</w:t>
            </w:r>
          </w:p>
        </w:tc>
        <w:tc>
          <w:tcPr>
            <w:tcW w:w="520" w:type="dxa"/>
            <w:vAlign w:val="bottom"/>
            <w:shd w:val="clear" w:color="auto" w:fill="FEFEFE"/>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Virtu Financial, Inc. Amended and Restated Employment Agreement, dated as of December 1, 2022, by and between Virtu Financial Operating LLC and Stephen</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888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239">
              <w:r>
                <w:rPr>
                  <w:rFonts w:ascii="Times New Roman" w:cs="Times New Roman" w:eastAsia="Times New Roman" w:hAnsi="Times New Roman"/>
                  <w:sz w:val="13"/>
                  <w:szCs w:val="13"/>
                  <w:color w:val="0000FF"/>
                </w:rPr>
                <w:t>Cavoli (incorporated herein by reference to Exhibit 10.48 to the Company’s Annual Report on Form 10-K (File No. 001-37352) filed on February 17, 2023).</w:t>
              </w:r>
            </w:hyperlink>
          </w:p>
        </w:tc>
        <w:tc>
          <w:tcPr>
            <w:tcW w:w="28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10.30†</w:t>
            </w:r>
          </w:p>
        </w:tc>
        <w:tc>
          <w:tcPr>
            <w:tcW w:w="520" w:type="dxa"/>
            <w:vAlign w:val="bottom"/>
            <w:shd w:val="clear" w:color="auto" w:fill="FEFEFE"/>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Virtu Financial, Inc. 2015 Amended and Restated Management Incentive Plan Amendment No. 1 to Employee Restricted Stock Unit Award Agreement dated as of</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28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240">
              <w:r>
                <w:rPr>
                  <w:rFonts w:ascii="Times New Roman" w:cs="Times New Roman" w:eastAsia="Times New Roman" w:hAnsi="Times New Roman"/>
                  <w:sz w:val="13"/>
                  <w:szCs w:val="13"/>
                  <w:color w:val="0000FF"/>
                </w:rPr>
                <w:t>December 1, 2022 to Restricted Stock Unit Award Agreement dated as of March 1, 2022, by and between Virtu Financial, Inc. and Douglas A. Cifu (incorporated</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520" w:type="dxa"/>
            <w:vAlign w:val="bottom"/>
            <w:tcBorders>
              <w:top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918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herein by reference to Exhibit 10.49 to the Company’s Annual Report on Form 10-K (File No. 001-37352) filed on February 17, 2023).</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10.31†</w:t>
            </w:r>
          </w:p>
        </w:tc>
        <w:tc>
          <w:tcPr>
            <w:tcW w:w="520" w:type="dxa"/>
            <w:vAlign w:val="bottom"/>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Virtu Financial, Inc. Amended and Restated 2015 Management Incentive Plan Employee Restricted Stock Unit Award Agreement, dated as of February 3, 2023,</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12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241">
              <w:r>
                <w:rPr>
                  <w:rFonts w:ascii="Times New Roman" w:cs="Times New Roman" w:eastAsia="Times New Roman" w:hAnsi="Times New Roman"/>
                  <w:sz w:val="13"/>
                  <w:szCs w:val="13"/>
                  <w:color w:val="0000FF"/>
                </w:rPr>
                <w:t>by and between Virtu Financial, Inc. and Douglas A. Cifu (incorporated herein by reference to Exhibit 10.1 to the Company’s Quarterly Report on Form 10-Q</w:t>
              </w:r>
            </w:hyperlink>
          </w:p>
        </w:tc>
        <w:tc>
          <w:tcPr>
            <w:tcW w:w="40" w:type="dxa"/>
            <w:vAlign w:val="bottom"/>
            <w:gridSpan w:val="2"/>
          </w:tcPr>
          <w:p>
            <w:pPr>
              <w:spacing w:after="0"/>
              <w:rPr>
                <w:sz w:val="10"/>
                <w:szCs w:val="10"/>
                <w:color w:val="auto"/>
              </w:rPr>
            </w:pPr>
          </w:p>
        </w:tc>
        <w:tc>
          <w:tcPr>
            <w:tcW w:w="4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520" w:type="dxa"/>
            <w:vAlign w:val="bottom"/>
            <w:tcBorders>
              <w:top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896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(File No. 001-37352) filed on April 28, 2023).</w:t>
              </w:r>
            </w:hyperlink>
          </w:p>
        </w:tc>
        <w:tc>
          <w:tcPr>
            <w:tcW w:w="14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10.32†</w:t>
            </w:r>
          </w:p>
        </w:tc>
        <w:tc>
          <w:tcPr>
            <w:tcW w:w="520" w:type="dxa"/>
            <w:vAlign w:val="bottom"/>
            <w:tcBorders>
              <w:bottom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Virtu Financial, Inc. Amended and Restated 2015 Management Incentive Plan Employee Restricted Stock Unit Award Agreement, dated as of February 3, 2023,</w:t>
              </w:r>
            </w:hyperlink>
          </w:p>
        </w:tc>
        <w:tc>
          <w:tcPr>
            <w:tcW w:w="1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300" w:type="dxa"/>
            <w:vAlign w:val="bottom"/>
            <w:gridSpan w:val="32"/>
          </w:tcPr>
          <w:p>
            <w:pPr>
              <w:spacing w:after="0" w:line="118" w:lineRule="exact"/>
              <w:rPr>
                <w:rFonts w:ascii="Times New Roman" w:cs="Times New Roman" w:eastAsia="Times New Roman" w:hAnsi="Times New Roman"/>
                <w:sz w:val="13"/>
                <w:szCs w:val="13"/>
                <w:color w:val="0000FF"/>
              </w:rPr>
            </w:pPr>
            <w:hyperlink r:id="rId242">
              <w:r>
                <w:rPr>
                  <w:rFonts w:ascii="Times New Roman" w:cs="Times New Roman" w:eastAsia="Times New Roman" w:hAnsi="Times New Roman"/>
                  <w:sz w:val="13"/>
                  <w:szCs w:val="13"/>
                  <w:color w:val="0000FF"/>
                </w:rPr>
                <w:t>by and between Virtu Financial, Inc. and Joseph Molluso (incorporated herein by reference to Exhibit 10.2 to the Company’s Quarterly Report on Form 10-Q (File</w:t>
              </w:r>
            </w:hyperlink>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520" w:type="dxa"/>
            <w:vAlign w:val="bottom"/>
            <w:tcBorders>
              <w:top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926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No. 001-37352) filed on April 28, 2023).</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10.33†</w:t>
            </w:r>
          </w:p>
        </w:tc>
        <w:tc>
          <w:tcPr>
            <w:tcW w:w="520" w:type="dxa"/>
            <w:vAlign w:val="bottom"/>
            <w:tcBorders>
              <w:bottom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Virtu Financial, Inc. Amended and Restated 2015 Management Incentive Plan Employee Restricted Stock Unit Award Agreement, dated as of February 3, 2023,</w:t>
              </w:r>
            </w:hyperlink>
          </w:p>
        </w:tc>
        <w:tc>
          <w:tcPr>
            <w:tcW w:w="1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300" w:type="dxa"/>
            <w:vAlign w:val="bottom"/>
            <w:gridSpan w:val="32"/>
          </w:tcPr>
          <w:p>
            <w:pPr>
              <w:spacing w:after="0" w:line="118" w:lineRule="exact"/>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by and between Virtu Financial, Inc. and Stephen Cavoli (incorporated herein by reference to Exhibit 10.3 to the Company’s Quarterly Report on Form 10-Q (File</w:t>
              </w:r>
            </w:hyperlink>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520" w:type="dxa"/>
            <w:vAlign w:val="bottom"/>
            <w:tcBorders>
              <w:top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920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No. 001-37352) filed on April 28, 2023).</w:t>
              </w:r>
            </w:hyperlink>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10.34†</w:t>
            </w:r>
          </w:p>
        </w:tc>
        <w:tc>
          <w:tcPr>
            <w:tcW w:w="520" w:type="dxa"/>
            <w:vAlign w:val="bottom"/>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Virtu Financial, Inc. Amended and Restated 2015 Management Incentive Plan Employee Restricted Stock Unit Award Agreement, dated as of February 3, 2023,</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12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243">
              <w:r>
                <w:rPr>
                  <w:rFonts w:ascii="Times New Roman" w:cs="Times New Roman" w:eastAsia="Times New Roman" w:hAnsi="Times New Roman"/>
                  <w:sz w:val="13"/>
                  <w:szCs w:val="13"/>
                  <w:color w:val="0000FF"/>
                </w:rPr>
                <w:t>by and between Virtu Financial, Inc. and Brett Fairclough (incorporated herein by reference to Exhibit 10.4 to the Company’s Quarterly Report on Form 10-Q</w:t>
              </w:r>
            </w:hyperlink>
          </w:p>
        </w:tc>
        <w:tc>
          <w:tcPr>
            <w:tcW w:w="40" w:type="dxa"/>
            <w:vAlign w:val="bottom"/>
            <w:gridSpan w:val="2"/>
          </w:tcPr>
          <w:p>
            <w:pPr>
              <w:spacing w:after="0"/>
              <w:rPr>
                <w:sz w:val="10"/>
                <w:szCs w:val="10"/>
                <w:color w:val="auto"/>
              </w:rPr>
            </w:pPr>
          </w:p>
        </w:tc>
        <w:tc>
          <w:tcPr>
            <w:tcW w:w="14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520" w:type="dxa"/>
            <w:vAlign w:val="bottom"/>
            <w:tcBorders>
              <w:top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894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(File No. 001-37352) filed on April 28, 2023).</w:t>
              </w:r>
            </w:hyperlink>
          </w:p>
        </w:tc>
        <w:tc>
          <w:tcPr>
            <w:tcW w:w="16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14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10.35†</w:t>
            </w:r>
          </w:p>
        </w:tc>
        <w:tc>
          <w:tcPr>
            <w:tcW w:w="520" w:type="dxa"/>
            <w:vAlign w:val="bottom"/>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Virtu Financial Inc. Amended and Restated 2015 Management Incentive Plan Employee Restricted Stock Unit Award Agreement (incorporated herein by</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868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244">
              <w:r>
                <w:rPr>
                  <w:rFonts w:ascii="Times New Roman" w:cs="Times New Roman" w:eastAsia="Times New Roman" w:hAnsi="Times New Roman"/>
                  <w:sz w:val="13"/>
                  <w:szCs w:val="13"/>
                  <w:color w:val="0000FF"/>
                </w:rPr>
                <w:t>reference to Exhibit 10.1 to the Company’s Quarterly Report on Form 10-Q (File No. 001-37352) filed on April 26, 2024).</w:t>
              </w:r>
            </w:hyperlink>
          </w:p>
        </w:tc>
        <w:tc>
          <w:tcPr>
            <w:tcW w:w="20" w:type="dxa"/>
            <w:vAlign w:val="bottom"/>
          </w:tcPr>
          <w:p>
            <w:pPr>
              <w:spacing w:after="0"/>
              <w:rPr>
                <w:sz w:val="10"/>
                <w:szCs w:val="10"/>
                <w:color w:val="auto"/>
              </w:rPr>
            </w:pPr>
          </w:p>
        </w:tc>
        <w:tc>
          <w:tcPr>
            <w:tcW w:w="400" w:type="dxa"/>
            <w:vAlign w:val="bottom"/>
            <w:gridSpan w:val="8"/>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10.36</w:t>
            </w:r>
          </w:p>
        </w:tc>
        <w:tc>
          <w:tcPr>
            <w:tcW w:w="520" w:type="dxa"/>
            <w:vAlign w:val="bottom"/>
            <w:shd w:val="clear" w:color="auto" w:fill="FEFEFE"/>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Amendment No. 1, dated June 21, 2024, to the Credit Agreement, dated January 13, 2022, among Virtu Financial LLC, as Holdings, VFH Parent LLC, as</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300" w:type="dxa"/>
            <w:vAlign w:val="bottom"/>
            <w:gridSpan w:val="32"/>
          </w:tcPr>
          <w:p>
            <w:pPr>
              <w:spacing w:after="0" w:line="118" w:lineRule="exact"/>
              <w:rPr>
                <w:rFonts w:ascii="Times New Roman" w:cs="Times New Roman" w:eastAsia="Times New Roman" w:hAnsi="Times New Roman"/>
                <w:sz w:val="13"/>
                <w:szCs w:val="13"/>
                <w:color w:val="0000FF"/>
              </w:rPr>
            </w:pPr>
            <w:hyperlink r:id="rId245">
              <w:r>
                <w:rPr>
                  <w:rFonts w:ascii="Times New Roman" w:cs="Times New Roman" w:eastAsia="Times New Roman" w:hAnsi="Times New Roman"/>
                  <w:sz w:val="13"/>
                  <w:szCs w:val="13"/>
                  <w:color w:val="0000FF"/>
                </w:rPr>
                <w:t>Borrower, the Lenders, and JPMorgan Chase Bank, N.A., as Administrative Agent (incorporated herein by reference to Exhibit 10.1 to the Company’s Quarterly</w:t>
              </w:r>
            </w:hyperlink>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520" w:type="dxa"/>
            <w:vAlign w:val="bottom"/>
            <w:tcBorders>
              <w:top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916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Report on Form 10-Q (File No. 001-37352) filed on July 26, 2024).</w:t>
              </w:r>
            </w:hyperlink>
          </w:p>
        </w:tc>
        <w:tc>
          <w:tcPr>
            <w:tcW w:w="14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80" w:type="dxa"/>
            <w:vAlign w:val="bottom"/>
            <w:gridSpan w:val="13"/>
          </w:tcPr>
          <w:p>
            <w:pPr>
              <w:spacing w:after="0" w:line="20" w:lineRule="exact"/>
              <w:rPr>
                <w:sz w:val="1"/>
                <w:szCs w:val="1"/>
                <w:color w:val="auto"/>
              </w:rPr>
            </w:pPr>
          </w:p>
        </w:tc>
        <w:tc>
          <w:tcPr>
            <w:tcW w:w="2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10.37†</w:t>
            </w:r>
          </w:p>
        </w:tc>
        <w:tc>
          <w:tcPr>
            <w:tcW w:w="520" w:type="dxa"/>
            <w:vAlign w:val="bottom"/>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2"/>
          </w:tcPr>
          <w:p>
            <w:pPr>
              <w:spacing w:after="0"/>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Employment Agreement, dated as of April 29, 2024, by and between Virtu Financial Operating LLC and Cindy Lee (incorporated herein by reference to Exhibit</w:t>
              </w:r>
            </w:hyperlink>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520" w:type="dxa"/>
            <w:vAlign w:val="bottom"/>
            <w:tcBorders>
              <w:top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910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24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the Company’s Quarterly Report on Form 10-Q (File No. 001-37352) filed on July 26, 2024).</w:t>
              </w:r>
            </w:hyperlink>
          </w:p>
        </w:tc>
        <w:tc>
          <w:tcPr>
            <w:tcW w:w="20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440" w:type="dxa"/>
            <w:vAlign w:val="bottom"/>
          </w:tcPr>
          <w:p>
            <w:pPr>
              <w:spacing w:after="0" w:line="20" w:lineRule="exact"/>
              <w:rPr>
                <w:sz w:val="1"/>
                <w:szCs w:val="1"/>
                <w:color w:val="auto"/>
              </w:rPr>
            </w:pPr>
          </w:p>
        </w:tc>
        <w:tc>
          <w:tcPr>
            <w:tcW w:w="5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gridSpan w:val="7"/>
            <w:shd w:val="clear" w:color="auto" w:fill="0000FF"/>
          </w:tcPr>
          <w:p>
            <w:pPr>
              <w:spacing w:after="0" w:line="20" w:lineRule="exact"/>
              <w:rPr>
                <w:sz w:val="1"/>
                <w:szCs w:val="1"/>
                <w:color w:val="auto"/>
              </w:rPr>
            </w:pPr>
          </w:p>
        </w:tc>
        <w:tc>
          <w:tcPr>
            <w:tcW w:w="3580" w:type="dxa"/>
            <w:vAlign w:val="bottom"/>
            <w:gridSpan w:val="2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4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10.38</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2"/>
          </w:tcPr>
          <w:p>
            <w:pPr>
              <w:spacing w:after="0" w:line="150" w:lineRule="exact"/>
              <w:rPr>
                <w:rFonts w:ascii="Times New Roman" w:cs="Times New Roman" w:eastAsia="Times New Roman" w:hAnsi="Times New Roman"/>
                <w:sz w:val="14"/>
                <w:szCs w:val="14"/>
                <w:u w:val="single" w:color="auto"/>
                <w:color w:val="0000FF"/>
              </w:rPr>
            </w:pPr>
            <w:hyperlink r:id="rId247">
              <w:r>
                <w:rPr>
                  <w:rFonts w:ascii="Times New Roman" w:cs="Times New Roman" w:eastAsia="Times New Roman" w:hAnsi="Times New Roman"/>
                  <w:sz w:val="14"/>
                  <w:szCs w:val="14"/>
                  <w:u w:val="single" w:color="auto"/>
                  <w:color w:val="0000FF"/>
                </w:rPr>
                <w:t>Amendment No. 2, dated February 19, 2025, to the Credit Agreement, dated January 13, 2022 (as amended by Amendment No. 1, dated June 21, 2024), among</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-3631565</wp:posOffset>
            </wp:positionV>
            <wp:extent cx="7148195" cy="3833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7148195" cy="3833495"/>
                    </a:xfrm>
                    <a:prstGeom prst="rect">
                      <a:avLst/>
                    </a:prstGeom>
                    <a:noFill/>
                  </pic:spPr>
                </pic:pic>
              </a:graphicData>
            </a:graphic>
          </wp:anchor>
        </w:drawing>
      </w:r>
    </w:p>
    <w:p>
      <w:pPr>
        <w:ind w:left="1980" w:right="40"/>
        <w:spacing w:after="0" w:line="235" w:lineRule="auto"/>
        <w:rPr>
          <w:rFonts w:ascii="Times New Roman" w:cs="Times New Roman" w:eastAsia="Times New Roman" w:hAnsi="Times New Roman"/>
          <w:sz w:val="14"/>
          <w:szCs w:val="14"/>
          <w:u w:val="single" w:color="auto"/>
          <w:color w:val="0000FF"/>
        </w:rPr>
      </w:pPr>
      <w:hyperlink r:id="rId247">
        <w:r>
          <w:rPr>
            <w:rFonts w:ascii="Times New Roman" w:cs="Times New Roman" w:eastAsia="Times New Roman" w:hAnsi="Times New Roman"/>
            <w:sz w:val="14"/>
            <w:szCs w:val="14"/>
            <w:u w:val="single" w:color="auto"/>
            <w:color w:val="0000FF"/>
          </w:rPr>
          <w:t>Virtu Financial LLC, as Holdings, VFH Parent LLC, as Borrower, the Lenders, and JPMorgan Chase Bank, N.A., as Administrative Agent (incorporated herein by</w:t>
        </w:r>
      </w:hyperlink>
      <w:r>
        <w:rPr>
          <w:rFonts w:ascii="Times New Roman" w:cs="Times New Roman" w:eastAsia="Times New Roman" w:hAnsi="Times New Roman"/>
          <w:sz w:val="14"/>
          <w:szCs w:val="14"/>
          <w:u w:val="single" w:color="auto"/>
          <w:color w:val="0000FF"/>
        </w:rPr>
        <w:t xml:space="preserve"> </w:t>
      </w:r>
      <w:hyperlink r:id="rId247">
        <w:r>
          <w:rPr>
            <w:rFonts w:ascii="Times New Roman" w:cs="Times New Roman" w:eastAsia="Times New Roman" w:hAnsi="Times New Roman"/>
            <w:sz w:val="14"/>
            <w:szCs w:val="14"/>
            <w:u w:val="single" w:color="auto"/>
            <w:color w:val="0000FF"/>
          </w:rPr>
          <w:t>reference to Exhibit 10.45 to the Company’s Annual Report on Form 10-K (File No. 001-37352) filed on February 21, 2025).</w:t>
        </w:r>
      </w:hyperlink>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10.39†</w:t>
            </w:r>
          </w:p>
        </w:tc>
        <w:tc>
          <w:tcPr>
            <w:tcW w:w="540" w:type="dxa"/>
            <w:vAlign w:val="bottom"/>
            <w:tcBorders>
              <w:right w:val="single" w:sz="8" w:color="FEFEFE"/>
            </w:tcBorders>
            <w:shd w:val="clear" w:color="auto" w:fill="FEFEFE"/>
          </w:tcPr>
          <w:p>
            <w:pPr>
              <w:spacing w:after="0"/>
              <w:rPr>
                <w:sz w:val="13"/>
                <w:szCs w:val="13"/>
                <w:color w:val="auto"/>
              </w:rPr>
            </w:pPr>
          </w:p>
        </w:tc>
        <w:tc>
          <w:tcPr>
            <w:tcW w:w="9260" w:type="dxa"/>
            <w:vAlign w:val="bottom"/>
            <w:tcBorders>
              <w:right w:val="single" w:sz="8" w:color="FEFEFE"/>
            </w:tcBorders>
            <w:gridSpan w:val="23"/>
            <w:shd w:val="clear" w:color="auto" w:fill="FEFEFE"/>
          </w:tcPr>
          <w:p>
            <w:pPr>
              <w:spacing w:after="0"/>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Amendment No. 1 to the Amended and Restated Employee Agreement, dated as of February 26, 2025, by and between Virtu Financial Operating LLC and Joseph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bottom w:val="single" w:sz="8" w:color="FEFEFE"/>
            </w:tcBorders>
            <w:shd w:val="clear" w:color="auto" w:fill="FEFEFE"/>
          </w:tcPr>
          <w:p>
            <w:pPr>
              <w:spacing w:after="0"/>
              <w:rPr>
                <w:sz w:val="10"/>
                <w:szCs w:val="10"/>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8820" w:type="dxa"/>
            <w:vAlign w:val="bottom"/>
            <w:tcBorders>
              <w:top w:val="single" w:sz="8" w:color="0000FF"/>
              <w:bottom w:val="single" w:sz="8" w:color="0000FF"/>
            </w:tcBorders>
            <w:gridSpan w:val="14"/>
            <w:shd w:val="clear" w:color="auto" w:fill="FEFEFE"/>
          </w:tcPr>
          <w:p>
            <w:pPr>
              <w:spacing w:after="0" w:line="118" w:lineRule="exact"/>
              <w:rPr>
                <w:rFonts w:ascii="Times New Roman" w:cs="Times New Roman" w:eastAsia="Times New Roman" w:hAnsi="Times New Roman"/>
                <w:sz w:val="13"/>
                <w:szCs w:val="13"/>
                <w:color w:val="0000FF"/>
              </w:rPr>
            </w:pPr>
            <w:hyperlink r:id="rId250">
              <w:r>
                <w:rPr>
                  <w:rFonts w:ascii="Times New Roman" w:cs="Times New Roman" w:eastAsia="Times New Roman" w:hAnsi="Times New Roman"/>
                  <w:sz w:val="13"/>
                  <w:szCs w:val="13"/>
                  <w:color w:val="0000FF"/>
                </w:rPr>
                <w:t>Molluso (incorporated herein by reference to Exhibit 10.1 to the Company’s Quarterly Report on Form 10-Q (File No. 001-37352) filed on April 29, 2025).</w:t>
              </w:r>
            </w:hyperlink>
          </w:p>
        </w:tc>
        <w:tc>
          <w:tcPr>
            <w:tcW w:w="380" w:type="dxa"/>
            <w:vAlign w:val="bottom"/>
            <w:tcBorders>
              <w:top w:val="single" w:sz="8" w:color="0000FF"/>
              <w:bottom w:val="single" w:sz="8" w:color="FEFEFE"/>
            </w:tcBorders>
            <w:gridSpan w:val="7"/>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10.40†</w:t>
            </w:r>
          </w:p>
        </w:tc>
        <w:tc>
          <w:tcPr>
            <w:tcW w:w="540" w:type="dxa"/>
            <w:vAlign w:val="bottom"/>
            <w:tcBorders>
              <w:right w:val="single" w:sz="8" w:color="FEFEFE"/>
            </w:tcBorders>
            <w:shd w:val="clear" w:color="auto" w:fill="FEFEFE"/>
          </w:tcPr>
          <w:p>
            <w:pPr>
              <w:spacing w:after="0"/>
              <w:rPr>
                <w:sz w:val="14"/>
                <w:szCs w:val="14"/>
                <w:color w:val="auto"/>
              </w:rPr>
            </w:pPr>
          </w:p>
        </w:tc>
        <w:tc>
          <w:tcPr>
            <w:tcW w:w="9260" w:type="dxa"/>
            <w:vAlign w:val="bottom"/>
            <w:tcBorders>
              <w:right w:val="single" w:sz="8" w:color="FEFEFE"/>
            </w:tcBorders>
            <w:gridSpan w:val="23"/>
            <w:shd w:val="clear" w:color="auto" w:fill="FEFEFE"/>
          </w:tcPr>
          <w:p>
            <w:pPr>
              <w:spacing w:after="0"/>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Amendment No. 1 to the Amended and Restated Employee Agreement, dated as of February 26, 2025, by and between Virtu Financial Operating LLC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60" w:type="dxa"/>
            <w:vAlign w:val="bottom"/>
            <w:tcBorders>
              <w:top w:val="single" w:sz="8" w:color="FEFEFE"/>
              <w:bottom w:val="single" w:sz="8" w:color="FEFEFE"/>
            </w:tcBorders>
            <w:shd w:val="clear" w:color="auto" w:fill="FEFEFE"/>
          </w:tcPr>
          <w:p>
            <w:pPr>
              <w:spacing w:after="0"/>
              <w:rPr>
                <w:sz w:val="12"/>
                <w:szCs w:val="12"/>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2"/>
                <w:szCs w:val="12"/>
                <w:color w:val="auto"/>
              </w:rPr>
            </w:pPr>
          </w:p>
        </w:tc>
        <w:tc>
          <w:tcPr>
            <w:tcW w:w="8780" w:type="dxa"/>
            <w:vAlign w:val="bottom"/>
            <w:tcBorders>
              <w:top w:val="single" w:sz="8" w:color="0000FF"/>
              <w:bottom w:val="single" w:sz="8" w:color="0000FF"/>
            </w:tcBorders>
            <w:gridSpan w:val="13"/>
            <w:shd w:val="clear" w:color="auto" w:fill="FEFEFE"/>
          </w:tcPr>
          <w:p>
            <w:pPr>
              <w:spacing w:after="0" w:line="118" w:lineRule="exact"/>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Stephen Cavoli (incorporated herein by reference to Exhibit 10.2 to the Company’s Quarterly Report on Form 10-Q (File No. 001-37352) filed on April 29,</w:t>
              </w:r>
            </w:hyperlink>
          </w:p>
        </w:tc>
        <w:tc>
          <w:tcPr>
            <w:tcW w:w="480" w:type="dxa"/>
            <w:vAlign w:val="bottom"/>
            <w:tcBorders>
              <w:top w:val="single" w:sz="8" w:color="FEFEFE"/>
              <w:bottom w:val="single" w:sz="8" w:color="0000FF"/>
              <w:right w:val="single" w:sz="8" w:color="FEFEFE"/>
            </w:tcBorders>
            <w:gridSpan w:val="10"/>
            <w:shd w:val="clear" w:color="auto" w:fill="FEFEFE"/>
          </w:tcPr>
          <w:p>
            <w:pPr>
              <w:jc w:val="right"/>
              <w:ind w:right="60"/>
              <w:spacing w:after="0" w:line="118" w:lineRule="exact"/>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2025).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Borders>
              <w:top w:val="single" w:sz="8" w:color="FEFEFE"/>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540" w:type="dxa"/>
            <w:vAlign w:val="bottom"/>
            <w:tcBorders>
              <w:top w:val="single" w:sz="8" w:color="FEFEFE"/>
              <w:right w:val="single" w:sz="8" w:color="FEFEFE"/>
            </w:tcBorders>
          </w:tcPr>
          <w:p>
            <w:pPr>
              <w:spacing w:after="0"/>
              <w:rPr>
                <w:sz w:val="12"/>
                <w:szCs w:val="12"/>
                <w:color w:val="auto"/>
              </w:rPr>
            </w:pPr>
          </w:p>
        </w:tc>
        <w:tc>
          <w:tcPr>
            <w:tcW w:w="9260" w:type="dxa"/>
            <w:vAlign w:val="bottom"/>
            <w:tcBorders>
              <w:top w:val="single" w:sz="8" w:color="FEFEFE"/>
              <w:right w:val="single" w:sz="8" w:color="FEFEFE"/>
            </w:tcBorders>
            <w:gridSpan w:val="23"/>
            <w:shd w:val="clear" w:color="auto" w:fill="FEFEFE"/>
          </w:tcPr>
          <w:p>
            <w:pPr>
              <w:spacing w:after="0" w:line="149" w:lineRule="exact"/>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Virtu Financial, Inc. Second Amended and Restated 2015 Management Incentive Plan (incorporated by reference from Annex A to Virtu Financial, Inc.’s</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Borders>
              <w:right w:val="single" w:sz="8" w:color="FEFEFE"/>
            </w:tcBorders>
          </w:tcPr>
          <w:p>
            <w:pPr>
              <w:spacing w:after="0"/>
              <w:rPr>
                <w:sz w:val="10"/>
                <w:szCs w:val="10"/>
                <w:color w:val="auto"/>
              </w:rPr>
            </w:pPr>
          </w:p>
        </w:tc>
        <w:tc>
          <w:tcPr>
            <w:tcW w:w="3980" w:type="dxa"/>
            <w:vAlign w:val="bottom"/>
            <w:tcBorders>
              <w:top w:val="single" w:sz="8" w:color="0000FF"/>
              <w:bottom w:val="single" w:sz="8" w:color="0000FF"/>
            </w:tcBorders>
            <w:gridSpan w:val="2"/>
            <w:shd w:val="clear" w:color="auto" w:fill="FEFEFE"/>
          </w:tcPr>
          <w:p>
            <w:pPr>
              <w:spacing w:after="0" w:line="118" w:lineRule="exact"/>
              <w:rPr>
                <w:rFonts w:ascii="Times New Roman" w:cs="Times New Roman" w:eastAsia="Times New Roman" w:hAnsi="Times New Roman"/>
                <w:sz w:val="13"/>
                <w:szCs w:val="13"/>
                <w:color w:val="0000FF"/>
              </w:rPr>
            </w:pPr>
            <w:hyperlink r:id="rId252">
              <w:r>
                <w:rPr>
                  <w:rFonts w:ascii="Times New Roman" w:cs="Times New Roman" w:eastAsia="Times New Roman" w:hAnsi="Times New Roman"/>
                  <w:sz w:val="13"/>
                  <w:szCs w:val="13"/>
                  <w:color w:val="0000FF"/>
                </w:rPr>
                <w:t>Definitive Proxy Statement on Schedule 14A filed on April 23, 2025).</w:t>
              </w:r>
            </w:hyperlink>
          </w:p>
        </w:tc>
        <w:tc>
          <w:tcPr>
            <w:tcW w:w="4700" w:type="dxa"/>
            <w:vAlign w:val="bottom"/>
            <w:tcBorders>
              <w:top w:val="single" w:sz="8" w:color="0000FF"/>
              <w:bottom w:val="single" w:sz="8" w:color="FEFEFE"/>
            </w:tcBorders>
            <w:gridSpan w:val="10"/>
            <w:shd w:val="clear" w:color="auto" w:fill="FEFEFE"/>
          </w:tcPr>
          <w:p>
            <w:pPr>
              <w:spacing w:after="0"/>
              <w:rPr>
                <w:sz w:val="10"/>
                <w:szCs w:val="10"/>
                <w:color w:val="auto"/>
              </w:rPr>
            </w:pPr>
          </w:p>
        </w:tc>
        <w:tc>
          <w:tcPr>
            <w:tcW w:w="200" w:type="dxa"/>
            <w:vAlign w:val="bottom"/>
            <w:tcBorders>
              <w:top w:val="single" w:sz="8" w:color="FEFEFE"/>
              <w:bottom w:val="single" w:sz="8" w:color="FEFEFE"/>
            </w:tcBorders>
            <w:gridSpan w:val="3"/>
            <w:shd w:val="clear" w:color="auto" w:fill="FEFEFE"/>
          </w:tcPr>
          <w:p>
            <w:pPr>
              <w:spacing w:after="0"/>
              <w:rPr>
                <w:sz w:val="10"/>
                <w:szCs w:val="10"/>
                <w:color w:val="auto"/>
              </w:rPr>
            </w:pPr>
          </w:p>
        </w:tc>
        <w:tc>
          <w:tcPr>
            <w:tcW w:w="120" w:type="dxa"/>
            <w:vAlign w:val="bottom"/>
            <w:tcBorders>
              <w:top w:val="single" w:sz="8" w:color="FEFEFE"/>
              <w:bottom w:val="single" w:sz="8" w:color="FEFEFE"/>
            </w:tcBorders>
            <w:shd w:val="clear" w:color="auto" w:fill="FEFEFE"/>
          </w:tcPr>
          <w:p>
            <w:pPr>
              <w:spacing w:after="0"/>
              <w:rPr>
                <w:sz w:val="10"/>
                <w:szCs w:val="10"/>
                <w:color w:val="auto"/>
              </w:rPr>
            </w:pPr>
          </w:p>
        </w:tc>
        <w:tc>
          <w:tcPr>
            <w:tcW w:w="40" w:type="dxa"/>
            <w:vAlign w:val="bottom"/>
            <w:tcBorders>
              <w:top w:val="single" w:sz="8" w:color="FEFEFE"/>
              <w:bottom w:val="single" w:sz="8" w:color="FEFEFE"/>
            </w:tcBorders>
            <w:shd w:val="clear" w:color="auto" w:fill="FEFEFE"/>
          </w:tcPr>
          <w:p>
            <w:pPr>
              <w:spacing w:after="0"/>
              <w:rPr>
                <w:sz w:val="10"/>
                <w:szCs w:val="10"/>
                <w:color w:val="auto"/>
              </w:rPr>
            </w:pPr>
          </w:p>
        </w:tc>
        <w:tc>
          <w:tcPr>
            <w:tcW w:w="8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6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540" w:type="dxa"/>
            <w:vAlign w:val="bottom"/>
            <w:tcBorders>
              <w:right w:val="single" w:sz="8" w:color="FEFEFE"/>
            </w:tcBorders>
          </w:tcPr>
          <w:p>
            <w:pPr>
              <w:spacing w:after="0" w:line="20" w:lineRule="exact"/>
              <w:rPr>
                <w:sz w:val="1"/>
                <w:szCs w:val="1"/>
                <w:color w:val="auto"/>
              </w:rPr>
            </w:pPr>
          </w:p>
        </w:tc>
        <w:tc>
          <w:tcPr>
            <w:tcW w:w="9260" w:type="dxa"/>
            <w:vAlign w:val="bottom"/>
            <w:tcBorders>
              <w:right w:val="single" w:sz="8" w:color="FEFEFE"/>
            </w:tcBorders>
            <w:gridSpan w:val="23"/>
            <w:vMerge w:val="restart"/>
            <w:shd w:val="clear" w:color="auto" w:fill="FEFEFE"/>
          </w:tcPr>
          <w:p>
            <w:pPr>
              <w:spacing w:after="0"/>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Separation Agreement, dated as of July 29, 2025, by and between Virtu Financial, Inc. and Douglas A. Cifu (incorporated herein by reference to Exhibit 10.1 to</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60" w:type="dxa"/>
            <w:vAlign w:val="bottom"/>
            <w:shd w:val="clear" w:color="auto" w:fill="FEFEFE"/>
          </w:tcPr>
          <w:p>
            <w:pPr>
              <w:ind w:left="20"/>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540" w:type="dxa"/>
            <w:vAlign w:val="bottom"/>
            <w:tcBorders>
              <w:right w:val="single" w:sz="8" w:color="FEFEFE"/>
            </w:tcBorders>
            <w:shd w:val="clear" w:color="auto" w:fill="FEFEFE"/>
          </w:tcPr>
          <w:p>
            <w:pPr>
              <w:spacing w:after="0"/>
              <w:rPr>
                <w:sz w:val="12"/>
                <w:szCs w:val="12"/>
                <w:color w:val="auto"/>
              </w:rPr>
            </w:pPr>
          </w:p>
        </w:tc>
        <w:tc>
          <w:tcPr>
            <w:tcW w:w="9260" w:type="dxa"/>
            <w:vAlign w:val="bottom"/>
            <w:tcBorders>
              <w:right w:val="single" w:sz="8" w:color="FEFEFE"/>
            </w:tcBorders>
            <w:gridSpan w:val="23"/>
            <w:vMerge w:val="continue"/>
            <w:shd w:val="clear" w:color="auto" w:fill="FEFEF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bottom w:val="single" w:sz="8" w:color="FEFEFE"/>
            </w:tcBorders>
            <w:shd w:val="clear" w:color="auto" w:fill="FEFEFE"/>
          </w:tcPr>
          <w:p>
            <w:pPr>
              <w:spacing w:after="0"/>
              <w:rPr>
                <w:sz w:val="10"/>
                <w:szCs w:val="10"/>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5520" w:type="dxa"/>
            <w:vAlign w:val="bottom"/>
            <w:tcBorders>
              <w:top w:val="single" w:sz="8" w:color="0000FF"/>
              <w:bottom w:val="single" w:sz="8" w:color="0000FF"/>
            </w:tcBorders>
            <w:gridSpan w:val="10"/>
            <w:shd w:val="clear" w:color="auto" w:fill="FEFEFE"/>
          </w:tcPr>
          <w:p>
            <w:pPr>
              <w:spacing w:after="0" w:line="118" w:lineRule="exact"/>
              <w:rPr>
                <w:rFonts w:ascii="Times New Roman" w:cs="Times New Roman" w:eastAsia="Times New Roman" w:hAnsi="Times New Roman"/>
                <w:sz w:val="13"/>
                <w:szCs w:val="13"/>
                <w:color w:val="0000FF"/>
              </w:rPr>
            </w:pPr>
            <w:hyperlink r:id="rId253">
              <w:r>
                <w:rPr>
                  <w:rFonts w:ascii="Times New Roman" w:cs="Times New Roman" w:eastAsia="Times New Roman" w:hAnsi="Times New Roman"/>
                  <w:sz w:val="13"/>
                  <w:szCs w:val="13"/>
                  <w:color w:val="0000FF"/>
                </w:rPr>
                <w:t>the Company’s Quarterly Report on Form 10-Q (File No. 001-37352) filed on October 30, 2025).</w:t>
              </w:r>
            </w:hyperlink>
          </w:p>
        </w:tc>
        <w:tc>
          <w:tcPr>
            <w:tcW w:w="3520" w:type="dxa"/>
            <w:vAlign w:val="bottom"/>
            <w:tcBorders>
              <w:top w:val="single" w:sz="8" w:color="0000FF"/>
              <w:bottom w:val="single" w:sz="8" w:color="FEFEFE"/>
            </w:tcBorders>
            <w:gridSpan w:val="7"/>
            <w:shd w:val="clear" w:color="auto" w:fill="FEFEFE"/>
          </w:tcPr>
          <w:p>
            <w:pPr>
              <w:spacing w:after="0"/>
              <w:rPr>
                <w:sz w:val="10"/>
                <w:szCs w:val="10"/>
                <w:color w:val="auto"/>
              </w:rPr>
            </w:pPr>
          </w:p>
        </w:tc>
        <w:tc>
          <w:tcPr>
            <w:tcW w:w="8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6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10.43</w:t>
            </w:r>
          </w:p>
        </w:tc>
        <w:tc>
          <w:tcPr>
            <w:tcW w:w="540" w:type="dxa"/>
            <w:vAlign w:val="bottom"/>
            <w:tcBorders>
              <w:right w:val="single" w:sz="8" w:color="FEFEFE"/>
            </w:tcBorders>
            <w:shd w:val="clear" w:color="auto" w:fill="FEFEFE"/>
          </w:tcPr>
          <w:p>
            <w:pPr>
              <w:spacing w:after="0"/>
              <w:rPr>
                <w:sz w:val="14"/>
                <w:szCs w:val="14"/>
                <w:color w:val="auto"/>
              </w:rPr>
            </w:pPr>
          </w:p>
        </w:tc>
        <w:tc>
          <w:tcPr>
            <w:tcW w:w="9260" w:type="dxa"/>
            <w:vAlign w:val="bottom"/>
            <w:tcBorders>
              <w:right w:val="single" w:sz="8" w:color="FEFEFE"/>
            </w:tcBorders>
            <w:gridSpan w:val="23"/>
            <w:shd w:val="clear" w:color="auto" w:fill="FEFEFE"/>
          </w:tcPr>
          <w:p>
            <w:pPr>
              <w:spacing w:after="0"/>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Amendment No. 3, dated September 23, 2025, to the Credit Agreement, dated January 13, 2022 (as amended by Amendment No. 1, dated June 21, 2024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Borders>
              <w:top w:val="single" w:sz="8" w:color="FEFEFE"/>
              <w:right w:val="single" w:sz="8" w:color="FEFEFE"/>
            </w:tcBorders>
            <w:shd w:val="clear" w:color="auto" w:fill="FEFEFE"/>
          </w:tcPr>
          <w:p>
            <w:pPr>
              <w:spacing w:after="0"/>
              <w:rPr>
                <w:sz w:val="10"/>
                <w:szCs w:val="10"/>
                <w:color w:val="auto"/>
              </w:rPr>
            </w:pPr>
          </w:p>
        </w:tc>
        <w:tc>
          <w:tcPr>
            <w:tcW w:w="8880" w:type="dxa"/>
            <w:vAlign w:val="bottom"/>
            <w:tcBorders>
              <w:top w:val="single" w:sz="8" w:color="0000FF"/>
            </w:tcBorders>
            <w:gridSpan w:val="15"/>
            <w:shd w:val="clear" w:color="auto" w:fill="FEFEFE"/>
          </w:tcPr>
          <w:p>
            <w:pPr>
              <w:spacing w:after="0" w:line="118" w:lineRule="exact"/>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Amendment No. 2, dated February 19, 2025), among Virtu Financial LLC, as Holdings, VFH Parent LLC, as Borrower, the Lenders, and JPMorgan Chase</w:t>
              </w:r>
            </w:hyperlink>
          </w:p>
        </w:tc>
        <w:tc>
          <w:tcPr>
            <w:tcW w:w="380" w:type="dxa"/>
            <w:vAlign w:val="bottom"/>
            <w:tcBorders>
              <w:top w:val="single" w:sz="8" w:color="FEFEFE"/>
              <w:right w:val="single" w:sz="8" w:color="FEFEFE"/>
            </w:tcBorders>
            <w:gridSpan w:val="8"/>
            <w:shd w:val="clear" w:color="auto" w:fill="FEFEFE"/>
          </w:tcPr>
          <w:p>
            <w:pPr>
              <w:spacing w:after="0" w:line="118" w:lineRule="exact"/>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Bank,</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60" w:type="dxa"/>
            <w:vAlign w:val="bottom"/>
            <w:tcBorders>
              <w:top w:val="single" w:sz="8" w:color="FEFEFE"/>
            </w:tcBorders>
            <w:shd w:val="clear" w:color="auto" w:fill="FEFEFE"/>
          </w:tcPr>
          <w:p>
            <w:pPr>
              <w:spacing w:after="0"/>
              <w:rPr>
                <w:sz w:val="11"/>
                <w:szCs w:val="11"/>
                <w:color w:val="auto"/>
              </w:rPr>
            </w:pPr>
          </w:p>
        </w:tc>
        <w:tc>
          <w:tcPr>
            <w:tcW w:w="540" w:type="dxa"/>
            <w:vAlign w:val="bottom"/>
            <w:tcBorders>
              <w:top w:val="single" w:sz="8" w:color="FEFEFE"/>
              <w:right w:val="single" w:sz="8" w:color="FEFEFE"/>
            </w:tcBorders>
            <w:shd w:val="clear" w:color="auto" w:fill="FEFEFE"/>
          </w:tcPr>
          <w:p>
            <w:pPr>
              <w:spacing w:after="0"/>
              <w:rPr>
                <w:sz w:val="11"/>
                <w:szCs w:val="11"/>
                <w:color w:val="auto"/>
              </w:rPr>
            </w:pPr>
          </w:p>
        </w:tc>
        <w:tc>
          <w:tcPr>
            <w:tcW w:w="9140" w:type="dxa"/>
            <w:vAlign w:val="bottom"/>
            <w:tcBorders>
              <w:top w:val="single" w:sz="8" w:color="0000FF"/>
            </w:tcBorders>
            <w:gridSpan w:val="19"/>
            <w:shd w:val="clear" w:color="auto" w:fill="FEFEFE"/>
          </w:tcPr>
          <w:p>
            <w:pPr>
              <w:spacing w:after="0" w:line="129"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N.A., as Administrative Agent (incorporated herein by reference to Exhibit 10.2 to the Company’s Quarterly Report on Form 10-Q (File No. 001-37352) filed on</w:t>
              </w:r>
            </w:hyperlink>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bottom w:val="single" w:sz="8" w:color="FEFEFE"/>
            </w:tcBorders>
            <w:shd w:val="clear" w:color="auto" w:fill="FEFEFE"/>
          </w:tcPr>
          <w:p>
            <w:pPr>
              <w:spacing w:after="0"/>
              <w:rPr>
                <w:sz w:val="10"/>
                <w:szCs w:val="10"/>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1080" w:type="dxa"/>
            <w:vAlign w:val="bottom"/>
            <w:tcBorders>
              <w:top w:val="single" w:sz="8" w:color="0000FF"/>
              <w:bottom w:val="single" w:sz="8" w:color="0000FF"/>
            </w:tcBorders>
            <w:shd w:val="clear" w:color="auto" w:fill="FEFEFE"/>
          </w:tcPr>
          <w:p>
            <w:pPr>
              <w:spacing w:after="0" w:line="118" w:lineRule="exact"/>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October 30, 2025).</w:t>
              </w:r>
            </w:hyperlink>
          </w:p>
        </w:tc>
        <w:tc>
          <w:tcPr>
            <w:tcW w:w="8040" w:type="dxa"/>
            <w:vAlign w:val="bottom"/>
            <w:tcBorders>
              <w:top w:val="single" w:sz="8" w:color="0000FF"/>
              <w:bottom w:val="single" w:sz="8" w:color="FEFEFE"/>
            </w:tcBorders>
            <w:gridSpan w:val="17"/>
            <w:shd w:val="clear" w:color="auto" w:fill="FEFEFE"/>
          </w:tcPr>
          <w:p>
            <w:pPr>
              <w:spacing w:after="0"/>
              <w:rPr>
                <w:sz w:val="10"/>
                <w:szCs w:val="10"/>
                <w:color w:val="auto"/>
              </w:rPr>
            </w:pPr>
          </w:p>
        </w:tc>
        <w:tc>
          <w:tcPr>
            <w:tcW w:w="4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6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10.44†</w:t>
            </w:r>
          </w:p>
        </w:tc>
        <w:tc>
          <w:tcPr>
            <w:tcW w:w="540" w:type="dxa"/>
            <w:vAlign w:val="bottom"/>
            <w:tcBorders>
              <w:right w:val="single" w:sz="8" w:color="FEFEFE"/>
            </w:tcBorders>
            <w:shd w:val="clear" w:color="auto" w:fill="FEFEFE"/>
          </w:tcPr>
          <w:p>
            <w:pPr>
              <w:spacing w:after="0"/>
              <w:rPr>
                <w:sz w:val="13"/>
                <w:szCs w:val="13"/>
                <w:color w:val="auto"/>
              </w:rPr>
            </w:pPr>
          </w:p>
        </w:tc>
        <w:tc>
          <w:tcPr>
            <w:tcW w:w="9260" w:type="dxa"/>
            <w:vAlign w:val="bottom"/>
            <w:tcBorders>
              <w:right w:val="single" w:sz="8" w:color="FEFEFE"/>
            </w:tcBorders>
            <w:gridSpan w:val="23"/>
            <w:shd w:val="clear" w:color="auto" w:fill="FEFEFE"/>
          </w:tcPr>
          <w:p>
            <w:pPr>
              <w:spacing w:after="0"/>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Third Amended and Restated Employment Agreement, dated as of September 30, 2025, between Virtu Financial Operating LLC and Aaron Simons (incorporated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Borders>
              <w:top w:val="single" w:sz="8" w:color="FEFEFE"/>
              <w:right w:val="single" w:sz="8" w:color="FEFEFE"/>
            </w:tcBorders>
            <w:shd w:val="clear" w:color="auto" w:fill="FEFEFE"/>
          </w:tcPr>
          <w:p>
            <w:pPr>
              <w:spacing w:after="0"/>
              <w:rPr>
                <w:sz w:val="10"/>
                <w:szCs w:val="10"/>
                <w:color w:val="auto"/>
              </w:rPr>
            </w:pPr>
          </w:p>
        </w:tc>
        <w:tc>
          <w:tcPr>
            <w:tcW w:w="9160" w:type="dxa"/>
            <w:vAlign w:val="bottom"/>
            <w:tcBorders>
              <w:top w:val="single" w:sz="8" w:color="0000FF"/>
            </w:tcBorders>
            <w:gridSpan w:val="20"/>
            <w:shd w:val="clear" w:color="auto" w:fill="FEFEFE"/>
          </w:tcPr>
          <w:p>
            <w:pPr>
              <w:spacing w:after="0" w:line="118" w:lineRule="exact"/>
              <w:rPr>
                <w:rFonts w:ascii="Times New Roman" w:cs="Times New Roman" w:eastAsia="Times New Roman" w:hAnsi="Times New Roman"/>
                <w:sz w:val="13"/>
                <w:szCs w:val="13"/>
                <w:color w:val="0000FF"/>
              </w:rPr>
            </w:pPr>
            <w:hyperlink r:id="rId255">
              <w:r>
                <w:rPr>
                  <w:rFonts w:ascii="Times New Roman" w:cs="Times New Roman" w:eastAsia="Times New Roman" w:hAnsi="Times New Roman"/>
                  <w:sz w:val="13"/>
                  <w:szCs w:val="13"/>
                  <w:color w:val="0000FF"/>
                </w:rPr>
                <w:t>herein by reference to Exhibit 10.3 to the Company’s Quarterly Report on Form 10-Q (File No. 001-37352) filed on October 30, 2025).</w:t>
              </w:r>
            </w:hyperlink>
          </w:p>
        </w:tc>
        <w:tc>
          <w:tcPr>
            <w:tcW w:w="60" w:type="dxa"/>
            <w:vAlign w:val="bottom"/>
            <w:tcBorders>
              <w:top w:val="single" w:sz="8" w:color="FEFEFE"/>
            </w:tcBorders>
            <w:gridSpan w:val="2"/>
            <w:shd w:val="clear" w:color="auto" w:fill="FEFEFE"/>
          </w:tcPr>
          <w:p>
            <w:pPr>
              <w:spacing w:after="0"/>
              <w:rPr>
                <w:sz w:val="10"/>
                <w:szCs w:val="10"/>
                <w:color w:val="auto"/>
              </w:rPr>
            </w:pPr>
          </w:p>
        </w:tc>
        <w:tc>
          <w:tcPr>
            <w:tcW w:w="40" w:type="dxa"/>
            <w:vAlign w:val="bottom"/>
            <w:tcBorders>
              <w:top w:val="single" w:sz="8" w:color="FEFEFE"/>
              <w:right w:val="single" w:sz="8" w:color="FEFEFE"/>
            </w:tcBorders>
            <w:shd w:val="clear" w:color="auto" w:fill="FEFEF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460" w:type="dxa"/>
            <w:vAlign w:val="bottom"/>
            <w:tcBorders>
              <w:top w:val="single" w:sz="8" w:color="FEFEFE"/>
            </w:tcBorders>
            <w:shd w:val="clear" w:color="auto" w:fill="FEFEFE"/>
          </w:tcPr>
          <w:p>
            <w:pPr>
              <w:spacing w:after="0" w:line="20" w:lineRule="exact"/>
              <w:rPr>
                <w:sz w:val="1"/>
                <w:szCs w:val="1"/>
                <w:color w:val="auto"/>
              </w:rPr>
            </w:pPr>
          </w:p>
        </w:tc>
        <w:tc>
          <w:tcPr>
            <w:tcW w:w="540" w:type="dxa"/>
            <w:vAlign w:val="bottom"/>
            <w:tcBorders>
              <w:top w:val="single" w:sz="8" w:color="FEFEFE"/>
              <w:right w:val="single" w:sz="8" w:color="FEFEFE"/>
            </w:tcBorders>
            <w:shd w:val="clear" w:color="auto" w:fill="FEFEFE"/>
          </w:tcPr>
          <w:p>
            <w:pPr>
              <w:spacing w:after="0" w:line="20" w:lineRule="exact"/>
              <w:rPr>
                <w:sz w:val="1"/>
                <w:szCs w:val="1"/>
                <w:color w:val="auto"/>
              </w:rPr>
            </w:pPr>
          </w:p>
        </w:tc>
        <w:tc>
          <w:tcPr>
            <w:tcW w:w="1080" w:type="dxa"/>
            <w:vAlign w:val="bottom"/>
            <w:tcBorders>
              <w:top w:val="single" w:sz="8" w:color="0000FF"/>
            </w:tcBorders>
            <w:shd w:val="clear" w:color="auto" w:fill="FEFEFE"/>
          </w:tcPr>
          <w:p>
            <w:pPr>
              <w:spacing w:after="0" w:line="20" w:lineRule="exact"/>
              <w:rPr>
                <w:sz w:val="1"/>
                <w:szCs w:val="1"/>
                <w:color w:val="auto"/>
              </w:rPr>
            </w:pPr>
          </w:p>
        </w:tc>
        <w:tc>
          <w:tcPr>
            <w:tcW w:w="2900" w:type="dxa"/>
            <w:vAlign w:val="bottom"/>
            <w:tcBorders>
              <w:top w:val="single" w:sz="8" w:color="0000FF"/>
            </w:tcBorders>
            <w:shd w:val="clear" w:color="auto" w:fill="FEFEFE"/>
          </w:tcPr>
          <w:p>
            <w:pPr>
              <w:spacing w:after="0" w:line="20" w:lineRule="exact"/>
              <w:rPr>
                <w:sz w:val="1"/>
                <w:szCs w:val="1"/>
                <w:color w:val="auto"/>
              </w:rPr>
            </w:pPr>
          </w:p>
        </w:tc>
        <w:tc>
          <w:tcPr>
            <w:tcW w:w="20" w:type="dxa"/>
            <w:vAlign w:val="bottom"/>
            <w:tcBorders>
              <w:top w:val="single" w:sz="8" w:color="0000FF"/>
            </w:tcBorders>
            <w:shd w:val="clear" w:color="auto" w:fill="FEFEFE"/>
          </w:tcPr>
          <w:p>
            <w:pPr>
              <w:spacing w:after="0" w:line="20" w:lineRule="exact"/>
              <w:rPr>
                <w:sz w:val="1"/>
                <w:szCs w:val="1"/>
                <w:color w:val="auto"/>
              </w:rPr>
            </w:pPr>
          </w:p>
        </w:tc>
        <w:tc>
          <w:tcPr>
            <w:tcW w:w="280" w:type="dxa"/>
            <w:vAlign w:val="bottom"/>
            <w:tcBorders>
              <w:top w:val="single" w:sz="8" w:color="0000FF"/>
            </w:tcBorders>
            <w:shd w:val="clear" w:color="auto" w:fill="FEFEFE"/>
          </w:tcPr>
          <w:p>
            <w:pPr>
              <w:spacing w:after="0" w:line="20" w:lineRule="exact"/>
              <w:rPr>
                <w:sz w:val="1"/>
                <w:szCs w:val="1"/>
                <w:color w:val="auto"/>
              </w:rPr>
            </w:pPr>
          </w:p>
        </w:tc>
        <w:tc>
          <w:tcPr>
            <w:tcW w:w="60" w:type="dxa"/>
            <w:vAlign w:val="bottom"/>
            <w:tcBorders>
              <w:top w:val="single" w:sz="8" w:color="0000FF"/>
              <w:left w:val="single" w:sz="8" w:color="FEFEFE"/>
            </w:tcBorders>
            <w:shd w:val="clear" w:color="auto" w:fill="FEFEFE"/>
          </w:tcPr>
          <w:p>
            <w:pPr>
              <w:spacing w:after="0" w:line="20" w:lineRule="exact"/>
              <w:rPr>
                <w:sz w:val="1"/>
                <w:szCs w:val="1"/>
                <w:color w:val="auto"/>
              </w:rPr>
            </w:pPr>
          </w:p>
        </w:tc>
        <w:tc>
          <w:tcPr>
            <w:tcW w:w="20" w:type="dxa"/>
            <w:vAlign w:val="bottom"/>
            <w:tcBorders>
              <w:top w:val="single" w:sz="8" w:color="0000FF"/>
            </w:tcBorders>
            <w:shd w:val="clear" w:color="auto" w:fill="FEFEFE"/>
          </w:tcPr>
          <w:p>
            <w:pPr>
              <w:spacing w:after="0" w:line="20" w:lineRule="exact"/>
              <w:rPr>
                <w:sz w:val="1"/>
                <w:szCs w:val="1"/>
                <w:color w:val="auto"/>
              </w:rPr>
            </w:pPr>
          </w:p>
        </w:tc>
        <w:tc>
          <w:tcPr>
            <w:tcW w:w="520" w:type="dxa"/>
            <w:vAlign w:val="bottom"/>
            <w:tcBorders>
              <w:top w:val="single" w:sz="8" w:color="0000FF"/>
            </w:tcBorders>
            <w:shd w:val="clear" w:color="auto" w:fill="FEFEFE"/>
          </w:tcPr>
          <w:p>
            <w:pPr>
              <w:spacing w:after="0" w:line="20" w:lineRule="exact"/>
              <w:rPr>
                <w:sz w:val="1"/>
                <w:szCs w:val="1"/>
                <w:color w:val="auto"/>
              </w:rPr>
            </w:pPr>
          </w:p>
        </w:tc>
        <w:tc>
          <w:tcPr>
            <w:tcW w:w="60" w:type="dxa"/>
            <w:vAlign w:val="bottom"/>
            <w:tcBorders>
              <w:top w:val="single" w:sz="8" w:color="0000FF"/>
            </w:tcBorders>
            <w:shd w:val="clear" w:color="auto" w:fill="FEFEFE"/>
          </w:tcPr>
          <w:p>
            <w:pPr>
              <w:spacing w:after="0" w:line="20" w:lineRule="exact"/>
              <w:rPr>
                <w:sz w:val="1"/>
                <w:szCs w:val="1"/>
                <w:color w:val="auto"/>
              </w:rPr>
            </w:pPr>
          </w:p>
        </w:tc>
        <w:tc>
          <w:tcPr>
            <w:tcW w:w="20" w:type="dxa"/>
            <w:vAlign w:val="bottom"/>
            <w:tcBorders>
              <w:top w:val="single" w:sz="8" w:color="0000FF"/>
            </w:tcBorders>
            <w:shd w:val="clear" w:color="auto" w:fill="FEFEFE"/>
          </w:tcPr>
          <w:p>
            <w:pPr>
              <w:spacing w:after="0" w:line="20" w:lineRule="exact"/>
              <w:rPr>
                <w:sz w:val="1"/>
                <w:szCs w:val="1"/>
                <w:color w:val="auto"/>
              </w:rPr>
            </w:pPr>
          </w:p>
        </w:tc>
        <w:tc>
          <w:tcPr>
            <w:tcW w:w="560" w:type="dxa"/>
            <w:vAlign w:val="bottom"/>
            <w:tcBorders>
              <w:top w:val="single" w:sz="8" w:color="0000FF"/>
            </w:tcBorders>
            <w:shd w:val="clear" w:color="auto" w:fill="FEFEFE"/>
          </w:tcPr>
          <w:p>
            <w:pPr>
              <w:spacing w:after="0" w:line="20" w:lineRule="exact"/>
              <w:rPr>
                <w:sz w:val="1"/>
                <w:szCs w:val="1"/>
                <w:color w:val="auto"/>
              </w:rPr>
            </w:pPr>
          </w:p>
        </w:tc>
        <w:tc>
          <w:tcPr>
            <w:tcW w:w="2140" w:type="dxa"/>
            <w:vAlign w:val="bottom"/>
            <w:tcBorders>
              <w:top w:val="single" w:sz="8" w:color="0000FF"/>
            </w:tcBorders>
            <w:shd w:val="clear" w:color="auto" w:fill="FEFEFE"/>
          </w:tcPr>
          <w:p>
            <w:pPr>
              <w:spacing w:after="0" w:line="20" w:lineRule="exact"/>
              <w:rPr>
                <w:sz w:val="1"/>
                <w:szCs w:val="1"/>
                <w:color w:val="auto"/>
              </w:rPr>
            </w:pPr>
          </w:p>
        </w:tc>
        <w:tc>
          <w:tcPr>
            <w:tcW w:w="1020" w:type="dxa"/>
            <w:vAlign w:val="bottom"/>
            <w:tcBorders>
              <w:top w:val="single" w:sz="8" w:color="FEFEFE"/>
            </w:tcBorders>
            <w:shd w:val="clear" w:color="auto" w:fill="FEFEFE"/>
          </w:tcPr>
          <w:p>
            <w:pPr>
              <w:spacing w:after="0" w:line="20" w:lineRule="exact"/>
              <w:rPr>
                <w:sz w:val="1"/>
                <w:szCs w:val="1"/>
                <w:color w:val="auto"/>
              </w:rPr>
            </w:pPr>
          </w:p>
        </w:tc>
        <w:tc>
          <w:tcPr>
            <w:tcW w:w="100" w:type="dxa"/>
            <w:vAlign w:val="bottom"/>
            <w:tcBorders>
              <w:top w:val="single" w:sz="8" w:color="FEFEFE"/>
            </w:tcBorders>
            <w:shd w:val="clear" w:color="auto" w:fill="FEFEFE"/>
          </w:tcPr>
          <w:p>
            <w:pPr>
              <w:spacing w:after="0" w:line="20" w:lineRule="exact"/>
              <w:rPr>
                <w:sz w:val="1"/>
                <w:szCs w:val="1"/>
                <w:color w:val="auto"/>
              </w:rPr>
            </w:pPr>
          </w:p>
        </w:tc>
        <w:tc>
          <w:tcPr>
            <w:tcW w:w="40" w:type="dxa"/>
            <w:vAlign w:val="bottom"/>
            <w:tcBorders>
              <w:top w:val="single" w:sz="8" w:color="FEFEFE"/>
            </w:tcBorders>
            <w:shd w:val="clear" w:color="auto" w:fill="FEFEFE"/>
          </w:tcPr>
          <w:p>
            <w:pPr>
              <w:spacing w:after="0" w:line="20" w:lineRule="exact"/>
              <w:rPr>
                <w:sz w:val="1"/>
                <w:szCs w:val="1"/>
                <w:color w:val="auto"/>
              </w:rPr>
            </w:pPr>
          </w:p>
        </w:tc>
        <w:tc>
          <w:tcPr>
            <w:tcW w:w="60" w:type="dxa"/>
            <w:vAlign w:val="bottom"/>
            <w:tcBorders>
              <w:top w:val="single" w:sz="8" w:color="FEFEFE"/>
            </w:tcBorders>
            <w:shd w:val="clear" w:color="auto" w:fill="FEFEFE"/>
          </w:tcPr>
          <w:p>
            <w:pPr>
              <w:spacing w:after="0" w:line="20" w:lineRule="exact"/>
              <w:rPr>
                <w:sz w:val="1"/>
                <w:szCs w:val="1"/>
                <w:color w:val="auto"/>
              </w:rPr>
            </w:pPr>
          </w:p>
        </w:tc>
        <w:tc>
          <w:tcPr>
            <w:tcW w:w="120" w:type="dxa"/>
            <w:vAlign w:val="bottom"/>
            <w:tcBorders>
              <w:top w:val="single" w:sz="8" w:color="FEFEFE"/>
            </w:tcBorders>
            <w:shd w:val="clear" w:color="auto" w:fill="FEFEFE"/>
          </w:tcPr>
          <w:p>
            <w:pPr>
              <w:spacing w:after="0" w:line="20" w:lineRule="exact"/>
              <w:rPr>
                <w:sz w:val="1"/>
                <w:szCs w:val="1"/>
                <w:color w:val="auto"/>
              </w:rPr>
            </w:pPr>
          </w:p>
        </w:tc>
        <w:tc>
          <w:tcPr>
            <w:tcW w:w="40" w:type="dxa"/>
            <w:vAlign w:val="bottom"/>
            <w:tcBorders>
              <w:top w:val="single" w:sz="8" w:color="FEFEFE"/>
            </w:tcBorders>
            <w:shd w:val="clear" w:color="auto" w:fill="FEFEFE"/>
          </w:tcPr>
          <w:p>
            <w:pPr>
              <w:spacing w:after="0" w:line="20" w:lineRule="exact"/>
              <w:rPr>
                <w:sz w:val="1"/>
                <w:szCs w:val="1"/>
                <w:color w:val="auto"/>
              </w:rPr>
            </w:pPr>
          </w:p>
        </w:tc>
        <w:tc>
          <w:tcPr>
            <w:tcW w:w="8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4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40" w:type="dxa"/>
            <w:vAlign w:val="bottom"/>
            <w:tcBorders>
              <w:top w:val="single" w:sz="8" w:color="FEFEFE"/>
              <w:right w:val="single" w:sz="8" w:color="FEFEFE"/>
            </w:tcBorders>
            <w:shd w:val="clear" w:color="auto" w:fill="FEFEF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10.45†*</w:t>
            </w:r>
          </w:p>
        </w:tc>
        <w:tc>
          <w:tcPr>
            <w:tcW w:w="540" w:type="dxa"/>
            <w:vAlign w:val="bottom"/>
          </w:tcPr>
          <w:p>
            <w:pPr>
              <w:spacing w:after="0"/>
              <w:rPr>
                <w:sz w:val="12"/>
                <w:szCs w:val="12"/>
                <w:color w:val="auto"/>
              </w:rPr>
            </w:pPr>
          </w:p>
        </w:tc>
        <w:tc>
          <w:tcPr>
            <w:tcW w:w="9260" w:type="dxa"/>
            <w:vAlign w:val="bottom"/>
            <w:gridSpan w:val="23"/>
          </w:tcPr>
          <w:p>
            <w:pPr>
              <w:spacing w:after="0" w:line="149" w:lineRule="exact"/>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February 2, 2024, by and between Virtu Financial, Inc. and Douglas A. Cifu.</w:t>
            </w:r>
          </w:p>
        </w:tc>
        <w:tc>
          <w:tcPr>
            <w:tcW w:w="4860" w:type="dxa"/>
            <w:vAlign w:val="bottom"/>
            <w:tcBorders>
              <w:top w:val="single" w:sz="8" w:color="0000FF"/>
            </w:tcBorders>
            <w:gridSpan w:val="16"/>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10.46†*</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20" w:type="dxa"/>
            <w:vAlign w:val="bottom"/>
            <w:tcBorders>
              <w:top w:val="single" w:sz="8" w:color="0000FF"/>
            </w:tcBorders>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February 2, 2024, by and between Virtu Financial, Inc. and Joseph Molluso.</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10.47†*</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20" w:type="dxa"/>
            <w:vAlign w:val="bottom"/>
            <w:tcBorders>
              <w:top w:val="single" w:sz="8" w:color="0000FF"/>
            </w:tcBorders>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February 2, 2024, by and between Virtu Financial, Inc. and Stephen Cavoli.</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10.48†*</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20" w:type="dxa"/>
            <w:vAlign w:val="bottom"/>
            <w:tcBorders>
              <w:top w:val="single" w:sz="8" w:color="0000FF"/>
            </w:tcBorders>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February 2, 2024, by and between Virtu Financial, Inc. and Brett Fairclough.</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10.49†*</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February 4, 2025, by and between Virtu Financial, Inc. and Douglas A. Cifu.</w:t>
            </w:r>
          </w:p>
        </w:tc>
        <w:tc>
          <w:tcPr>
            <w:tcW w:w="4860" w:type="dxa"/>
            <w:vAlign w:val="bottom"/>
            <w:tcBorders>
              <w:top w:val="single" w:sz="8" w:color="0000FF"/>
            </w:tcBorders>
            <w:gridSpan w:val="16"/>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10.50†*</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20" w:type="dxa"/>
            <w:vAlign w:val="bottom"/>
            <w:tcBorders>
              <w:top w:val="single" w:sz="8" w:color="0000FF"/>
            </w:tcBorders>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February 4, 2025, by and between Virtu Financial, Inc. and Joseph Molluso.</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10.51†*</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20" w:type="dxa"/>
            <w:vAlign w:val="bottom"/>
            <w:tcBorders>
              <w:top w:val="single" w:sz="8" w:color="0000FF"/>
            </w:tcBorders>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February 4, 2025, by and between Virtu Financial, Inc. and Stephen Cavoli.</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10.52†*</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20" w:type="dxa"/>
            <w:vAlign w:val="bottom"/>
            <w:tcBorders>
              <w:top w:val="single" w:sz="8" w:color="0000FF"/>
            </w:tcBorders>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February 4, 2025, by and between Virtu Financial, Inc. and Brett Fairclough.</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10.53†*</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and Common Stock Award Agreement, dated as of</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20" w:type="dxa"/>
            <w:vAlign w:val="bottom"/>
            <w:tcBorders>
              <w:top w:val="single" w:sz="8" w:color="0000FF"/>
            </w:tcBorders>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February 4, 2025, by and between Virtu Financial, Inc. and Cindy Lee.</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10.54†*</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Second Amended and Restated 2015 Management Incentive Plan Employee Restricted Stock Unit and Common Stock Award Agreement,</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80" w:type="dxa"/>
            <w:vAlign w:val="bottom"/>
            <w:tcBorders>
              <w:top w:val="single" w:sz="8" w:color="0000FF"/>
              <w:bottom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dated as of February 4, 2026, by and between Virtu Financial, Inc. and Aaron Simons.</w:t>
            </w:r>
          </w:p>
        </w:tc>
        <w:tc>
          <w:tcPr>
            <w:tcW w:w="4120" w:type="dxa"/>
            <w:vAlign w:val="bottom"/>
            <w:tcBorders>
              <w:top w:val="single" w:sz="8" w:color="0000FF"/>
            </w:tcBorders>
            <w:gridSpan w:val="9"/>
          </w:tcPr>
          <w:p>
            <w:pPr>
              <w:spacing w:after="0"/>
              <w:rPr>
                <w:sz w:val="10"/>
                <w:szCs w:val="10"/>
                <w:color w:val="auto"/>
              </w:rPr>
            </w:pPr>
          </w:p>
        </w:tc>
        <w:tc>
          <w:tcPr>
            <w:tcW w:w="2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10.55†*</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Second Amended and Restated 2015 Management Incentive Plan Employee Restricted Stock Unit and Common Stock Award Agreement,</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960" w:type="dxa"/>
            <w:vAlign w:val="bottom"/>
            <w:tcBorders>
              <w:top w:val="single" w:sz="8" w:color="0000FF"/>
              <w:bottom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color w:val="0000FF"/>
              </w:rPr>
              <w:t>dated as of February 4, 2026, by and between Virtu Financial, Inc. and Joseph Molluso.</w:t>
            </w:r>
          </w:p>
        </w:tc>
        <w:tc>
          <w:tcPr>
            <w:tcW w:w="4040" w:type="dxa"/>
            <w:vAlign w:val="bottom"/>
            <w:tcBorders>
              <w:top w:val="single" w:sz="8" w:color="0000FF"/>
            </w:tcBorders>
            <w:gridSpan w:val="7"/>
          </w:tcPr>
          <w:p>
            <w:pPr>
              <w:spacing w:after="0"/>
              <w:rPr>
                <w:sz w:val="10"/>
                <w:szCs w:val="10"/>
                <w:color w:val="auto"/>
              </w:rPr>
            </w:pPr>
          </w:p>
        </w:tc>
        <w:tc>
          <w:tcPr>
            <w:tcW w:w="2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10.56†*</w:t>
            </w:r>
          </w:p>
        </w:tc>
        <w:tc>
          <w:tcPr>
            <w:tcW w:w="540" w:type="dxa"/>
            <w:vAlign w:val="bottom"/>
          </w:tcPr>
          <w:p>
            <w:pPr>
              <w:spacing w:after="0"/>
              <w:rPr>
                <w:sz w:val="14"/>
                <w:szCs w:val="1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Virtu Financial, Inc. Second Amended and Restated 2015 Management Incentive Plan Employee Restricted Stock Unit and Common Stock Award Agreement,</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940" w:type="dxa"/>
            <w:vAlign w:val="bottom"/>
            <w:tcBorders>
              <w:top w:val="single" w:sz="8" w:color="0000FF"/>
              <w:bottom w:val="single" w:sz="8" w:color="0000FF"/>
            </w:tcBorders>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dated as of February 4, 2026, by and between Virtu Financial, Inc. and Stephen Cavoli.</w:t>
            </w:r>
          </w:p>
        </w:tc>
        <w:tc>
          <w:tcPr>
            <w:tcW w:w="4060" w:type="dxa"/>
            <w:vAlign w:val="bottom"/>
            <w:tcBorders>
              <w:top w:val="single" w:sz="8" w:color="0000FF"/>
            </w:tcBorders>
            <w:gridSpan w:val="8"/>
          </w:tcPr>
          <w:p>
            <w:pPr>
              <w:spacing w:after="0"/>
              <w:rPr>
                <w:sz w:val="10"/>
                <w:szCs w:val="10"/>
                <w:color w:val="auto"/>
              </w:rPr>
            </w:pPr>
          </w:p>
        </w:tc>
        <w:tc>
          <w:tcPr>
            <w:tcW w:w="2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701"/>
        </w:trPr>
        <w:tc>
          <w:tcPr>
            <w:tcW w:w="1460" w:type="dxa"/>
            <w:vAlign w:val="bottom"/>
          </w:tcPr>
          <w:p>
            <w:pPr>
              <w:spacing w:after="0"/>
              <w:rPr>
                <w:sz w:val="24"/>
                <w:szCs w:val="24"/>
                <w:color w:val="auto"/>
              </w:rPr>
            </w:pPr>
          </w:p>
        </w:tc>
        <w:tc>
          <w:tcPr>
            <w:tcW w:w="4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154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10.57†*</w:t>
            </w:r>
          </w:p>
        </w:tc>
        <w:tc>
          <w:tcPr>
            <w:tcW w:w="92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Virtu Financial, Inc. Second Amended and Restated 2015 Management Incentive Plan Employee Restricted Stock Unit and Common Stock Award Agreement,</w:t>
            </w: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500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dated as of February 4, 2026, by and between Virtu Financial, Inc. and Brett Fairclough.</w:t>
            </w:r>
          </w:p>
        </w:tc>
        <w:tc>
          <w:tcPr>
            <w:tcW w:w="4000" w:type="dxa"/>
            <w:vAlign w:val="bottom"/>
            <w:tcBorders>
              <w:top w:val="single" w:sz="8" w:color="0000FF"/>
            </w:tcBorders>
            <w:gridSpan w:val="5"/>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10.58†*</w:t>
            </w:r>
          </w:p>
        </w:tc>
        <w:tc>
          <w:tcPr>
            <w:tcW w:w="92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Virtu Financial, Inc. Second Amended and Restated 2015 Management Incentive Plan Employee Restricted Stock Unit and Common Stock Award Agreement,</w:t>
            </w: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9000" w:type="dxa"/>
            <w:vAlign w:val="bottom"/>
            <w:tcBorders>
              <w:top w:val="single" w:sz="8" w:color="0000FF"/>
            </w:tcBorders>
            <w:gridSpan w:val="11"/>
          </w:tcPr>
          <w:p>
            <w:pPr>
              <w:spacing w:after="0" w:line="118" w:lineRule="exact"/>
              <w:rPr>
                <w:sz w:val="20"/>
                <w:szCs w:val="20"/>
                <w:color w:val="auto"/>
              </w:rPr>
            </w:pPr>
            <w:r>
              <w:rPr>
                <w:rFonts w:ascii="Times New Roman" w:cs="Times New Roman" w:eastAsia="Times New Roman" w:hAnsi="Times New Roman"/>
                <w:sz w:val="13"/>
                <w:szCs w:val="13"/>
                <w:color w:val="0000FF"/>
              </w:rPr>
              <w:t>dated as of February 4, 2026, by and between Virtu Financial, Inc. and Cindy Lee.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00" w:type="dxa"/>
            <w:vAlign w:val="bottom"/>
            <w:shd w:val="clear" w:color="auto" w:fill="FEFEFE"/>
          </w:tcPr>
          <w:p>
            <w:pPr>
              <w:ind w:left="2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9260" w:type="dxa"/>
            <w:vAlign w:val="bottom"/>
            <w:gridSpan w:val="14"/>
            <w:shd w:val="clear" w:color="auto" w:fill="FEFEFE"/>
          </w:tcPr>
          <w:p>
            <w:pPr>
              <w:spacing w:after="0" w:line="149"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Virtu Financial, Inc. Securities Trading Policy (incorporated herein by reference to Exhibit 10.45 to the Company’s Annual Report on Form 10-K (File No. 001-</w:t>
              </w:r>
            </w:hyperlink>
          </w:p>
        </w:tc>
        <w:tc>
          <w:tcPr>
            <w:tcW w:w="0" w:type="dxa"/>
            <w:vAlign w:val="bottom"/>
          </w:tcPr>
          <w:p>
            <w:pPr>
              <w:spacing w:after="0"/>
              <w:rPr>
                <w:sz w:val="1"/>
                <w:szCs w:val="1"/>
                <w:color w:val="auto"/>
              </w:rPr>
            </w:pPr>
          </w:p>
        </w:tc>
      </w:tr>
      <w:tr>
        <w:trPr>
          <w:trHeight w:val="118"/>
        </w:trPr>
        <w:tc>
          <w:tcPr>
            <w:tcW w:w="2000" w:type="dxa"/>
            <w:vAlign w:val="bottom"/>
            <w:tcBorders>
              <w:top w:val="single" w:sz="8" w:color="FEFEFE"/>
              <w:bottom w:val="single" w:sz="8" w:color="FEFEFE"/>
            </w:tcBorders>
            <w:shd w:val="clear" w:color="auto" w:fill="FEFEFE"/>
          </w:tcPr>
          <w:p>
            <w:pPr>
              <w:spacing w:after="0"/>
              <w:rPr>
                <w:sz w:val="10"/>
                <w:szCs w:val="10"/>
                <w:color w:val="auto"/>
              </w:rPr>
            </w:pPr>
          </w:p>
        </w:tc>
        <w:tc>
          <w:tcPr>
            <w:tcW w:w="2040" w:type="dxa"/>
            <w:vAlign w:val="bottom"/>
            <w:tcBorders>
              <w:top w:val="single" w:sz="8" w:color="0000FF"/>
              <w:bottom w:val="single" w:sz="8" w:color="0000FF"/>
              <w:right w:val="single" w:sz="8" w:color="FEFEFE"/>
            </w:tcBorders>
            <w:gridSpan w:val="2"/>
            <w:shd w:val="clear" w:color="auto" w:fill="FEFEFE"/>
          </w:tcPr>
          <w:p>
            <w:pPr>
              <w:spacing w:after="0" w:line="118" w:lineRule="exact"/>
              <w:rPr>
                <w:rFonts w:ascii="Times New Roman" w:cs="Times New Roman" w:eastAsia="Times New Roman" w:hAnsi="Times New Roman"/>
                <w:sz w:val="13"/>
                <w:szCs w:val="13"/>
                <w:color w:val="0000FF"/>
              </w:rPr>
            </w:pPr>
            <w:hyperlink r:id="rId258">
              <w:r>
                <w:rPr>
                  <w:rFonts w:ascii="Times New Roman" w:cs="Times New Roman" w:eastAsia="Times New Roman" w:hAnsi="Times New Roman"/>
                  <w:sz w:val="13"/>
                  <w:szCs w:val="13"/>
                  <w:color w:val="0000FF"/>
                </w:rPr>
                <w:t>37352) filed on February 21, 2025).</w:t>
              </w:r>
            </w:hyperlink>
          </w:p>
        </w:tc>
        <w:tc>
          <w:tcPr>
            <w:tcW w:w="7040" w:type="dxa"/>
            <w:vAlign w:val="bottom"/>
            <w:tcBorders>
              <w:top w:val="single" w:sz="8" w:color="0000FF"/>
              <w:bottom w:val="single" w:sz="8" w:color="FEFEFE"/>
            </w:tcBorders>
            <w:gridSpan w:val="11"/>
            <w:shd w:val="clear" w:color="auto" w:fill="FEFEFE"/>
          </w:tcPr>
          <w:p>
            <w:pPr>
              <w:spacing w:after="0"/>
              <w:rPr>
                <w:sz w:val="10"/>
                <w:szCs w:val="10"/>
                <w:color w:val="auto"/>
              </w:rPr>
            </w:pPr>
          </w:p>
        </w:tc>
        <w:tc>
          <w:tcPr>
            <w:tcW w:w="180" w:type="dxa"/>
            <w:vAlign w:val="bottom"/>
            <w:tcBorders>
              <w:top w:val="single" w:sz="8" w:color="FEFEFE"/>
              <w:bottom w:val="single" w:sz="8" w:color="FEFEFE"/>
            </w:tcBorders>
            <w:shd w:val="clear" w:color="auto" w:fill="FEFEF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0000FF"/>
              </w:rPr>
              <w:t>Subsidiaries of Virtu Financial, Inc.</w:t>
            </w:r>
          </w:p>
        </w:tc>
        <w:tc>
          <w:tcPr>
            <w:tcW w:w="0" w:type="dxa"/>
            <w:vAlign w:val="bottom"/>
          </w:tcPr>
          <w:p>
            <w:pPr>
              <w:spacing w:after="0"/>
              <w:rPr>
                <w:sz w:val="1"/>
                <w:szCs w:val="1"/>
                <w:color w:val="auto"/>
              </w:rPr>
            </w:pPr>
          </w:p>
        </w:tc>
      </w:tr>
      <w:tr>
        <w:trPr>
          <w:trHeight w:val="20"/>
        </w:trPr>
        <w:tc>
          <w:tcPr>
            <w:tcW w:w="2000" w:type="dxa"/>
            <w:vAlign w:val="bottom"/>
            <w:shd w:val="clear" w:color="auto" w:fill="FEFEFE"/>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0" w:type="dxa"/>
            <w:vAlign w:val="bottom"/>
            <w:tcBorders>
              <w:right w:val="single" w:sz="8" w:color="FEFEFE"/>
            </w:tcBorders>
            <w:shd w:val="clear" w:color="auto" w:fill="0000FF"/>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360" w:type="dxa"/>
            <w:vAlign w:val="bottom"/>
            <w:shd w:val="clear" w:color="auto" w:fill="FEFEFE"/>
          </w:tcPr>
          <w:p>
            <w:pPr>
              <w:spacing w:after="0" w:line="20" w:lineRule="exact"/>
              <w:rPr>
                <w:sz w:val="1"/>
                <w:szCs w:val="1"/>
                <w:color w:val="auto"/>
              </w:rPr>
            </w:pPr>
          </w:p>
        </w:tc>
        <w:tc>
          <w:tcPr>
            <w:tcW w:w="1940" w:type="dxa"/>
            <w:vAlign w:val="bottom"/>
            <w:shd w:val="clear" w:color="auto" w:fill="FEFEFE"/>
          </w:tcPr>
          <w:p>
            <w:pPr>
              <w:spacing w:after="0" w:line="20" w:lineRule="exact"/>
              <w:rPr>
                <w:sz w:val="1"/>
                <w:szCs w:val="1"/>
                <w:color w:val="auto"/>
              </w:rPr>
            </w:pPr>
          </w:p>
        </w:tc>
        <w:tc>
          <w:tcPr>
            <w:tcW w:w="340" w:type="dxa"/>
            <w:vAlign w:val="bottom"/>
            <w:shd w:val="clear" w:color="auto" w:fill="FEFEFE"/>
          </w:tcPr>
          <w:p>
            <w:pPr>
              <w:spacing w:after="0" w:line="20" w:lineRule="exact"/>
              <w:rPr>
                <w:sz w:val="1"/>
                <w:szCs w:val="1"/>
                <w:color w:val="auto"/>
              </w:rPr>
            </w:pPr>
          </w:p>
        </w:tc>
        <w:tc>
          <w:tcPr>
            <w:tcW w:w="33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0000FF"/>
              </w:rPr>
              <w:t>Consent of PricewaterhouseCoopers LLP.</w:t>
            </w:r>
          </w:p>
        </w:tc>
        <w:tc>
          <w:tcPr>
            <w:tcW w:w="0" w:type="dxa"/>
            <w:vAlign w:val="bottom"/>
          </w:tcPr>
          <w:p>
            <w:pPr>
              <w:spacing w:after="0"/>
              <w:rPr>
                <w:sz w:val="1"/>
                <w:szCs w:val="1"/>
                <w:color w:val="auto"/>
              </w:rPr>
            </w:pPr>
          </w:p>
        </w:tc>
      </w:tr>
      <w:tr>
        <w:trPr>
          <w:trHeight w:val="20"/>
        </w:trPr>
        <w:tc>
          <w:tcPr>
            <w:tcW w:w="2000" w:type="dxa"/>
            <w:vAlign w:val="bottom"/>
            <w:shd w:val="clear" w:color="auto" w:fill="FEFEFE"/>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shd w:val="clear" w:color="auto" w:fill="FEFEFE"/>
          </w:tcPr>
          <w:p>
            <w:pPr>
              <w:spacing w:after="0" w:line="20" w:lineRule="exact"/>
              <w:rPr>
                <w:sz w:val="1"/>
                <w:szCs w:val="1"/>
                <w:color w:val="auto"/>
              </w:rPr>
            </w:pPr>
          </w:p>
        </w:tc>
        <w:tc>
          <w:tcPr>
            <w:tcW w:w="564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20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required by Rule 13a-14(a)/15d-14(a) under the Securities Exchange Act of 1934, as amended, as adopted pursuant to</w:t>
            </w:r>
          </w:p>
        </w:tc>
        <w:tc>
          <w:tcPr>
            <w:tcW w:w="0" w:type="dxa"/>
            <w:vAlign w:val="bottom"/>
          </w:tcPr>
          <w:p>
            <w:pPr>
              <w:spacing w:after="0"/>
              <w:rPr>
                <w:sz w:val="1"/>
                <w:szCs w:val="1"/>
                <w:color w:val="auto"/>
              </w:rPr>
            </w:pPr>
          </w:p>
        </w:tc>
      </w:tr>
      <w:tr>
        <w:trPr>
          <w:trHeight w:val="118"/>
        </w:trPr>
        <w:tc>
          <w:tcPr>
            <w:tcW w:w="2000" w:type="dxa"/>
            <w:vAlign w:val="bottom"/>
            <w:tcBorders>
              <w:top w:val="single" w:sz="8" w:color="FEFEFE"/>
            </w:tcBorders>
            <w:shd w:val="clear" w:color="auto" w:fill="FEFEFE"/>
          </w:tcPr>
          <w:p>
            <w:pPr>
              <w:spacing w:after="0"/>
              <w:rPr>
                <w:sz w:val="10"/>
                <w:szCs w:val="10"/>
                <w:color w:val="auto"/>
              </w:rPr>
            </w:pPr>
          </w:p>
        </w:tc>
        <w:tc>
          <w:tcPr>
            <w:tcW w:w="8960" w:type="dxa"/>
            <w:vAlign w:val="bottom"/>
            <w:tcBorders>
              <w:top w:val="single" w:sz="8" w:color="0000FF"/>
            </w:tcBorders>
            <w:gridSpan w:val="10"/>
            <w:shd w:val="clear" w:color="auto" w:fill="FEFEFE"/>
          </w:tcPr>
          <w:p>
            <w:pPr>
              <w:spacing w:after="0" w:line="118" w:lineRule="exact"/>
              <w:rPr>
                <w:sz w:val="20"/>
                <w:szCs w:val="20"/>
                <w:color w:val="auto"/>
              </w:rPr>
            </w:pPr>
            <w:r>
              <w:rPr>
                <w:rFonts w:ascii="Times New Roman" w:cs="Times New Roman" w:eastAsia="Times New Roman" w:hAnsi="Times New Roman"/>
                <w:sz w:val="13"/>
                <w:szCs w:val="13"/>
                <w:color w:val="0000FF"/>
              </w:rPr>
              <w:t>Section 302 of the Sarbanes-Oxley Act of 2002.</w:t>
            </w:r>
          </w:p>
        </w:tc>
        <w:tc>
          <w:tcPr>
            <w:tcW w:w="100" w:type="dxa"/>
            <w:vAlign w:val="bottom"/>
            <w:tcBorders>
              <w:top w:val="single" w:sz="8" w:color="FEFEFE"/>
            </w:tcBorders>
            <w:gridSpan w:val="2"/>
            <w:shd w:val="clear" w:color="auto" w:fill="FEFEFE"/>
          </w:tcPr>
          <w:p>
            <w:pPr>
              <w:spacing w:after="0"/>
              <w:rPr>
                <w:sz w:val="10"/>
                <w:szCs w:val="10"/>
                <w:color w:val="auto"/>
              </w:rPr>
            </w:pPr>
          </w:p>
        </w:tc>
        <w:tc>
          <w:tcPr>
            <w:tcW w:w="200" w:type="dxa"/>
            <w:vAlign w:val="bottom"/>
            <w:tcBorders>
              <w:top w:val="single" w:sz="8" w:color="FEFEFE"/>
            </w:tcBorders>
            <w:gridSpan w:val="2"/>
            <w:shd w:val="clear" w:color="auto" w:fill="FEFEF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FEFEFE"/>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64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140" w:type="dxa"/>
            <w:vAlign w:val="bottom"/>
            <w:gridSpan w:val="3"/>
            <w:shd w:val="clear" w:color="auto" w:fill="FEFEFE"/>
          </w:tcPr>
          <w:p>
            <w:pPr>
              <w:spacing w:after="0" w:line="20" w:lineRule="exact"/>
              <w:rPr>
                <w:sz w:val="1"/>
                <w:szCs w:val="1"/>
                <w:color w:val="auto"/>
              </w:rPr>
            </w:pPr>
          </w:p>
        </w:tc>
        <w:tc>
          <w:tcPr>
            <w:tcW w:w="20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required by Rule 13a-14(a)/15d-14(a) under the Securities Exchange Act of 1934, as amended, as adopted pursuant to</w:t>
            </w:r>
          </w:p>
        </w:tc>
        <w:tc>
          <w:tcPr>
            <w:tcW w:w="0" w:type="dxa"/>
            <w:vAlign w:val="bottom"/>
          </w:tcPr>
          <w:p>
            <w:pPr>
              <w:spacing w:after="0"/>
              <w:rPr>
                <w:sz w:val="1"/>
                <w:szCs w:val="1"/>
                <w:color w:val="auto"/>
              </w:rPr>
            </w:pPr>
          </w:p>
        </w:tc>
      </w:tr>
      <w:tr>
        <w:trPr>
          <w:trHeight w:val="118"/>
        </w:trPr>
        <w:tc>
          <w:tcPr>
            <w:tcW w:w="2000" w:type="dxa"/>
            <w:vAlign w:val="bottom"/>
            <w:tcBorders>
              <w:top w:val="single" w:sz="8" w:color="FEFEFE"/>
            </w:tcBorders>
            <w:shd w:val="clear" w:color="auto" w:fill="FEFEFE"/>
          </w:tcPr>
          <w:p>
            <w:pPr>
              <w:spacing w:after="0"/>
              <w:rPr>
                <w:sz w:val="10"/>
                <w:szCs w:val="10"/>
                <w:color w:val="auto"/>
              </w:rPr>
            </w:pPr>
          </w:p>
        </w:tc>
        <w:tc>
          <w:tcPr>
            <w:tcW w:w="8920" w:type="dxa"/>
            <w:vAlign w:val="bottom"/>
            <w:tcBorders>
              <w:top w:val="single" w:sz="8" w:color="0000FF"/>
            </w:tcBorders>
            <w:gridSpan w:val="9"/>
            <w:shd w:val="clear" w:color="auto" w:fill="FEFEFE"/>
          </w:tcPr>
          <w:p>
            <w:pPr>
              <w:spacing w:after="0" w:line="118" w:lineRule="exact"/>
              <w:rPr>
                <w:sz w:val="20"/>
                <w:szCs w:val="20"/>
                <w:color w:val="auto"/>
              </w:rPr>
            </w:pPr>
            <w:r>
              <w:rPr>
                <w:rFonts w:ascii="Times New Roman" w:cs="Times New Roman" w:eastAsia="Times New Roman" w:hAnsi="Times New Roman"/>
                <w:sz w:val="13"/>
                <w:szCs w:val="13"/>
                <w:color w:val="0000FF"/>
              </w:rPr>
              <w:t>Section 302 of the Sarbanes-Oxley Act of 2002.</w:t>
            </w:r>
          </w:p>
        </w:tc>
        <w:tc>
          <w:tcPr>
            <w:tcW w:w="140" w:type="dxa"/>
            <w:vAlign w:val="bottom"/>
            <w:tcBorders>
              <w:top w:val="single" w:sz="8" w:color="FEFEFE"/>
            </w:tcBorders>
            <w:gridSpan w:val="3"/>
            <w:shd w:val="clear" w:color="auto" w:fill="FEFEFE"/>
          </w:tcPr>
          <w:p>
            <w:pPr>
              <w:spacing w:after="0"/>
              <w:rPr>
                <w:sz w:val="10"/>
                <w:szCs w:val="10"/>
                <w:color w:val="auto"/>
              </w:rPr>
            </w:pPr>
          </w:p>
        </w:tc>
        <w:tc>
          <w:tcPr>
            <w:tcW w:w="200" w:type="dxa"/>
            <w:vAlign w:val="bottom"/>
            <w:tcBorders>
              <w:top w:val="single" w:sz="8" w:color="FEFEFE"/>
            </w:tcBorders>
            <w:gridSpan w:val="2"/>
            <w:shd w:val="clear" w:color="auto" w:fill="FEFEF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FEFEFE"/>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64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660" w:type="dxa"/>
            <w:vAlign w:val="bottom"/>
            <w:gridSpan w:val="4"/>
            <w:shd w:val="clear" w:color="auto" w:fill="FEFEFE"/>
          </w:tcPr>
          <w:p>
            <w:pPr>
              <w:spacing w:after="0" w:line="20" w:lineRule="exact"/>
              <w:rPr>
                <w:sz w:val="1"/>
                <w:szCs w:val="1"/>
                <w:color w:val="auto"/>
              </w:rPr>
            </w:pPr>
          </w:p>
        </w:tc>
        <w:tc>
          <w:tcPr>
            <w:tcW w:w="20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8400" w:type="dxa"/>
            <w:vAlign w:val="bottom"/>
            <w:tcBorders>
              <w:bottom w:val="single" w:sz="8" w:color="0000FF"/>
            </w:tcBorders>
            <w:gridSpan w:val="8"/>
            <w:shd w:val="clear" w:color="auto" w:fill="FEFEFE"/>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c>
          <w:tcPr>
            <w:tcW w:w="860" w:type="dxa"/>
            <w:vAlign w:val="bottom"/>
            <w:tcBorders>
              <w:bottom w:val="single" w:sz="8" w:color="FEFEFE"/>
            </w:tcBorders>
            <w:gridSpan w:val="6"/>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8360" w:type="dxa"/>
            <w:vAlign w:val="bottom"/>
            <w:tcBorders>
              <w:bottom w:val="single" w:sz="8" w:color="0000FF"/>
            </w:tcBorders>
            <w:gridSpan w:val="7"/>
            <w:shd w:val="clear" w:color="auto" w:fill="FEFEFE"/>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900" w:type="dxa"/>
            <w:vAlign w:val="bottom"/>
            <w:tcBorders>
              <w:bottom w:val="single" w:sz="8" w:color="FEFEFE"/>
            </w:tcBorders>
            <w:gridSpan w:val="7"/>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97.1</w:t>
            </w:r>
          </w:p>
        </w:tc>
        <w:tc>
          <w:tcPr>
            <w:tcW w:w="9260" w:type="dxa"/>
            <w:vAlign w:val="bottom"/>
            <w:gridSpan w:val="14"/>
            <w:shd w:val="clear" w:color="auto" w:fill="FEFEFE"/>
          </w:tcPr>
          <w:p>
            <w:pPr>
              <w:spacing w:after="0"/>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Virtu Financial, Inc. Clawback Policy (incorporated herein by reference to Exhibit 97.1 to the Company’s Quarterly Report on Form 10-K (File No. 001-37352)</w:t>
              </w:r>
            </w:hyperlink>
          </w:p>
        </w:tc>
        <w:tc>
          <w:tcPr>
            <w:tcW w:w="0" w:type="dxa"/>
            <w:vAlign w:val="bottom"/>
          </w:tcPr>
          <w:p>
            <w:pPr>
              <w:spacing w:after="0"/>
              <w:rPr>
                <w:sz w:val="1"/>
                <w:szCs w:val="1"/>
                <w:color w:val="auto"/>
              </w:rPr>
            </w:pPr>
          </w:p>
        </w:tc>
      </w:tr>
      <w:tr>
        <w:trPr>
          <w:trHeight w:val="118"/>
        </w:trPr>
        <w:tc>
          <w:tcPr>
            <w:tcW w:w="2000" w:type="dxa"/>
            <w:vAlign w:val="bottom"/>
            <w:tcBorders>
              <w:top w:val="single" w:sz="8" w:color="FEFEFE"/>
              <w:bottom w:val="single" w:sz="8" w:color="FEFEFE"/>
            </w:tcBorders>
            <w:shd w:val="clear" w:color="auto" w:fill="FEFEFE"/>
          </w:tcPr>
          <w:p>
            <w:pPr>
              <w:spacing w:after="0"/>
              <w:rPr>
                <w:sz w:val="10"/>
                <w:szCs w:val="10"/>
                <w:color w:val="auto"/>
              </w:rPr>
            </w:pPr>
          </w:p>
        </w:tc>
        <w:tc>
          <w:tcPr>
            <w:tcW w:w="1600" w:type="dxa"/>
            <w:vAlign w:val="bottom"/>
            <w:tcBorders>
              <w:top w:val="single" w:sz="8" w:color="0000FF"/>
              <w:bottom w:val="single" w:sz="8" w:color="0000FF"/>
            </w:tcBorders>
            <w:shd w:val="clear" w:color="auto" w:fill="FEFEFE"/>
          </w:tcPr>
          <w:p>
            <w:pPr>
              <w:spacing w:after="0" w:line="118" w:lineRule="exact"/>
              <w:rPr>
                <w:rFonts w:ascii="Times New Roman" w:cs="Times New Roman" w:eastAsia="Times New Roman" w:hAnsi="Times New Roman"/>
                <w:sz w:val="13"/>
                <w:szCs w:val="13"/>
                <w:color w:val="0000FF"/>
              </w:rPr>
            </w:pPr>
            <w:hyperlink r:id="rId259">
              <w:r>
                <w:rPr>
                  <w:rFonts w:ascii="Times New Roman" w:cs="Times New Roman" w:eastAsia="Times New Roman" w:hAnsi="Times New Roman"/>
                  <w:sz w:val="13"/>
                  <w:szCs w:val="13"/>
                  <w:color w:val="0000FF"/>
                </w:rPr>
                <w:t>filed on February 16, 2024).</w:t>
              </w:r>
            </w:hyperlink>
          </w:p>
        </w:tc>
        <w:tc>
          <w:tcPr>
            <w:tcW w:w="7460" w:type="dxa"/>
            <w:vAlign w:val="bottom"/>
            <w:tcBorders>
              <w:top w:val="single" w:sz="8" w:color="0000FF"/>
              <w:bottom w:val="single" w:sz="8" w:color="FEFEFE"/>
            </w:tcBorders>
            <w:gridSpan w:val="11"/>
            <w:shd w:val="clear" w:color="auto" w:fill="FEFEFE"/>
          </w:tcPr>
          <w:p>
            <w:pPr>
              <w:spacing w:after="0"/>
              <w:rPr>
                <w:sz w:val="10"/>
                <w:szCs w:val="10"/>
                <w:color w:val="auto"/>
              </w:rPr>
            </w:pPr>
          </w:p>
        </w:tc>
        <w:tc>
          <w:tcPr>
            <w:tcW w:w="20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0" w:type="dxa"/>
            <w:vAlign w:val="bottom"/>
          </w:tcPr>
          <w:p>
            <w:pPr>
              <w:spacing w:after="0"/>
              <w:rPr>
                <w:sz w:val="1"/>
                <w:szCs w:val="1"/>
                <w:color w:val="auto"/>
              </w:rPr>
            </w:pPr>
          </w:p>
        </w:tc>
      </w:tr>
      <w:tr>
        <w:trPr>
          <w:trHeight w:val="202"/>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Schema</w:t>
            </w:r>
          </w:p>
        </w:tc>
        <w:tc>
          <w:tcPr>
            <w:tcW w:w="0" w:type="dxa"/>
            <w:vAlign w:val="bottom"/>
          </w:tcPr>
          <w:p>
            <w:pPr>
              <w:spacing w:after="0"/>
              <w:rPr>
                <w:sz w:val="1"/>
                <w:szCs w:val="1"/>
                <w:color w:val="auto"/>
              </w:rPr>
            </w:pPr>
          </w:p>
        </w:tc>
      </w:tr>
      <w:tr>
        <w:trPr>
          <w:trHeight w:val="202"/>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w:t>
            </w:r>
          </w:p>
        </w:tc>
        <w:tc>
          <w:tcPr>
            <w:tcW w:w="0" w:type="dxa"/>
            <w:vAlign w:val="bottom"/>
          </w:tcPr>
          <w:p>
            <w:pPr>
              <w:spacing w:after="0"/>
              <w:rPr>
                <w:sz w:val="1"/>
                <w:szCs w:val="1"/>
                <w:color w:val="auto"/>
              </w:rPr>
            </w:pPr>
          </w:p>
        </w:tc>
      </w:tr>
      <w:tr>
        <w:trPr>
          <w:trHeight w:val="202"/>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Label Linkbase</w:t>
            </w:r>
          </w:p>
        </w:tc>
        <w:tc>
          <w:tcPr>
            <w:tcW w:w="0" w:type="dxa"/>
            <w:vAlign w:val="bottom"/>
          </w:tcPr>
          <w:p>
            <w:pPr>
              <w:spacing w:after="0"/>
              <w:rPr>
                <w:sz w:val="1"/>
                <w:szCs w:val="1"/>
                <w:color w:val="auto"/>
              </w:rPr>
            </w:pPr>
          </w:p>
        </w:tc>
      </w:tr>
      <w:tr>
        <w:trPr>
          <w:trHeight w:val="202"/>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w:t>
            </w:r>
          </w:p>
        </w:tc>
        <w:tc>
          <w:tcPr>
            <w:tcW w:w="0" w:type="dxa"/>
            <w:vAlign w:val="bottom"/>
          </w:tcPr>
          <w:p>
            <w:pPr>
              <w:spacing w:after="0"/>
              <w:rPr>
                <w:sz w:val="1"/>
                <w:szCs w:val="1"/>
                <w:color w:val="auto"/>
              </w:rPr>
            </w:pPr>
          </w:p>
        </w:tc>
      </w:tr>
      <w:tr>
        <w:trPr>
          <w:trHeight w:val="202"/>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9260" w:type="dxa"/>
            <w:vAlign w:val="bottom"/>
            <w:gridSpan w:val="14"/>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Definition Document</w:t>
            </w:r>
          </w:p>
        </w:tc>
        <w:tc>
          <w:tcPr>
            <w:tcW w:w="0" w:type="dxa"/>
            <w:vAlign w:val="bottom"/>
          </w:tcPr>
          <w:p>
            <w:pPr>
              <w:spacing w:after="0"/>
              <w:rPr>
                <w:sz w:val="1"/>
                <w:szCs w:val="1"/>
                <w:color w:val="auto"/>
              </w:rPr>
            </w:pPr>
          </w:p>
        </w:tc>
      </w:tr>
      <w:tr>
        <w:trPr>
          <w:trHeight w:val="202"/>
        </w:trPr>
        <w:tc>
          <w:tcPr>
            <w:tcW w:w="2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9260" w:type="dxa"/>
            <w:vAlign w:val="bottom"/>
            <w:gridSpan w:val="14"/>
            <w:vMerge w:val="restart"/>
            <w:shd w:val="clear" w:color="auto" w:fill="FEFEFE"/>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74"/>
        </w:trPr>
        <w:tc>
          <w:tcPr>
            <w:tcW w:w="2000" w:type="dxa"/>
            <w:vAlign w:val="bottom"/>
            <w:shd w:val="clear" w:color="auto" w:fill="FEFEFE"/>
          </w:tcPr>
          <w:p>
            <w:pPr>
              <w:spacing w:after="0"/>
              <w:rPr>
                <w:sz w:val="6"/>
                <w:szCs w:val="6"/>
                <w:color w:val="auto"/>
              </w:rPr>
            </w:pPr>
          </w:p>
        </w:tc>
        <w:tc>
          <w:tcPr>
            <w:tcW w:w="9260" w:type="dxa"/>
            <w:vAlign w:val="bottom"/>
            <w:gridSpan w:val="14"/>
            <w:vMerge w:val="continue"/>
            <w:shd w:val="clear" w:color="auto" w:fill="FEFEF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00" w:type="dxa"/>
            <w:vAlign w:val="bottom"/>
            <w:shd w:val="clear" w:color="auto" w:fill="FEFEFE"/>
          </w:tcPr>
          <w:p>
            <w:pPr>
              <w:spacing w:after="0"/>
              <w:rPr>
                <w:sz w:val="6"/>
                <w:szCs w:val="6"/>
                <w:color w:val="auto"/>
              </w:rPr>
            </w:pPr>
          </w:p>
        </w:tc>
        <w:tc>
          <w:tcPr>
            <w:tcW w:w="1600" w:type="dxa"/>
            <w:vAlign w:val="bottom"/>
            <w:shd w:val="clear" w:color="auto" w:fill="FEFEFE"/>
          </w:tcPr>
          <w:p>
            <w:pPr>
              <w:spacing w:after="0"/>
              <w:rPr>
                <w:sz w:val="6"/>
                <w:szCs w:val="6"/>
                <w:color w:val="auto"/>
              </w:rPr>
            </w:pPr>
          </w:p>
        </w:tc>
        <w:tc>
          <w:tcPr>
            <w:tcW w:w="440" w:type="dxa"/>
            <w:vAlign w:val="bottom"/>
            <w:tcBorders>
              <w:right w:val="single" w:sz="8" w:color="FEFEFE"/>
            </w:tcBorders>
            <w:shd w:val="clear" w:color="auto" w:fill="FEFEFE"/>
          </w:tcPr>
          <w:p>
            <w:pPr>
              <w:spacing w:after="0"/>
              <w:rPr>
                <w:sz w:val="6"/>
                <w:szCs w:val="6"/>
                <w:color w:val="auto"/>
              </w:rPr>
            </w:pPr>
          </w:p>
        </w:tc>
        <w:tc>
          <w:tcPr>
            <w:tcW w:w="320" w:type="dxa"/>
            <w:vAlign w:val="bottom"/>
            <w:shd w:val="clear" w:color="auto" w:fill="FEFEFE"/>
          </w:tcPr>
          <w:p>
            <w:pPr>
              <w:spacing w:after="0"/>
              <w:rPr>
                <w:sz w:val="6"/>
                <w:szCs w:val="6"/>
                <w:color w:val="auto"/>
              </w:rPr>
            </w:pPr>
          </w:p>
        </w:tc>
        <w:tc>
          <w:tcPr>
            <w:tcW w:w="360" w:type="dxa"/>
            <w:vAlign w:val="bottom"/>
            <w:shd w:val="clear" w:color="auto" w:fill="FEFEFE"/>
          </w:tcPr>
          <w:p>
            <w:pPr>
              <w:spacing w:after="0"/>
              <w:rPr>
                <w:sz w:val="6"/>
                <w:szCs w:val="6"/>
                <w:color w:val="auto"/>
              </w:rPr>
            </w:pPr>
          </w:p>
        </w:tc>
        <w:tc>
          <w:tcPr>
            <w:tcW w:w="1940" w:type="dxa"/>
            <w:vAlign w:val="bottom"/>
            <w:shd w:val="clear" w:color="auto" w:fill="FEFEFE"/>
          </w:tcPr>
          <w:p>
            <w:pPr>
              <w:spacing w:after="0"/>
              <w:rPr>
                <w:sz w:val="6"/>
                <w:szCs w:val="6"/>
                <w:color w:val="auto"/>
              </w:rPr>
            </w:pPr>
          </w:p>
        </w:tc>
        <w:tc>
          <w:tcPr>
            <w:tcW w:w="340" w:type="dxa"/>
            <w:vAlign w:val="bottom"/>
            <w:shd w:val="clear" w:color="auto" w:fill="FEFEFE"/>
          </w:tcPr>
          <w:p>
            <w:pPr>
              <w:spacing w:after="0"/>
              <w:rPr>
                <w:sz w:val="6"/>
                <w:szCs w:val="6"/>
                <w:color w:val="auto"/>
              </w:rPr>
            </w:pPr>
          </w:p>
        </w:tc>
        <w:tc>
          <w:tcPr>
            <w:tcW w:w="336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52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60" w:type="dxa"/>
            <w:vAlign w:val="bottom"/>
            <w:shd w:val="clear" w:color="auto" w:fill="FEFEFE"/>
          </w:tcPr>
          <w:p>
            <w:pPr>
              <w:spacing w:after="0"/>
              <w:rPr>
                <w:sz w:val="6"/>
                <w:szCs w:val="6"/>
                <w:color w:val="auto"/>
              </w:rPr>
            </w:pPr>
          </w:p>
        </w:tc>
        <w:tc>
          <w:tcPr>
            <w:tcW w:w="20" w:type="dxa"/>
            <w:vAlign w:val="bottom"/>
            <w:shd w:val="clear" w:color="auto" w:fill="FEFEFE"/>
          </w:tcPr>
          <w:p>
            <w:pPr>
              <w:spacing w:after="0"/>
              <w:rPr>
                <w:sz w:val="6"/>
                <w:szCs w:val="6"/>
                <w:color w:val="auto"/>
              </w:rPr>
            </w:pPr>
          </w:p>
        </w:tc>
        <w:tc>
          <w:tcPr>
            <w:tcW w:w="180" w:type="dxa"/>
            <w:vAlign w:val="bottom"/>
            <w:shd w:val="clear" w:color="auto" w:fill="FEFEFE"/>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right="600" w:firstLine="509"/>
        <w:spacing w:after="0" w:line="276"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1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Virtu Financial, Inc.</w:t>
            </w:r>
          </w:p>
        </w:tc>
      </w:tr>
      <w:tr>
        <w:trPr>
          <w:trHeight w:val="605"/>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3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February 20, 2026</w:t>
            </w:r>
          </w:p>
        </w:tc>
        <w:tc>
          <w:tcPr>
            <w:tcW w:w="12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Aaron Simons</w:t>
            </w:r>
          </w:p>
        </w:tc>
      </w:tr>
      <w:tr>
        <w:trPr>
          <w:trHeight w:val="167"/>
        </w:trPr>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Aaron Simons</w:t>
            </w:r>
          </w:p>
        </w:tc>
      </w:tr>
      <w:tr>
        <w:trPr>
          <w:trHeight w:val="184"/>
        </w:trPr>
        <w:tc>
          <w:tcPr>
            <w:tcW w:w="1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605"/>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3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February 20, 2026</w:t>
            </w:r>
          </w:p>
        </w:tc>
        <w:tc>
          <w:tcPr>
            <w:tcW w:w="12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Cindy Lee</w:t>
            </w:r>
          </w:p>
        </w:tc>
      </w:tr>
      <w:tr>
        <w:trPr>
          <w:trHeight w:val="167"/>
        </w:trPr>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Cindy Lee</w:t>
            </w:r>
          </w:p>
        </w:tc>
      </w:tr>
      <w:tr>
        <w:trPr>
          <w:trHeight w:val="184"/>
        </w:trPr>
        <w:tc>
          <w:tcPr>
            <w:tcW w:w="1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4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KNOW ALL MEN BY THESE PRESENTS, that each person whose signature appears below constitutes and appoints Aaron Simons and Cindy Lee,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157" w:name="page158"/>
    <w:bookmarkEnd w:id="157"/>
    <w:p>
      <w:pPr>
        <w:ind w:firstLine="509"/>
        <w:spacing w:after="0" w:line="275" w:lineRule="auto"/>
        <w:rPr>
          <w:sz w:val="20"/>
          <w:szCs w:val="20"/>
          <w:color w:val="auto"/>
        </w:rPr>
      </w:pPr>
      <w:r>
        <w:rPr>
          <w:rFonts w:ascii="Times New Roman" w:cs="Times New Roman" w:eastAsia="Times New Roman" w:hAnsi="Times New Roman"/>
          <w:sz w:val="14"/>
          <w:szCs w:val="14"/>
          <w:color w:val="auto"/>
        </w:rPr>
        <w:t>Pursuant to the requirements of the Securities and Exchange Act of 1934, as amended, the report has been signed below by the following persons on behalf of the Registrant and in the capacities indicated on February 20, 2026.</w:t>
      </w:r>
    </w:p>
    <w:p>
      <w:pPr>
        <w:ind w:left="2680"/>
        <w:spacing w:after="0"/>
        <w:tabs>
          <w:tab w:leader="none" w:pos="816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p>
    <w:p>
      <w:pPr>
        <w:sectPr>
          <w:pgSz w:w="11900" w:h="16838" w:orient="portrait"/>
          <w:cols w:equalWidth="0" w:num="1">
            <w:col w:w="10860"/>
          </w:cols>
          <w:pgMar w:left="300" w:top="729" w:right="739" w:bottom="1440" w:gutter="0" w:footer="0" w:header="0"/>
        </w:sectPr>
      </w:pPr>
    </w:p>
    <w:p>
      <w:pPr>
        <w:spacing w:after="0" w:line="26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Aaron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14605</wp:posOffset>
            </wp:positionV>
            <wp:extent cx="340931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3">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Aaron Simons</w:t>
      </w:r>
    </w:p>
    <w:p>
      <w:pPr>
        <w:spacing w:after="0" w:line="26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Cindy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14605</wp:posOffset>
            </wp:positionV>
            <wp:extent cx="340931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4">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Cindy Lee</w:t>
      </w:r>
    </w:p>
    <w:p>
      <w:pPr>
        <w:spacing w:after="0" w:line="2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Michael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28575</wp:posOffset>
            </wp:positionV>
            <wp:extent cx="340931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5">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Michael Viola</w:t>
      </w:r>
    </w:p>
    <w:p>
      <w:pPr>
        <w:spacing w:after="0" w:line="2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Vincent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14605</wp:posOffset>
            </wp:positionV>
            <wp:extent cx="340931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6">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Vincent Viola</w:t>
      </w:r>
    </w:p>
    <w:p>
      <w:pPr>
        <w:spacing w:after="0" w:line="26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3"/>
          <w:szCs w:val="13"/>
          <w:color w:val="auto"/>
        </w:rPr>
        <w:t>/s/ William F. Cruger,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22225</wp:posOffset>
            </wp:positionV>
            <wp:extent cx="340931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7">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William F. Cruger, Jr.</w:t>
      </w:r>
    </w:p>
    <w:p>
      <w:pPr>
        <w:spacing w:after="0" w:line="26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Virginia Gambale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14605</wp:posOffset>
            </wp:positionV>
            <wp:extent cx="340931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8">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Virginia Gambale</w:t>
      </w:r>
    </w:p>
    <w:p>
      <w:pPr>
        <w:spacing w:after="0" w:line="2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Joseph J. Grano,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28575</wp:posOffset>
            </wp:positionV>
            <wp:extent cx="340931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9">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Joseph J. Grano, Jr.</w:t>
      </w:r>
    </w:p>
    <w:p>
      <w:pPr>
        <w:spacing w:after="0" w:line="25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Joanne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28575</wp:posOffset>
            </wp:positionV>
            <wp:extent cx="340931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0">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Joanne Minieri</w:t>
      </w:r>
    </w:p>
    <w:p>
      <w:pPr>
        <w:spacing w:after="0" w:line="25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John D.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28575</wp:posOffset>
            </wp:positionV>
            <wp:extent cx="340931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1">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5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John D. Nixon</w:t>
      </w:r>
    </w:p>
    <w:p>
      <w:pPr>
        <w:spacing w:after="0" w:line="26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Christopher Quick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14605</wp:posOffset>
            </wp:positionV>
            <wp:extent cx="340931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2">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Christopher Quick</w:t>
      </w:r>
    </w:p>
    <w:p>
      <w:pPr>
        <w:spacing w:after="0" w:line="2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David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28575</wp:posOffset>
            </wp:positionV>
            <wp:extent cx="340931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3">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David Urban</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4"/>
          <w:szCs w:val="14"/>
          <w:color w:val="auto"/>
        </w:rPr>
        <w:t>Chief Executive Officer</w:t>
      </w:r>
    </w:p>
    <w:p>
      <w:pPr>
        <w:jc w:val="center"/>
        <w:ind w:right="1260"/>
        <w:spacing w:after="0"/>
        <w:rPr>
          <w:sz w:val="20"/>
          <w:szCs w:val="20"/>
          <w:color w:val="auto"/>
        </w:rPr>
      </w:pPr>
      <w:r>
        <w:rPr>
          <w:rFonts w:ascii="Times New Roman" w:cs="Times New Roman" w:eastAsia="Times New Roman" w:hAnsi="Times New Roman"/>
          <w:sz w:val="14"/>
          <w:szCs w:val="14"/>
          <w:color w:val="auto"/>
        </w:rPr>
        <w:t>(Principal Executive Officer) and Director</w:t>
      </w:r>
    </w:p>
    <w:p>
      <w:pPr>
        <w:spacing w:after="0" w:line="315"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4"/>
          <w:szCs w:val="14"/>
          <w:color w:val="auto"/>
        </w:rPr>
        <w:t>Chief Financial Officer</w:t>
      </w:r>
    </w:p>
    <w:p>
      <w:pPr>
        <w:jc w:val="center"/>
        <w:ind w:right="12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3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Chairman of the Board of Directors</w:t>
      </w: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Chairman Emeritus and Director</w:t>
      </w: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Director</w:t>
      </w:r>
    </w:p>
    <w:p>
      <w:pPr>
        <w:spacing w:after="0" w:line="316" w:lineRule="exact"/>
        <w:rPr>
          <w:sz w:val="20"/>
          <w:szCs w:val="20"/>
          <w:color w:val="auto"/>
        </w:rPr>
      </w:pPr>
    </w:p>
    <w:p>
      <w:pPr>
        <w:sectPr>
          <w:pgSz w:w="11900" w:h="16838" w:orient="portrait"/>
          <w:cols w:equalWidth="0" w:num="2">
            <w:col w:w="6340" w:space="720"/>
            <w:col w:w="3800"/>
          </w:cols>
          <w:pgMar w:left="300" w:top="729" w:right="73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0860"/>
          </w:cols>
          <w:pgMar w:left="300" w:top="729" w:right="739" w:bottom="1440" w:gutter="0" w:footer="0" w:header="0"/>
          <w:type w:val="continuous"/>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Virtu Financial, Inc.</w:t>
      </w:r>
    </w:p>
    <w:p>
      <w:pPr>
        <w:spacing w:after="0" w:line="223" w:lineRule="exact"/>
        <w:rPr>
          <w:sz w:val="20"/>
          <w:szCs w:val="20"/>
          <w:color w:val="auto"/>
        </w:rPr>
      </w:pPr>
    </w:p>
    <w:p>
      <w:pPr>
        <w:jc w:val="both"/>
        <w:ind w:right="240" w:firstLine="509"/>
        <w:spacing w:after="0" w:line="309" w:lineRule="auto"/>
        <w:rPr>
          <w:sz w:val="20"/>
          <w:szCs w:val="20"/>
          <w:color w:val="auto"/>
        </w:rPr>
      </w:pPr>
      <w:r>
        <w:rPr>
          <w:rFonts w:ascii="Times New Roman" w:cs="Times New Roman" w:eastAsia="Times New Roman" w:hAnsi="Times New Roman"/>
          <w:sz w:val="14"/>
          <w:szCs w:val="14"/>
          <w:color w:val="auto"/>
        </w:rPr>
        <w:t>The following are subsidiaries of Virtu Financial, Inc. as of December 31, 2025 and the jurisdictions in which they are organized. The names of particular subsidiaries have been omitted because, considered in the aggregate as a single subsidiary, they would not constitute, as of December 31, 2025, a "significant subsidiary" as that term is defined in Rule 1-02(w) of regulation S-X under the Securities Exchange Act of 1934.</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60" w:type="dxa"/>
            <w:vAlign w:val="bottom"/>
            <w:shd w:val="clear" w:color="auto" w:fill="CCEEFF"/>
          </w:tcPr>
          <w:p>
            <w:pPr>
              <w:jc w:val="center"/>
              <w:ind w:left="1909"/>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Virtu Financial LLC</w:t>
            </w:r>
          </w:p>
        </w:tc>
        <w:tc>
          <w:tcPr>
            <w:tcW w:w="5960" w:type="dxa"/>
            <w:vAlign w:val="bottom"/>
          </w:tcPr>
          <w:p>
            <w:pPr>
              <w:jc w:val="center"/>
              <w:ind w:left="190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VFH Parent LLC</w:t>
            </w:r>
          </w:p>
        </w:tc>
        <w:tc>
          <w:tcPr>
            <w:tcW w:w="5960" w:type="dxa"/>
            <w:vAlign w:val="bottom"/>
            <w:shd w:val="clear" w:color="auto" w:fill="CCEEFF"/>
          </w:tcPr>
          <w:p>
            <w:pPr>
              <w:jc w:val="center"/>
              <w:ind w:left="190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Virtu Financial Operating LLC</w:t>
            </w:r>
          </w:p>
        </w:tc>
        <w:tc>
          <w:tcPr>
            <w:tcW w:w="5960" w:type="dxa"/>
            <w:vAlign w:val="bottom"/>
          </w:tcPr>
          <w:p>
            <w:pPr>
              <w:jc w:val="center"/>
              <w:ind w:left="190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Financial Global Markets LLC</w:t>
            </w:r>
          </w:p>
        </w:tc>
        <w:tc>
          <w:tcPr>
            <w:tcW w:w="5960" w:type="dxa"/>
            <w:vAlign w:val="bottom"/>
            <w:shd w:val="clear" w:color="auto" w:fill="CCEEFF"/>
          </w:tcPr>
          <w:p>
            <w:pPr>
              <w:jc w:val="center"/>
              <w:ind w:left="190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Virtu KCG Holdings LLC</w:t>
            </w:r>
          </w:p>
        </w:tc>
        <w:tc>
          <w:tcPr>
            <w:tcW w:w="5960" w:type="dxa"/>
            <w:vAlign w:val="bottom"/>
          </w:tcPr>
          <w:p>
            <w:pPr>
              <w:jc w:val="center"/>
              <w:ind w:left="190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5960" w:type="dxa"/>
            <w:vAlign w:val="bottom"/>
            <w:shd w:val="clear" w:color="auto" w:fill="CCEEFF"/>
          </w:tcPr>
          <w:p>
            <w:pPr>
              <w:jc w:val="center"/>
              <w:ind w:left="1909"/>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80"/>
          </w:cols>
          <w:pgMar w:left="300" w:top="897" w:right="31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Forms S-3 ASR (No. 333-255659 and 333-224683) and Form S-8 (Nos. 333-288402) of Virtu Financial, Inc. of our report dated February 20, 2026 relating to the financial statements, and the effectiveness of internal control over financial reporting, which appears in this Form 10-K.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2026</w:t>
      </w:r>
    </w:p>
    <w:p>
      <w:pPr>
        <w:spacing w:after="0"/>
        <w:rPr>
          <w:sz w:val="20"/>
          <w:szCs w:val="20"/>
          <w:color w:val="auto"/>
        </w:rPr>
      </w:pPr>
      <w:r>
        <w:rPr>
          <w:rFonts w:ascii="Times New Roman" w:cs="Times New Roman" w:eastAsia="Times New Roman" w:hAnsi="Times New Roman"/>
          <w:sz w:val="14"/>
          <w:szCs w:val="14"/>
          <w:color w:val="auto"/>
        </w:rPr>
        <w:t>New York, New York.</w:t>
      </w:r>
    </w:p>
    <w:p>
      <w:pPr>
        <w:sectPr>
          <w:pgSz w:w="11900" w:h="16838" w:orient="portrait"/>
          <w:cols w:equalWidth="0" w:num="1">
            <w:col w:w="11280"/>
          </w:cols>
          <w:pgMar w:left="300" w:top="897" w:right="31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CEO CERTIFICATION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 — 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Aaron Simons, certify that:</w:t>
      </w:r>
    </w:p>
    <w:p>
      <w:pPr>
        <w:spacing w:after="0" w:line="200" w:lineRule="exact"/>
        <w:rPr>
          <w:sz w:val="20"/>
          <w:szCs w:val="20"/>
          <w:color w:val="auto"/>
        </w:rPr>
      </w:pPr>
    </w:p>
    <w:p>
      <w:pPr>
        <w:ind w:left="520" w:right="100" w:hanging="260"/>
        <w:spacing w:after="0" w:line="287"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period ending December 31, 2025 of Virtu Financial, Inc. (the “registrant”) as filed with the Securities and Exchange Commission on the date hereof;</w:t>
      </w:r>
    </w:p>
    <w:p>
      <w:pPr>
        <w:spacing w:after="0" w:line="145"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900" w:right="40" w:hanging="386"/>
        <w:spacing w:after="0" w:line="287" w:lineRule="auto"/>
        <w:tabs>
          <w:tab w:leader="none" w:pos="89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900" w:right="120" w:hanging="386"/>
        <w:spacing w:after="0" w:line="287" w:lineRule="auto"/>
        <w:tabs>
          <w:tab w:leader="none" w:pos="895"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900" w:right="300" w:hanging="386"/>
        <w:spacing w:after="0" w:line="287" w:lineRule="auto"/>
        <w:tabs>
          <w:tab w:leader="none" w:pos="89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900" w:right="280" w:hanging="386"/>
        <w:spacing w:after="0" w:line="287" w:lineRule="auto"/>
        <w:tabs>
          <w:tab w:leader="none" w:pos="895"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900" w:right="640" w:hanging="386"/>
        <w:spacing w:after="0" w:line="287" w:lineRule="auto"/>
        <w:tabs>
          <w:tab w:leader="none" w:pos="89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20, 2026</w:t>
            </w:r>
          </w:p>
        </w:tc>
        <w:tc>
          <w:tcPr>
            <w:tcW w:w="270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Aaron Simons</w:t>
            </w:r>
          </w:p>
        </w:tc>
      </w:tr>
      <w:tr>
        <w:trPr>
          <w:trHeight w:val="167"/>
        </w:trPr>
        <w:tc>
          <w:tcPr>
            <w:tcW w:w="3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Aaron Simons</w:t>
            </w:r>
          </w:p>
        </w:tc>
      </w:tr>
      <w:tr>
        <w:trPr>
          <w:trHeight w:val="184"/>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727" w:right="31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CFO CERTIFICATION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 — 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Cindy Lee, certify that:</w:t>
      </w:r>
    </w:p>
    <w:p>
      <w:pPr>
        <w:spacing w:after="0" w:line="179" w:lineRule="exact"/>
        <w:rPr>
          <w:sz w:val="20"/>
          <w:szCs w:val="20"/>
          <w:color w:val="auto"/>
        </w:rPr>
      </w:pPr>
    </w:p>
    <w:p>
      <w:pPr>
        <w:ind w:left="520" w:right="100" w:hanging="260"/>
        <w:spacing w:after="0" w:line="287" w:lineRule="auto"/>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period ending December 31, 2025 of Virtu Financial, Inc. (the “registrant”) as filed with the Securities and Exchange Commission on the date hereof;</w:t>
      </w:r>
    </w:p>
    <w:p>
      <w:pPr>
        <w:spacing w:after="0" w:line="145"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900" w:right="40" w:hanging="386"/>
        <w:spacing w:after="0" w:line="287" w:lineRule="auto"/>
        <w:tabs>
          <w:tab w:leader="none" w:pos="898"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900" w:right="120" w:hanging="386"/>
        <w:spacing w:after="0" w:line="287" w:lineRule="auto"/>
        <w:tabs>
          <w:tab w:leader="none" w:pos="89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900" w:right="300" w:hanging="386"/>
        <w:spacing w:after="0" w:line="287" w:lineRule="auto"/>
        <w:tabs>
          <w:tab w:leader="none" w:pos="898"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900" w:right="280" w:hanging="386"/>
        <w:spacing w:after="0" w:line="287" w:lineRule="auto"/>
        <w:tabs>
          <w:tab w:leader="none" w:pos="89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900" w:right="640" w:hanging="386"/>
        <w:spacing w:after="0" w:line="287" w:lineRule="auto"/>
        <w:tabs>
          <w:tab w:leader="none" w:pos="898"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20, 2026</w:t>
            </w:r>
          </w:p>
        </w:tc>
        <w:tc>
          <w:tcPr>
            <w:tcW w:w="272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Cindy Lee</w:t>
            </w:r>
          </w:p>
        </w:tc>
      </w:tr>
      <w:tr>
        <w:trPr>
          <w:trHeight w:val="167"/>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Cindy Lee</w:t>
            </w:r>
          </w:p>
        </w:tc>
      </w:tr>
      <w:tr>
        <w:trPr>
          <w:trHeight w:val="184"/>
        </w:trPr>
        <w:tc>
          <w:tcPr>
            <w:tcW w:w="3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727" w:right="31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6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Virtu Financial, Inc. (the “Company”) for the period ended December 31, 2025 as filed with the Securities and Exchange Commission on the date hereof (the “Report”), I, Aaron Simons, certify, pursuant to 18 U.S.C. Section 1350, as adopted pursuant to Section 906 of the Sarbanes-Oxley Act of 2002, in my capacity as an officer of the Company that, to my knowledge:</w:t>
      </w:r>
    </w:p>
    <w:p>
      <w:pPr>
        <w:spacing w:after="0" w:line="157" w:lineRule="exact"/>
        <w:rPr>
          <w:sz w:val="20"/>
          <w:szCs w:val="20"/>
          <w:color w:val="auto"/>
        </w:rPr>
      </w:pPr>
    </w:p>
    <w:p>
      <w:pPr>
        <w:ind w:left="1040" w:hanging="144"/>
        <w:spacing w:after="0"/>
        <w:tabs>
          <w:tab w:leader="none" w:pos="10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and</w:t>
      </w:r>
    </w:p>
    <w:p>
      <w:pPr>
        <w:spacing w:after="0" w:line="178" w:lineRule="exact"/>
        <w:rPr>
          <w:rFonts w:ascii="Times New Roman" w:cs="Times New Roman" w:eastAsia="Times New Roman" w:hAnsi="Times New Roman"/>
          <w:sz w:val="14"/>
          <w:szCs w:val="14"/>
          <w:color w:val="auto"/>
        </w:rPr>
      </w:pPr>
    </w:p>
    <w:p>
      <w:pPr>
        <w:ind w:left="1040" w:hanging="144"/>
        <w:spacing w:after="0"/>
        <w:tabs>
          <w:tab w:leader="none" w:pos="10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Aaron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14605</wp:posOffset>
            </wp:positionV>
            <wp:extent cx="348297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2">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Aaron Simons</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Date: February 20, 2026</w:t>
      </w:r>
    </w:p>
    <w:p>
      <w:pPr>
        <w:sectPr>
          <w:pgSz w:w="11900" w:h="16838" w:orient="portrait"/>
          <w:cols w:equalWidth="0" w:num="1">
            <w:col w:w="11280"/>
          </w:cols>
          <w:pgMar w:left="300" w:top="727" w:right="31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6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Virtu Financial, Inc. (the “Company”) for the period ended December 31, 2025 as filed with the Securities and Exchange Commission on the date hereof (the “Report”), I, Cindy Lee, certify, pursuant to 18 U.S.C. Section 1350, as adopted pursuant to Section 906 of the Sarbanes-Oxley Act of 2002, in my capacity as an officer of the Company that, to my knowledge:</w:t>
      </w:r>
    </w:p>
    <w:p>
      <w:pPr>
        <w:spacing w:after="0" w:line="136" w:lineRule="exact"/>
        <w:rPr>
          <w:sz w:val="20"/>
          <w:szCs w:val="20"/>
          <w:color w:val="auto"/>
        </w:rPr>
      </w:pPr>
    </w:p>
    <w:p>
      <w:pPr>
        <w:ind w:left="1040" w:hanging="144"/>
        <w:spacing w:after="0"/>
        <w:tabs>
          <w:tab w:leader="none" w:pos="10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and</w:t>
      </w:r>
    </w:p>
    <w:p>
      <w:pPr>
        <w:spacing w:after="0" w:line="178" w:lineRule="exact"/>
        <w:rPr>
          <w:rFonts w:ascii="Times New Roman" w:cs="Times New Roman" w:eastAsia="Times New Roman" w:hAnsi="Times New Roman"/>
          <w:sz w:val="14"/>
          <w:szCs w:val="14"/>
          <w:color w:val="auto"/>
        </w:rPr>
      </w:pPr>
    </w:p>
    <w:p>
      <w:pPr>
        <w:ind w:left="1040" w:hanging="144"/>
        <w:spacing w:after="0"/>
        <w:tabs>
          <w:tab w:leader="none" w:pos="10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Cindy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50329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3">
                      <a:extLst>
                        <a:ext uri="{28A0092B-C50C-407E-A947-70E740481C1C}"/>
                      </a:extLst>
                    </a:blip>
                    <a:srcRect/>
                    <a:stretch>
                      <a:fillRect/>
                    </a:stretch>
                  </pic:blipFill>
                  <pic:spPr bwMode="auto">
                    <a:xfrm>
                      <a:off x="0" y="0"/>
                      <a:ext cx="3503295" cy="6985"/>
                    </a:xfrm>
                    <a:prstGeom prst="rect">
                      <a:avLst/>
                    </a:prstGeom>
                    <a:noFill/>
                  </pic:spPr>
                </pic:pic>
              </a:graphicData>
            </a:graphic>
          </wp:anchor>
        </w:drawing>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Cindy Lee</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Date: February 20, 2026</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lvl w:ilvl="1">
      <w:lvlJc w:val="left"/>
      <w:lvlText w:val="◦"/>
      <w:numFmt w:val="bullet"/>
      <w:start w:val="1"/>
    </w:lvl>
  </w:abstractNum>
  <w:abstractNum w:abstractNumId="5">
    <w:nsid w:val="2CA88611"/>
    <w:multiLevelType w:val="hybridMultilevel"/>
    <w:lvl w:ilvl="0">
      <w:lvlJc w:val="left"/>
      <w:lvlText w:val="•"/>
      <w:numFmt w:val="bullet"/>
      <w:start w:val="1"/>
    </w:lvl>
    <w:lvl w:ilvl="1">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lowerRoman"/>
      <w:start w:val="4"/>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lowerRoman"/>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lowerRoman"/>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lvl w:ilvl="1">
      <w:lvlJc w:val="left"/>
      <w:lvlText w:val="(%2)"/>
      <w:numFmt w:val="decimal"/>
      <w:start w:val="1"/>
    </w:lvl>
  </w:abstractNum>
  <w:abstractNum w:abstractNumId="41">
    <w:nsid w:val="4B588F54"/>
    <w:multiLevelType w:val="hybridMultilevel"/>
    <w:lvl w:ilvl="0">
      <w:lvlJc w:val="left"/>
      <w:lvlText w:val="%1."/>
      <w:numFmt w:val="decimal"/>
      <w:start w:val="20"/>
    </w:lvl>
    <w:lvl w:ilvl="1">
      <w:lvlJc w:val="left"/>
      <w:lvlText w:val="%2"/>
      <w:numFmt w:val="decimal"/>
      <w:start w:val="1"/>
    </w:lvl>
  </w:abstractNum>
  <w:abstractNum w:abstractNumId="42">
    <w:nsid w:val="542289EC"/>
    <w:multiLevelType w:val="hybridMultilevel"/>
    <w:lvl w:ilvl="0">
      <w:lvlJc w:val="left"/>
      <w:lvlText w:val="(%1)"/>
      <w:numFmt w:val="decimal"/>
      <w:start w:val="3"/>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upperLetter"/>
      <w:start w:val="6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6"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6" Type="http://schemas.openxmlformats.org/officeDocument/2006/relationships/image" Target="media/image195.png"/><Relationship Id="rId257" Type="http://schemas.openxmlformats.org/officeDocument/2006/relationships/image" Target="media/image196.png"/><Relationship Id="rId260" Type="http://schemas.openxmlformats.org/officeDocument/2006/relationships/image" Target="media/image197.png"/><Relationship Id="rId261" Type="http://schemas.openxmlformats.org/officeDocument/2006/relationships/image" Target="media/image198.png"/><Relationship Id="rId262" Type="http://schemas.openxmlformats.org/officeDocument/2006/relationships/image" Target="media/image199.png"/><Relationship Id="rId263" Type="http://schemas.openxmlformats.org/officeDocument/2006/relationships/image" Target="media/image200.png"/><Relationship Id="rId264" Type="http://schemas.openxmlformats.org/officeDocument/2006/relationships/image" Target="media/image201.png"/><Relationship Id="rId265" Type="http://schemas.openxmlformats.org/officeDocument/2006/relationships/image" Target="media/image202.png"/><Relationship Id="rId266" Type="http://schemas.openxmlformats.org/officeDocument/2006/relationships/image" Target="media/image203.png"/><Relationship Id="rId267" Type="http://schemas.openxmlformats.org/officeDocument/2006/relationships/image" Target="media/image204.png"/><Relationship Id="rId268" Type="http://schemas.openxmlformats.org/officeDocument/2006/relationships/image" Target="media/image205.png"/><Relationship Id="rId269" Type="http://schemas.openxmlformats.org/officeDocument/2006/relationships/image" Target="media/image206.png"/><Relationship Id="rId270" Type="http://schemas.openxmlformats.org/officeDocument/2006/relationships/image" Target="media/image207.png"/><Relationship Id="rId271" Type="http://schemas.openxmlformats.org/officeDocument/2006/relationships/image" Target="media/image208.png"/><Relationship Id="rId272" Type="http://schemas.openxmlformats.org/officeDocument/2006/relationships/image" Target="media/image209.png"/><Relationship Id="rId273" Type="http://schemas.openxmlformats.org/officeDocument/2006/relationships/image" Target="media/image210.png"/><Relationship Id="rId274" Type="http://schemas.openxmlformats.org/officeDocument/2006/relationships/image" Target="media/image211.png"/><Relationship Id="rId275" Type="http://schemas.openxmlformats.org/officeDocument/2006/relationships/image" Target="media/image212.png"/><Relationship Id="rId276" Type="http://schemas.openxmlformats.org/officeDocument/2006/relationships/image" Target="media/image213.png"/><Relationship Id="rId277" Type="http://schemas.openxmlformats.org/officeDocument/2006/relationships/image" Target="media/image214.png"/><Relationship Id="rId278" Type="http://schemas.openxmlformats.org/officeDocument/2006/relationships/image" Target="media/image215.png"/><Relationship Id="rId279" Type="http://schemas.openxmlformats.org/officeDocument/2006/relationships/image" Target="media/image216.png"/><Relationship Id="rId280" Type="http://schemas.openxmlformats.org/officeDocument/2006/relationships/image" Target="media/image217.png"/><Relationship Id="rId281" Type="http://schemas.openxmlformats.org/officeDocument/2006/relationships/image" Target="media/image218.png"/><Relationship Id="rId282" Type="http://schemas.openxmlformats.org/officeDocument/2006/relationships/image" Target="media/image219.png"/><Relationship Id="rId283" Type="http://schemas.openxmlformats.org/officeDocument/2006/relationships/image" Target="media/image220.png"/><Relationship Id="rId284" Type="http://schemas.openxmlformats.org/officeDocument/2006/relationships/image" Target="media/image221.png"/><Relationship Id="rId285" Type="http://schemas.openxmlformats.org/officeDocument/2006/relationships/image" Target="media/image222.png"/><Relationship Id="rId286" Type="http://schemas.openxmlformats.org/officeDocument/2006/relationships/image" Target="media/image223.png"/><Relationship Id="rId287" Type="http://schemas.openxmlformats.org/officeDocument/2006/relationships/image" Target="media/image224.png"/><Relationship Id="rId288" Type="http://schemas.openxmlformats.org/officeDocument/2006/relationships/image" Target="media/image225.png"/><Relationship Id="rId289" Type="http://schemas.openxmlformats.org/officeDocument/2006/relationships/image" Target="media/image226.png"/><Relationship Id="rId290" Type="http://schemas.openxmlformats.org/officeDocument/2006/relationships/image" Target="media/image227.png"/><Relationship Id="rId291" Type="http://schemas.openxmlformats.org/officeDocument/2006/relationships/image" Target="media/image228.png"/><Relationship Id="rId292" Type="http://schemas.openxmlformats.org/officeDocument/2006/relationships/image" Target="media/image229.png"/><Relationship Id="rId293" Type="http://schemas.openxmlformats.org/officeDocument/2006/relationships/image" Target="media/image230.png"/><Relationship Id="rId294" Type="http://schemas.openxmlformats.org/officeDocument/2006/relationships/image" Target="media/image231.png"/><Relationship Id="rId295" Type="http://schemas.openxmlformats.org/officeDocument/2006/relationships/image" Target="media/image232.png"/><Relationship Id="rId296" Type="http://schemas.openxmlformats.org/officeDocument/2006/relationships/image" Target="media/image233.png"/><Relationship Id="rId297" Type="http://schemas.openxmlformats.org/officeDocument/2006/relationships/image" Target="media/image234.png"/><Relationship Id="rId298" Type="http://schemas.openxmlformats.org/officeDocument/2006/relationships/image" Target="media/image235.png"/><Relationship Id="rId299" Type="http://schemas.openxmlformats.org/officeDocument/2006/relationships/image" Target="media/image236.png"/><Relationship Id="rId300" Type="http://schemas.openxmlformats.org/officeDocument/2006/relationships/image" Target="media/image237.png"/><Relationship Id="rId301" Type="http://schemas.openxmlformats.org/officeDocument/2006/relationships/image" Target="media/image238.png"/><Relationship Id="rId302" Type="http://schemas.openxmlformats.org/officeDocument/2006/relationships/image" Target="media/image239.png"/><Relationship Id="rId303" Type="http://schemas.openxmlformats.org/officeDocument/2006/relationships/image" Target="media/image240.png"/><Relationship Id="rId304" Type="http://schemas.openxmlformats.org/officeDocument/2006/relationships/image" Target="media/image241.png"/><Relationship Id="rId305" Type="http://schemas.openxmlformats.org/officeDocument/2006/relationships/image" Target="media/image242.png"/><Relationship Id="rId306" Type="http://schemas.openxmlformats.org/officeDocument/2006/relationships/image" Target="media/image243.png"/><Relationship Id="rId307" Type="http://schemas.openxmlformats.org/officeDocument/2006/relationships/image" Target="media/image244.png"/><Relationship Id="rId308" Type="http://schemas.openxmlformats.org/officeDocument/2006/relationships/image" Target="media/image245.png"/><Relationship Id="rId309" Type="http://schemas.openxmlformats.org/officeDocument/2006/relationships/image" Target="media/image246.png"/><Relationship Id="rId310" Type="http://schemas.openxmlformats.org/officeDocument/2006/relationships/image" Target="media/image247.png"/><Relationship Id="rId311" Type="http://schemas.openxmlformats.org/officeDocument/2006/relationships/image" Target="media/image248.png"/><Relationship Id="rId312" Type="http://schemas.openxmlformats.org/officeDocument/2006/relationships/image" Target="media/image249.png"/><Relationship Id="rId313" Type="http://schemas.openxmlformats.org/officeDocument/2006/relationships/image" Target="media/image250.png"/><Relationship Id="rId314" Type="http://schemas.openxmlformats.org/officeDocument/2006/relationships/image" Target="media/image251.png"/><Relationship Id="rId315" Type="http://schemas.openxmlformats.org/officeDocument/2006/relationships/image" Target="media/image252.png"/><Relationship Id="rId316" Type="http://schemas.openxmlformats.org/officeDocument/2006/relationships/image" Target="media/image253.png"/><Relationship Id="rId317" Type="http://schemas.openxmlformats.org/officeDocument/2006/relationships/image" Target="media/image254.png"/><Relationship Id="rId318" Type="http://schemas.openxmlformats.org/officeDocument/2006/relationships/image" Target="media/image255.png"/><Relationship Id="rId319" Type="http://schemas.openxmlformats.org/officeDocument/2006/relationships/image" Target="media/image256.png"/><Relationship Id="rId320" Type="http://schemas.openxmlformats.org/officeDocument/2006/relationships/image" Target="media/image257.png"/><Relationship Id="rId321" Type="http://schemas.openxmlformats.org/officeDocument/2006/relationships/image" Target="media/image258.png"/><Relationship Id="rId322" Type="http://schemas.openxmlformats.org/officeDocument/2006/relationships/image" Target="media/image259.png"/><Relationship Id="rId323" Type="http://schemas.openxmlformats.org/officeDocument/2006/relationships/image" Target="media/image260.png"/><Relationship Id="rId324" Type="http://schemas.openxmlformats.org/officeDocument/2006/relationships/image" Target="media/image261.png"/><Relationship Id="rId325" Type="http://schemas.openxmlformats.org/officeDocument/2006/relationships/image" Target="media/image262.png"/><Relationship Id="rId326" Type="http://schemas.openxmlformats.org/officeDocument/2006/relationships/image" Target="media/image263.png"/><Relationship Id="rId327" Type="http://schemas.openxmlformats.org/officeDocument/2006/relationships/image" Target="media/image264.png"/><Relationship Id="rId328" Type="http://schemas.openxmlformats.org/officeDocument/2006/relationships/image" Target="media/image265.png"/><Relationship Id="rId329" Type="http://schemas.openxmlformats.org/officeDocument/2006/relationships/image" Target="media/image266.png"/><Relationship Id="rId330" Type="http://schemas.openxmlformats.org/officeDocument/2006/relationships/image" Target="media/image267.png"/><Relationship Id="rId331" Type="http://schemas.openxmlformats.org/officeDocument/2006/relationships/image" Target="media/image268.png"/><Relationship Id="rId332" Type="http://schemas.openxmlformats.org/officeDocument/2006/relationships/image" Target="media/image269.png"/><Relationship Id="rId333" Type="http://schemas.openxmlformats.org/officeDocument/2006/relationships/image" Target="media/image270.png"/><Relationship Id="rId334" Type="http://schemas.openxmlformats.org/officeDocument/2006/relationships/image" Target="media/image271.png"/><Relationship Id="rId335" Type="http://schemas.openxmlformats.org/officeDocument/2006/relationships/image" Target="media/image272.png"/><Relationship Id="rId336" Type="http://schemas.openxmlformats.org/officeDocument/2006/relationships/image" Target="media/image273.png"/><Relationship Id="rId337" Type="http://schemas.openxmlformats.org/officeDocument/2006/relationships/image" Target="media/image274.png"/><Relationship Id="rId338" Type="http://schemas.openxmlformats.org/officeDocument/2006/relationships/image" Target="media/image275.png"/><Relationship Id="rId339" Type="http://schemas.openxmlformats.org/officeDocument/2006/relationships/image" Target="media/image276.png"/><Relationship Id="rId340" Type="http://schemas.openxmlformats.org/officeDocument/2006/relationships/image" Target="media/image277.png"/><Relationship Id="rId341" Type="http://schemas.openxmlformats.org/officeDocument/2006/relationships/image" Target="media/image278.png"/><Relationship Id="rId342" Type="http://schemas.openxmlformats.org/officeDocument/2006/relationships/image" Target="media/image279.png"/><Relationship Id="rId343" Type="http://schemas.openxmlformats.org/officeDocument/2006/relationships/image" Target="media/image280.png"/><Relationship Id="rId344" Type="http://schemas.openxmlformats.org/officeDocument/2006/relationships/image" Target="media/image281.png"/><Relationship Id="rId345" Type="http://schemas.openxmlformats.org/officeDocument/2006/relationships/image" Target="media/image282.png"/><Relationship Id="rId346" Type="http://schemas.openxmlformats.org/officeDocument/2006/relationships/image" Target="media/image283.png"/><Relationship Id="rId347" Type="http://schemas.openxmlformats.org/officeDocument/2006/relationships/image" Target="media/image284.png"/><Relationship Id="rId348" Type="http://schemas.openxmlformats.org/officeDocument/2006/relationships/image" Target="media/image285.png"/><Relationship Id="rId349" Type="http://schemas.openxmlformats.org/officeDocument/2006/relationships/image" Target="media/image286.png"/><Relationship Id="rId350" Type="http://schemas.openxmlformats.org/officeDocument/2006/relationships/image" Target="media/image287.png"/><Relationship Id="rId351" Type="http://schemas.openxmlformats.org/officeDocument/2006/relationships/image" Target="media/image288.png"/><Relationship Id="rId352" Type="http://schemas.openxmlformats.org/officeDocument/2006/relationships/image" Target="media/image289.png"/><Relationship Id="rId353" Type="http://schemas.openxmlformats.org/officeDocument/2006/relationships/image" Target="media/image290.png"/><Relationship Id="rId354" Type="http://schemas.openxmlformats.org/officeDocument/2006/relationships/image" Target="media/image291.png"/><Relationship Id="rId355" Type="http://schemas.openxmlformats.org/officeDocument/2006/relationships/image" Target="media/image292.png"/><Relationship Id="rId356" Type="http://schemas.openxmlformats.org/officeDocument/2006/relationships/image" Target="media/image293.png"/><Relationship Id="rId357" Type="http://schemas.openxmlformats.org/officeDocument/2006/relationships/image" Target="media/image294.png"/><Relationship Id="rId358" Type="http://schemas.openxmlformats.org/officeDocument/2006/relationships/image" Target="media/image295.png"/><Relationship Id="rId359" Type="http://schemas.openxmlformats.org/officeDocument/2006/relationships/image" Target="media/image296.png"/><Relationship Id="rId360" Type="http://schemas.openxmlformats.org/officeDocument/2006/relationships/image" Target="media/image297.png"/><Relationship Id="rId361" Type="http://schemas.openxmlformats.org/officeDocument/2006/relationships/image" Target="media/image298.png"/><Relationship Id="rId362" Type="http://schemas.openxmlformats.org/officeDocument/2006/relationships/image" Target="media/image299.png"/><Relationship Id="rId363" Type="http://schemas.openxmlformats.org/officeDocument/2006/relationships/image" Target="media/image300.png"/><Relationship Id="rId364" Type="http://schemas.openxmlformats.org/officeDocument/2006/relationships/image" Target="media/image301.png"/><Relationship Id="rId365" Type="http://schemas.openxmlformats.org/officeDocument/2006/relationships/image" Target="media/image302.png"/><Relationship Id="rId366" Type="http://schemas.openxmlformats.org/officeDocument/2006/relationships/image" Target="media/image303.png"/><Relationship Id="rId367" Type="http://schemas.openxmlformats.org/officeDocument/2006/relationships/image" Target="media/image304.png"/><Relationship Id="rId368" Type="http://schemas.openxmlformats.org/officeDocument/2006/relationships/image" Target="media/image305.png"/><Relationship Id="rId369" Type="http://schemas.openxmlformats.org/officeDocument/2006/relationships/image" Target="media/image306.png"/><Relationship Id="rId370" Type="http://schemas.openxmlformats.org/officeDocument/2006/relationships/image" Target="media/image307.png"/><Relationship Id="rId371" Type="http://schemas.openxmlformats.org/officeDocument/2006/relationships/image" Target="media/image308.png"/><Relationship Id="rId372" Type="http://schemas.openxmlformats.org/officeDocument/2006/relationships/image" Target="media/image309.png"/><Relationship Id="rId373" Type="http://schemas.openxmlformats.org/officeDocument/2006/relationships/image" Target="media/image310.png"/><Relationship Id="rId195" Type="http://schemas.openxmlformats.org/officeDocument/2006/relationships/hyperlink" Target="https://www.sec.gov/Archives/edgar/data/1592386/000110465915042100/a15-8228_1ex2d1.htm" TargetMode="External"/><Relationship Id="rId197" Type="http://schemas.openxmlformats.org/officeDocument/2006/relationships/hyperlink" Target="https://www.sec.gov/Archives/edgar/data/1592386/000110465915042100/a15-8228_1ex2d2.htm" TargetMode="External"/><Relationship Id="rId198" Type="http://schemas.openxmlformats.org/officeDocument/2006/relationships/hyperlink" Target="https://www.sec.gov/Archives/edgar/data/1592386/000110465915042100/a15-8228_1ex2d3.htm" TargetMode="External"/><Relationship Id="rId199" Type="http://schemas.openxmlformats.org/officeDocument/2006/relationships/hyperlink" Target="https://www.sec.gov/Archives/edgar/data/1592386/000110465917024963/a17-11616_3ex2d1.htm" TargetMode="External"/><Relationship Id="rId200" Type="http://schemas.openxmlformats.org/officeDocument/2006/relationships/hyperlink" Target="https://www.sec.gov/Archives/edgar/data/1592386/000155837017004144/virt-20170331ex22abdb0e6.htm" TargetMode="External"/><Relationship Id="rId201" Type="http://schemas.openxmlformats.org/officeDocument/2006/relationships/hyperlink" Target="https://www.sec.gov/Archives/edgar/data/1592386/000095014218002168/eh1801201_ex0201.htm" TargetMode="External"/><Relationship Id="rId202" Type="http://schemas.openxmlformats.org/officeDocument/2006/relationships/hyperlink" Target="https://www.sec.gov/Archives/edgar/data/1592386/000159238623000053/exhibit31q223.htm" TargetMode="External"/><Relationship Id="rId203" Type="http://schemas.openxmlformats.org/officeDocument/2006/relationships/hyperlink" Target="https://www.sec.gov/Archives/edgar/data/1592386/000110465915042100/a15-8228_1ex3d2.htm" TargetMode="External"/><Relationship Id="rId204" Type="http://schemas.openxmlformats.org/officeDocument/2006/relationships/hyperlink" Target="https://www.sec.gov/Archives/edgar/data/1592386/000159238620000003/exhibit41q419.htm" TargetMode="External"/><Relationship Id="rId205" Type="http://schemas.openxmlformats.org/officeDocument/2006/relationships/hyperlink" Target="https://www.sec.gov/Archives/edgar/data/1592386/000159238624000076/exhibit41q224.htm" TargetMode="External"/><Relationship Id="rId206" Type="http://schemas.openxmlformats.org/officeDocument/2006/relationships/hyperlink" Target="https://www.sec.gov/Archives/edgar/data/1592386/000159238623000028/exhibit103q123.htm" TargetMode="External"/><Relationship Id="rId207" Type="http://schemas.openxmlformats.org/officeDocument/2006/relationships/hyperlink" Target="https://www.sec.gov/Archives/edgar/data/1592386/000110465917042979/a17-15469_1ex4d3.htm" TargetMode="External"/><Relationship Id="rId208" Type="http://schemas.openxmlformats.org/officeDocument/2006/relationships/hyperlink" Target="https://www.sec.gov/Archives/edgar/data/0001592386/000159238621000005/exhbit104q420.htm" TargetMode="External"/><Relationship Id="rId209" Type="http://schemas.openxmlformats.org/officeDocument/2006/relationships/hyperlink" Target="https://www.sec.gov/Archives/edgar/data/1592386/000104746915001003/a2219372zex-10_2.htm" TargetMode="External"/><Relationship Id="rId210" Type="http://schemas.openxmlformats.org/officeDocument/2006/relationships/hyperlink" Target="https://www.sec.gov/Archives/edgar/data/1592386/000159238622000041/exhibit1011q421.htm" TargetMode="External"/><Relationship Id="rId211" Type="http://schemas.openxmlformats.org/officeDocument/2006/relationships/hyperlink" Target="https://www.sec.gov/Archives/edgar/data/1592386/000110465915042100/a15-8228_1ex10d2.htm" TargetMode="External"/><Relationship Id="rId214" Type="http://schemas.openxmlformats.org/officeDocument/2006/relationships/hyperlink" Target="https://www.sec.gov/Archives/edgar/data/1592386/000110465915042100/a15-8228_1ex10d3.htm" TargetMode="External"/><Relationship Id="rId215" Type="http://schemas.openxmlformats.org/officeDocument/2006/relationships/hyperlink" Target="https://www.sec.gov/Archives/edgar/data/1592386/000110465915042100/a15-8228_1ex10d5.htm" TargetMode="External"/><Relationship Id="rId216" Type="http://schemas.openxmlformats.org/officeDocument/2006/relationships/hyperlink" Target="https://www.sec.gov/Archives/edgar/data/1592386/000110465915042100/a15-8228_1ex10d6.htm" TargetMode="External"/><Relationship Id="rId217" Type="http://schemas.openxmlformats.org/officeDocument/2006/relationships/hyperlink" Target="https://www.sec.gov/Archives/edgar/data/1592386/000110465915042100/a15-8228_1ex10d7.htm" TargetMode="External"/><Relationship Id="rId218" Type="http://schemas.openxmlformats.org/officeDocument/2006/relationships/hyperlink" Target="https://www.sec.gov/Archives/edgar/data/1592386/000110465915042100/a15-8228_1ex10d8.htm" TargetMode="External"/><Relationship Id="rId219" Type="http://schemas.openxmlformats.org/officeDocument/2006/relationships/hyperlink" Target="https://www.sec.gov/Archives/edgar/data/1592386/000110465915042100/a15-8228_1ex10d9.htm" TargetMode="External"/><Relationship Id="rId220" Type="http://schemas.openxmlformats.org/officeDocument/2006/relationships/hyperlink" Target="https://www.sec.gov/Archives/edgar/data/1592386/000110465915042100/a15-8228_1ex10d10.htm" TargetMode="External"/><Relationship Id="rId221" Type="http://schemas.openxmlformats.org/officeDocument/2006/relationships/hyperlink" Target="https://www.sec.gov/Archives/edgar/data/1592386/000110465915042100/a15-8228_1ex10d11.htm" TargetMode="External"/><Relationship Id="rId222" Type="http://schemas.openxmlformats.org/officeDocument/2006/relationships/hyperlink" Target="https://www.sec.gov/Archives/edgar/data/1592386/000155837017004144/virt-20170331ex10240ef25.htm" TargetMode="External"/><Relationship Id="rId223" Type="http://schemas.openxmlformats.org/officeDocument/2006/relationships/hyperlink" Target="https://www.sec.gov/Archives/edgar/data/1592386/000155837017004144/virt-20170331ex103b78259.htm" TargetMode="External"/><Relationship Id="rId224" Type="http://schemas.openxmlformats.org/officeDocument/2006/relationships/hyperlink" Target="https://www.sec.gov/Archives/edgar/data/1592386/000110465917037232/a17-14679_1ex10d1.htm" TargetMode="External"/><Relationship Id="rId225" Type="http://schemas.openxmlformats.org/officeDocument/2006/relationships/hyperlink" Target="https://www.sec.gov/Archives/edgar/data/1592386/000155837018002007/virt-20171231ex10302f561.htm" TargetMode="External"/><Relationship Id="rId226" Type="http://schemas.openxmlformats.org/officeDocument/2006/relationships/hyperlink" Target="https://www.sec.gov/Archives/edgar/data/1592386/000110465918033448/a18-13432_1ex10d1.htm#Exhibit_020019" TargetMode="External"/><Relationship Id="rId227" Type="http://schemas.openxmlformats.org/officeDocument/2006/relationships/hyperlink" Target="https://www.sec.gov/Archives/edgar/data/1592386/000110465919011958/a19-5537_1ex4d3.htm" TargetMode="External"/><Relationship Id="rId228" Type="http://schemas.openxmlformats.org/officeDocument/2006/relationships/hyperlink" Target="https://www.sec.gov/Archives/edgar/data/1592386/000159238622000041/exhibit1043q421.htm" TargetMode="External"/><Relationship Id="rId229" Type="http://schemas.openxmlformats.org/officeDocument/2006/relationships/hyperlink" Target="https://www.sec.gov/Archives/edgar/data/1592386/000159238622000041/exhibit1044q421.htm" TargetMode="External"/><Relationship Id="rId230" Type="http://schemas.openxmlformats.org/officeDocument/2006/relationships/hyperlink" Target="https://www.sec.gov/Archives/edgar/data/1592386/000159238622000041/exhibit1047q421.htm" TargetMode="External"/><Relationship Id="rId233" Type="http://schemas.openxmlformats.org/officeDocument/2006/relationships/hyperlink" Target="https://www.sec.gov/Archives/edgar/data/1592386/000159238622000041/exhibit1048q421.htm" TargetMode="External"/><Relationship Id="rId234" Type="http://schemas.openxmlformats.org/officeDocument/2006/relationships/hyperlink" Target="https://www.sec.gov/Archives/edgar/data/1592386/000159238621000005/exhibit1040q420.htm" TargetMode="External"/><Relationship Id="rId235" Type="http://schemas.openxmlformats.org/officeDocument/2006/relationships/hyperlink" Target="https://www.sec.gov/Archives/edgar/data/1592386/000159238622000048/exhibit101q122.htm" TargetMode="External"/><Relationship Id="rId236" Type="http://schemas.openxmlformats.org/officeDocument/2006/relationships/hyperlink" Target="https://www.sec.gov/Archives/edgar/data/1592386/000159238622000073/exhibit101q222.htm" TargetMode="External"/><Relationship Id="rId237" Type="http://schemas.openxmlformats.org/officeDocument/2006/relationships/hyperlink" Target="https://www.sec.gov/Archives/edgar/data/1592386/000159238623000025/exhibit1046q422.htm" TargetMode="External"/><Relationship Id="rId238" Type="http://schemas.openxmlformats.org/officeDocument/2006/relationships/hyperlink" Target="https://www.sec.gov/Archives/edgar/data/1592386/000159238623000025/exhibit1047q422.htm" TargetMode="External"/><Relationship Id="rId239" Type="http://schemas.openxmlformats.org/officeDocument/2006/relationships/hyperlink" Target="https://www.sec.gov/Archives/edgar/data/1592386/000159238623000025/exhibit1048q422.htm" TargetMode="External"/><Relationship Id="rId240" Type="http://schemas.openxmlformats.org/officeDocument/2006/relationships/hyperlink" Target="https://www.sec.gov/Archives/edgar/data/1592386/000159238623000025/exhibit1049q422.htm" TargetMode="External"/><Relationship Id="rId241" Type="http://schemas.openxmlformats.org/officeDocument/2006/relationships/hyperlink" Target="https://www.sec.gov/Archives/edgar/data/1592386/000159238623000028/exhibit101q123.htm" TargetMode="External"/><Relationship Id="rId242" Type="http://schemas.openxmlformats.org/officeDocument/2006/relationships/hyperlink" Target="https://www.sec.gov/Archives/edgar/data/1592386/000159238623000028/exhibit102q123.htm" TargetMode="External"/><Relationship Id="rId243" Type="http://schemas.openxmlformats.org/officeDocument/2006/relationships/hyperlink" Target="https://www.sec.gov/Archives/edgar/data/1592386/000159238623000028/exhibit104q123.htm" TargetMode="External"/><Relationship Id="rId244" Type="http://schemas.openxmlformats.org/officeDocument/2006/relationships/hyperlink" Target="https://www.sec.gov/Archives/edgar/data/1592386/000159238624000049/exhibit101q124.htm" TargetMode="External"/><Relationship Id="rId245" Type="http://schemas.openxmlformats.org/officeDocument/2006/relationships/hyperlink" Target="https://www.sec.gov/Archives/edgar/data/1592386/000159238624000076/exhibit101q224.htm" TargetMode="External"/><Relationship Id="rId246" Type="http://schemas.openxmlformats.org/officeDocument/2006/relationships/hyperlink" Target="https://www.sec.gov/Archives/edgar/data/1592386/000159238624000076/exhibit102q224.htm" TargetMode="External"/><Relationship Id="rId247" Type="http://schemas.openxmlformats.org/officeDocument/2006/relationships/hyperlink" Target="https://www.sec.gov/Archives/edgar/data/1592386/000159238625000055/exhibit1045q424.htm" TargetMode="External"/><Relationship Id="rId250" Type="http://schemas.openxmlformats.org/officeDocument/2006/relationships/hyperlink" Target="https://www.sec.gov/Archives/edgar/data/1592386/000159238625000080/exhibit101q125.htm" TargetMode="External"/><Relationship Id="rId251" Type="http://schemas.openxmlformats.org/officeDocument/2006/relationships/hyperlink" Target="https://www.sec.gov/Archives/edgar/data/1592386/000159238625000080/exhibit102q125.htm" TargetMode="External"/><Relationship Id="rId252" Type="http://schemas.openxmlformats.org/officeDocument/2006/relationships/hyperlink" Target="https://www.sec.gov/Archives/edgar/data/1592386/000110465925037735/tm252433-1_def14a.htm" TargetMode="External"/><Relationship Id="rId253" Type="http://schemas.openxmlformats.org/officeDocument/2006/relationships/hyperlink" Target="https://www.sec.gov/Archives/edgar/data/1592386/000159238625000149/exhibit101q325.htm" TargetMode="External"/><Relationship Id="rId254" Type="http://schemas.openxmlformats.org/officeDocument/2006/relationships/hyperlink" Target="https://www.sec.gov/Archives/edgar/data/1592386/000159238625000149/exhibit102q325.htm" TargetMode="External"/><Relationship Id="rId255" Type="http://schemas.openxmlformats.org/officeDocument/2006/relationships/hyperlink" Target="https://www.sec.gov/Archives/edgar/data/1592386/000159238625000149/exhibit103q325.htm" TargetMode="External"/><Relationship Id="rId258" Type="http://schemas.openxmlformats.org/officeDocument/2006/relationships/hyperlink" Target="https://www.sec.gov/Archives/edgar/data/1592386/000159238625000055/exhibit191q424.htm" TargetMode="External"/><Relationship Id="rId259" Type="http://schemas.openxmlformats.org/officeDocument/2006/relationships/hyperlink" Target="https://www.sec.gov/Archives/edgar/data/1592386/000159238624000026/exhibit971q4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2026-02-20T16:25:01Z</dcterms:created>
  <dcterms:modified xsi:type="dcterms:W3CDTF">2026-02-20T16:25:01Z</dcterms:modified>
</cp:coreProperties>
</file>