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210820</wp:posOffset>
            </wp:positionH>
            <wp:positionV relativeFrom="page">
              <wp:posOffset>634365</wp:posOffset>
            </wp:positionV>
            <wp:extent cx="71272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240" cy="7620"/>
                    </a:xfrm>
                    <a:prstGeom prst="rect">
                      <a:avLst/>
                    </a:prstGeom>
                    <a:noFill/>
                  </pic:spPr>
                </pic:pic>
              </a:graphicData>
            </a:graphic>
          </wp:anchor>
        </w:drawing>
        <w:drawing>
          <wp:anchor simplePos="0" relativeHeight="251657728" behindDoc="1" locked="0" layoutInCell="0" allowOverlap="1">
            <wp:simplePos x="0" y="0"/>
            <wp:positionH relativeFrom="page">
              <wp:posOffset>210820</wp:posOffset>
            </wp:positionH>
            <wp:positionV relativeFrom="page">
              <wp:posOffset>657860</wp:posOffset>
            </wp:positionV>
            <wp:extent cx="71272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240" cy="762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81" w:lineRule="exact"/>
        <w:rPr>
          <w:sz w:val="24"/>
          <w:szCs w:val="24"/>
          <w:color w:val="auto"/>
        </w:rPr>
      </w:pPr>
    </w:p>
    <w:p>
      <w:pPr>
        <w:jc w:val="center"/>
        <w:ind w:left="3800" w:right="1260" w:hanging="2507"/>
        <w:spacing w:after="0" w:line="274" w:lineRule="auto"/>
        <w:tabs>
          <w:tab w:leader="none" w:pos="147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September 30, 2020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3" w:lineRule="exact"/>
        <w:rPr>
          <w:sz w:val="24"/>
          <w:szCs w:val="24"/>
          <w:color w:val="auto"/>
        </w:rPr>
      </w:pPr>
    </w:p>
    <w:p>
      <w:pPr>
        <w:ind w:left="1480" w:hanging="193"/>
        <w:spacing w:after="0"/>
        <w:tabs>
          <w:tab w:leader="none" w:pos="14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26" w:lineRule="exact"/>
        <w:rPr>
          <w:sz w:val="24"/>
          <w:szCs w:val="24"/>
          <w:color w:val="auto"/>
        </w:rPr>
      </w:pPr>
    </w:p>
    <w:p>
      <w:pPr>
        <w:ind w:left="4280"/>
        <w:spacing w:after="0"/>
        <w:tabs>
          <w:tab w:leader="none" w:pos="660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Virtu Financial, Inc.</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p>
    <w:tbl>
      <w:tblPr>
        <w:tblLayout w:type="fixed"/>
        <w:tblInd w:w="220" w:type="dxa"/>
        <w:tblCellMar>
          <w:top w:w="0" w:type="dxa"/>
          <w:left w:w="0" w:type="dxa"/>
          <w:bottom w:w="0" w:type="dxa"/>
          <w:right w:w="0" w:type="dxa"/>
        </w:tblCellMar>
      </w:tblPr>
      <w:tr>
        <w:trPr>
          <w:trHeight w:val="212"/>
        </w:trPr>
        <w:tc>
          <w:tcPr>
            <w:tcW w:w="3720" w:type="dxa"/>
            <w:vAlign w:val="bottom"/>
          </w:tcPr>
          <w:p>
            <w:pPr>
              <w:jc w:val="center"/>
              <w:ind w:left="1411"/>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jc w:val="right"/>
              <w:ind w:right="2150"/>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72"/>
        </w:trPr>
        <w:tc>
          <w:tcPr>
            <w:tcW w:w="7100" w:type="dxa"/>
            <w:vAlign w:val="bottom"/>
            <w:gridSpan w:val="6"/>
          </w:tcPr>
          <w:p>
            <w:pPr>
              <w:jc w:val="center"/>
              <w:ind w:right="190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720" w:type="dxa"/>
            <w:vAlign w:val="bottom"/>
          </w:tcPr>
          <w:p>
            <w:pPr>
              <w:jc w:val="center"/>
              <w:ind w:right="1450"/>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324"/>
        </w:trPr>
        <w:tc>
          <w:tcPr>
            <w:tcW w:w="3720" w:type="dxa"/>
            <w:vAlign w:val="bottom"/>
          </w:tcPr>
          <w:p>
            <w:pPr>
              <w:jc w:val="center"/>
              <w:ind w:left="2331"/>
              <w:spacing w:after="0"/>
              <w:rPr>
                <w:sz w:val="20"/>
                <w:szCs w:val="20"/>
                <w:color w:val="auto"/>
              </w:rPr>
            </w:pPr>
            <w:r>
              <w:rPr>
                <w:rFonts w:ascii="Times New Roman" w:cs="Times New Roman" w:eastAsia="Times New Roman" w:hAnsi="Times New Roman"/>
                <w:sz w:val="13"/>
                <w:szCs w:val="13"/>
                <w:b w:val="1"/>
                <w:bCs w:val="1"/>
                <w:color w:val="auto"/>
              </w:rPr>
              <w:t>One Liberty Plaza</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99"/>
        </w:trPr>
        <w:tc>
          <w:tcPr>
            <w:tcW w:w="3720" w:type="dxa"/>
            <w:vAlign w:val="bottom"/>
          </w:tcPr>
          <w:p>
            <w:pPr>
              <w:jc w:val="center"/>
              <w:ind w:left="2331"/>
              <w:spacing w:after="0"/>
              <w:rPr>
                <w:sz w:val="20"/>
                <w:szCs w:val="20"/>
                <w:color w:val="auto"/>
              </w:rPr>
            </w:pPr>
            <w:r>
              <w:rPr>
                <w:rFonts w:ascii="Times New Roman" w:cs="Times New Roman" w:eastAsia="Times New Roman" w:hAnsi="Times New Roman"/>
                <w:sz w:val="13"/>
                <w:szCs w:val="13"/>
                <w:b w:val="1"/>
                <w:bCs w:val="1"/>
                <w:color w:val="auto"/>
              </w:rPr>
              <w:t>165 Broadway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187"/>
        </w:trPr>
        <w:tc>
          <w:tcPr>
            <w:tcW w:w="3720" w:type="dxa"/>
            <w:vAlign w:val="bottom"/>
          </w:tcPr>
          <w:p>
            <w:pPr>
              <w:ind w:left="2440"/>
              <w:spacing w:after="0"/>
              <w:rPr>
                <w:sz w:val="20"/>
                <w:szCs w:val="20"/>
                <w:color w:val="auto"/>
              </w:rPr>
            </w:pPr>
            <w:r>
              <w:rPr>
                <w:rFonts w:ascii="Times New Roman" w:cs="Times New Roman" w:eastAsia="Times New Roman" w:hAnsi="Times New Roman"/>
                <w:sz w:val="13"/>
                <w:szCs w:val="13"/>
                <w:b w:val="1"/>
                <w:bCs w:val="1"/>
                <w:color w:val="auto"/>
              </w:rPr>
              <w:t>New York, New York</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20" w:type="dxa"/>
            <w:vAlign w:val="bottom"/>
          </w:tcPr>
          <w:p>
            <w:pPr>
              <w:jc w:val="right"/>
              <w:ind w:right="2830"/>
              <w:spacing w:after="0"/>
              <w:rPr>
                <w:sz w:val="20"/>
                <w:szCs w:val="20"/>
                <w:color w:val="auto"/>
              </w:rPr>
            </w:pPr>
            <w:r>
              <w:rPr>
                <w:rFonts w:ascii="Times New Roman" w:cs="Times New Roman" w:eastAsia="Times New Roman" w:hAnsi="Times New Roman"/>
                <w:sz w:val="13"/>
                <w:szCs w:val="13"/>
                <w:b w:val="1"/>
                <w:bCs w:val="1"/>
                <w:color w:val="auto"/>
              </w:rPr>
              <w:t>10006</w:t>
            </w:r>
          </w:p>
        </w:tc>
      </w:tr>
      <w:tr>
        <w:trPr>
          <w:trHeight w:val="174"/>
        </w:trPr>
        <w:tc>
          <w:tcPr>
            <w:tcW w:w="7100" w:type="dxa"/>
            <w:vAlign w:val="bottom"/>
            <w:gridSpan w:val="6"/>
          </w:tcPr>
          <w:p>
            <w:pPr>
              <w:jc w:val="center"/>
              <w:ind w:right="98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720" w:type="dxa"/>
            <w:vAlign w:val="bottom"/>
          </w:tcPr>
          <w:p>
            <w:pPr>
              <w:jc w:val="center"/>
              <w:ind w:right="2350"/>
              <w:spacing w:after="0"/>
              <w:rPr>
                <w:sz w:val="20"/>
                <w:szCs w:val="20"/>
                <w:color w:val="auto"/>
              </w:rPr>
            </w:pPr>
            <w:r>
              <w:rPr>
                <w:rFonts w:ascii="Times New Roman" w:cs="Times New Roman" w:eastAsia="Times New Roman" w:hAnsi="Times New Roman"/>
                <w:sz w:val="13"/>
                <w:szCs w:val="13"/>
                <w:color w:val="auto"/>
              </w:rPr>
              <w:t>(Zip Code)</w:t>
            </w:r>
          </w:p>
        </w:tc>
      </w:tr>
      <w:tr>
        <w:trPr>
          <w:trHeight w:val="390"/>
        </w:trPr>
        <w:tc>
          <w:tcPr>
            <w:tcW w:w="3720" w:type="dxa"/>
            <w:vAlign w:val="bottom"/>
          </w:tcPr>
          <w:p>
            <w:pPr>
              <w:spacing w:after="0"/>
              <w:rPr>
                <w:sz w:val="24"/>
                <w:szCs w:val="24"/>
                <w:color w:val="auto"/>
              </w:rPr>
            </w:pPr>
          </w:p>
        </w:tc>
        <w:tc>
          <w:tcPr>
            <w:tcW w:w="2920" w:type="dxa"/>
            <w:vAlign w:val="bottom"/>
            <w:gridSpan w:val="3"/>
          </w:tcPr>
          <w:p>
            <w:pPr>
              <w:jc w:val="right"/>
              <w:ind w:right="690"/>
              <w:spacing w:after="0"/>
              <w:rPr>
                <w:sz w:val="20"/>
                <w:szCs w:val="20"/>
                <w:color w:val="auto"/>
              </w:rPr>
            </w:pPr>
            <w:r>
              <w:rPr>
                <w:rFonts w:ascii="Times New Roman" w:cs="Times New Roman" w:eastAsia="Times New Roman" w:hAnsi="Times New Roman"/>
                <w:sz w:val="15"/>
                <w:szCs w:val="15"/>
                <w:b w:val="1"/>
                <w:bCs w:val="1"/>
                <w:color w:val="auto"/>
              </w:rPr>
              <w:t>(212) 418-0100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3380" w:type="dxa"/>
            <w:vAlign w:val="bottom"/>
            <w:gridSpan w:val="5"/>
          </w:tcPr>
          <w:p>
            <w:pPr>
              <w:ind w:left="10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720" w:type="dxa"/>
            <w:vAlign w:val="bottom"/>
          </w:tcPr>
          <w:p>
            <w:pPr>
              <w:spacing w:after="0"/>
              <w:rPr>
                <w:sz w:val="18"/>
                <w:szCs w:val="18"/>
                <w:color w:val="auto"/>
              </w:rPr>
            </w:pPr>
          </w:p>
        </w:tc>
      </w:tr>
      <w:tr>
        <w:trPr>
          <w:trHeight w:val="212"/>
        </w:trPr>
        <w:tc>
          <w:tcPr>
            <w:tcW w:w="3720" w:type="dxa"/>
            <w:vAlign w:val="bottom"/>
          </w:tcPr>
          <w:p>
            <w:pPr>
              <w:spacing w:after="0"/>
              <w:rPr>
                <w:sz w:val="18"/>
                <w:szCs w:val="18"/>
                <w:color w:val="auto"/>
              </w:rPr>
            </w:pPr>
          </w:p>
        </w:tc>
        <w:tc>
          <w:tcPr>
            <w:tcW w:w="7100" w:type="dxa"/>
            <w:vAlign w:val="bottom"/>
            <w:gridSpan w:val="6"/>
          </w:tcPr>
          <w:p>
            <w:pPr>
              <w:ind w:left="12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r>
      <w:tr>
        <w:trPr>
          <w:trHeight w:val="188"/>
        </w:trPr>
        <w:tc>
          <w:tcPr>
            <w:tcW w:w="37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9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Class A common stock, par value $0.00001 per share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gridSpan w:val="3"/>
            <w:shd w:val="clear" w:color="auto" w:fill="CCEEFF"/>
          </w:tcPr>
          <w:p>
            <w:pPr>
              <w:jc w:val="center"/>
              <w:ind w:right="460"/>
              <w:spacing w:after="0"/>
              <w:rPr>
                <w:sz w:val="20"/>
                <w:szCs w:val="20"/>
                <w:color w:val="auto"/>
              </w:rPr>
            </w:pPr>
            <w:r>
              <w:rPr>
                <w:rFonts w:ascii="Times New Roman" w:cs="Times New Roman" w:eastAsia="Times New Roman" w:hAnsi="Times New Roman"/>
                <w:sz w:val="15"/>
                <w:szCs w:val="15"/>
                <w:color w:val="auto"/>
                <w:w w:val="97"/>
              </w:rPr>
              <w:t>VIRT</w:t>
            </w:r>
          </w:p>
        </w:tc>
        <w:tc>
          <w:tcPr>
            <w:tcW w:w="372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5"/>
                <w:szCs w:val="15"/>
                <w:color w:val="auto"/>
                <w:w w:val="99"/>
              </w:rPr>
              <w:t>The NASDAQ Stock Market LLC</w:t>
            </w:r>
          </w:p>
        </w:tc>
      </w:tr>
    </w:tbl>
    <w:p>
      <w:pPr>
        <w:spacing w:after="0" w:line="87" w:lineRule="exact"/>
        <w:rPr>
          <w:sz w:val="24"/>
          <w:szCs w:val="24"/>
          <w:color w:val="auto"/>
        </w:rPr>
      </w:pPr>
    </w:p>
    <w:p>
      <w:pPr>
        <w:ind w:right="340" w:firstLine="29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ind w:right="140" w:firstLine="299"/>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22" w:right="359" w:bottom="1440" w:gutter="0" w:footer="0" w:header="0"/>
        </w:sectPr>
      </w:pPr>
    </w:p>
    <w:p>
      <w:pPr>
        <w:spacing w:after="0" w:line="76" w:lineRule="exact"/>
        <w:rPr>
          <w:sz w:val="24"/>
          <w:szCs w:val="24"/>
          <w:color w:val="auto"/>
        </w:rPr>
      </w:pPr>
    </w:p>
    <w:p>
      <w:pPr>
        <w:ind w:left="124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ind w:right="60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ectPr>
          <w:pgSz w:w="11900" w:h="16838" w:orient="portrait"/>
          <w:cols w:equalWidth="0" w:num="5">
            <w:col w:w="3240" w:space="720"/>
            <w:col w:w="1560" w:space="720"/>
            <w:col w:w="1880" w:space="720"/>
            <w:col w:w="1460" w:space="60"/>
            <w:col w:w="860"/>
          </w:cols>
          <w:pgMar w:left="320" w:top="1122" w:right="359" w:bottom="1440" w:gutter="0" w:footer="0" w:header="0"/>
          <w:type w:val="continuous"/>
        </w:sectPr>
      </w:pPr>
    </w:p>
    <w:p>
      <w:pPr>
        <w:spacing w:after="0" w:line="8"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37" w:lineRule="exact"/>
        <w:rPr>
          <w:sz w:val="24"/>
          <w:szCs w:val="24"/>
          <w:color w:val="auto"/>
        </w:rPr>
      </w:pPr>
    </w:p>
    <w:p>
      <w:pPr>
        <w:sectPr>
          <w:pgSz w:w="11900" w:h="16838" w:orient="portrait"/>
          <w:cols w:equalWidth="0" w:num="2">
            <w:col w:w="10300" w:space="60"/>
            <w:col w:w="860"/>
          </w:cols>
          <w:pgMar w:left="320" w:top="1122" w:right="359" w:bottom="1440" w:gutter="0" w:footer="0" w:header="0"/>
          <w:type w:val="continuous"/>
        </w:sectPr>
      </w:pPr>
    </w:p>
    <w:p>
      <w:pPr>
        <w:spacing w:after="0" w:line="19" w:lineRule="exact"/>
        <w:rPr>
          <w:sz w:val="24"/>
          <w:szCs w:val="24"/>
          <w:color w:val="auto"/>
        </w:rPr>
      </w:pPr>
    </w:p>
    <w:p>
      <w:pPr>
        <w:ind w:right="540" w:firstLine="299"/>
        <w:spacing w:after="0" w:line="18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5"/>
          <w:szCs w:val="15"/>
          <w:color w:val="auto"/>
        </w:rPr>
        <w:t>☐</w:t>
      </w:r>
    </w:p>
    <w:p>
      <w:pPr>
        <w:spacing w:after="0" w:line="1" w:lineRule="exact"/>
        <w:rPr>
          <w:sz w:val="24"/>
          <w:szCs w:val="24"/>
          <w:color w:val="auto"/>
        </w:rPr>
      </w:pPr>
    </w:p>
    <w:p>
      <w:pPr>
        <w:ind w:left="30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8700" w:type="dxa"/>
            <w:vAlign w:val="bottom"/>
            <w:vMerge w:val="restart"/>
          </w:tcPr>
          <w:p>
            <w:pPr>
              <w:ind w:left="3940"/>
              <w:spacing w:after="0"/>
              <w:rPr>
                <w:sz w:val="20"/>
                <w:szCs w:val="20"/>
                <w:color w:val="auto"/>
              </w:rPr>
            </w:pPr>
            <w:r>
              <w:rPr>
                <w:rFonts w:ascii="Times New Roman" w:cs="Times New Roman" w:eastAsia="Times New Roman" w:hAnsi="Times New Roman"/>
                <w:sz w:val="13"/>
                <w:szCs w:val="13"/>
                <w:b w:val="1"/>
                <w:bCs w:val="1"/>
                <w:color w:val="auto"/>
              </w:rPr>
              <w:t>Class of Stock</w:t>
            </w:r>
          </w:p>
        </w:tc>
        <w:tc>
          <w:tcPr>
            <w:tcW w:w="100" w:type="dxa"/>
            <w:vAlign w:val="bottom"/>
            <w:vMerge w:val="restart"/>
          </w:tcPr>
          <w:p>
            <w:pPr>
              <w:spacing w:after="0"/>
              <w:rPr>
                <w:sz w:val="12"/>
                <w:szCs w:val="1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outstanding as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8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November 6, 2020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A common stock, par value $0.00001 per share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122,918,976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C common stock, par value $0.00001 per share</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10,466,939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Class D common stock, par value $0.00001 per share</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60,091,740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0" w:type="dxa"/>
            <w:vAlign w:val="bottom"/>
            <w:tcBorders>
              <w:bottom w:val="single" w:sz="8" w:color="auto"/>
            </w:tcBorders>
          </w:tcPr>
          <w:p>
            <w:pPr>
              <w:spacing w:after="0"/>
              <w:rPr>
                <w:sz w:val="21"/>
                <w:szCs w:val="21"/>
                <w:color w:val="auto"/>
              </w:rPr>
            </w:pPr>
          </w:p>
        </w:tc>
        <w:tc>
          <w:tcPr>
            <w:tcW w:w="8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122" w:right="359" w:bottom="1440" w:gutter="0" w:footer="0" w:header="0"/>
          <w:type w:val="continuous"/>
        </w:sectPr>
      </w:pPr>
    </w:p>
    <w:bookmarkStart w:id="1" w:name="page2"/>
    <w:bookmarkEnd w:id="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 ENDED September 30, 2020</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160" w:type="dxa"/>
            <w:vAlign w:val="bottom"/>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4"/>
        </w:trPr>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NUMBER</w:t>
            </w:r>
          </w:p>
        </w:tc>
      </w:tr>
      <w:tr>
        <w:trPr>
          <w:trHeight w:val="378"/>
        </w:trPr>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4"/>
              </w:rPr>
              <w:t>PART I -</w:t>
            </w:r>
          </w:p>
        </w:tc>
        <w:tc>
          <w:tcPr>
            <w:tcW w:w="400" w:type="dxa"/>
            <w:vAlign w:val="bottom"/>
          </w:tcPr>
          <w:p>
            <w:pPr>
              <w:spacing w:after="0"/>
              <w:rPr>
                <w:sz w:val="24"/>
                <w:szCs w:val="24"/>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3">
              <w:r>
                <w:rPr>
                  <w:rFonts w:ascii="Times New Roman" w:cs="Times New Roman" w:eastAsia="Times New Roman" w:hAnsi="Times New Roman"/>
                  <w:sz w:val="17"/>
                  <w:szCs w:val="17"/>
                  <w:u w:val="single" w:color="auto"/>
                  <w:color w:val="0000FF"/>
                </w:rPr>
                <w:t>FINANCIAL INFORMATION</w:t>
              </w:r>
            </w:hyperlink>
          </w:p>
        </w:tc>
        <w:tc>
          <w:tcPr>
            <w:tcW w:w="1160" w:type="dxa"/>
            <w:vAlign w:val="bottom"/>
          </w:tcPr>
          <w:p>
            <w:pPr>
              <w:spacing w:after="0"/>
              <w:rPr>
                <w:sz w:val="24"/>
                <w:szCs w:val="24"/>
                <w:color w:val="auto"/>
              </w:rPr>
            </w:pPr>
          </w:p>
        </w:tc>
      </w:tr>
      <w:tr>
        <w:trPr>
          <w:trHeight w:val="441"/>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3">
              <w:r>
                <w:rPr>
                  <w:rFonts w:ascii="Times New Roman" w:cs="Times New Roman" w:eastAsia="Times New Roman" w:hAnsi="Times New Roman"/>
                  <w:sz w:val="17"/>
                  <w:szCs w:val="17"/>
                  <w:u w:val="single" w:color="auto"/>
                  <w:color w:val="0000FF"/>
                </w:rPr>
                <w:t>Item 1.</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3">
              <w:r>
                <w:rPr>
                  <w:rFonts w:ascii="Times New Roman" w:cs="Times New Roman" w:eastAsia="Times New Roman" w:hAnsi="Times New Roman"/>
                  <w:sz w:val="17"/>
                  <w:szCs w:val="17"/>
                  <w:u w:val="single" w:color="auto"/>
                  <w:color w:val="0000FF"/>
                </w:rPr>
                <w:t>Financial Statements</w:t>
              </w:r>
            </w:hyperlink>
          </w:p>
        </w:tc>
        <w:tc>
          <w:tcPr>
            <w:tcW w:w="1160" w:type="dxa"/>
            <w:vAlign w:val="bottom"/>
          </w:tcPr>
          <w:p>
            <w:pPr>
              <w:spacing w:after="0"/>
              <w:rPr>
                <w:sz w:val="24"/>
                <w:szCs w:val="24"/>
                <w:color w:val="auto"/>
              </w:rPr>
            </w:pPr>
          </w:p>
        </w:tc>
      </w:tr>
      <w:tr>
        <w:trPr>
          <w:trHeight w:val="419"/>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3">
              <w:r>
                <w:rPr>
                  <w:rFonts w:ascii="Times New Roman" w:cs="Times New Roman" w:eastAsia="Times New Roman" w:hAnsi="Times New Roman"/>
                  <w:sz w:val="17"/>
                  <w:szCs w:val="17"/>
                  <w:u w:val="single" w:color="auto"/>
                  <w:color w:val="0000FF"/>
                </w:rPr>
                <w:t>Condensed Consolidated Statements of Financial Condition (Unaudited)</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3">
              <w:r>
                <w:rPr>
                  <w:rFonts w:ascii="Times New Roman" w:cs="Times New Roman" w:eastAsia="Times New Roman" w:hAnsi="Times New Roman"/>
                  <w:sz w:val="17"/>
                  <w:szCs w:val="17"/>
                  <w:color w:val="0000FF"/>
                </w:rPr>
                <w:t>3</w:t>
              </w:r>
            </w:hyperlink>
          </w:p>
        </w:tc>
      </w:tr>
      <w:tr>
        <w:trPr>
          <w:trHeight w:val="212"/>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5">
              <w:r>
                <w:rPr>
                  <w:rFonts w:ascii="Times New Roman" w:cs="Times New Roman" w:eastAsia="Times New Roman" w:hAnsi="Times New Roman"/>
                  <w:sz w:val="17"/>
                  <w:szCs w:val="17"/>
                  <w:u w:val="single" w:color="auto"/>
                  <w:color w:val="0000FF"/>
                </w:rPr>
                <w:t>Condensed Consolidated Statements of Comprehensive Income (Loss) (Unaudited)</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5">
              <w:r>
                <w:rPr>
                  <w:rFonts w:ascii="Times New Roman" w:cs="Times New Roman" w:eastAsia="Times New Roman" w:hAnsi="Times New Roman"/>
                  <w:sz w:val="17"/>
                  <w:szCs w:val="17"/>
                  <w:color w:val="0000FF"/>
                </w:rPr>
                <w:t>5</w:t>
              </w:r>
            </w:hyperlink>
          </w:p>
        </w:tc>
      </w:tr>
      <w:tr>
        <w:trPr>
          <w:trHeight w:val="212"/>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6">
              <w:r>
                <w:rPr>
                  <w:rFonts w:ascii="Times New Roman" w:cs="Times New Roman" w:eastAsia="Times New Roman" w:hAnsi="Times New Roman"/>
                  <w:sz w:val="17"/>
                  <w:szCs w:val="17"/>
                  <w:u w:val="single" w:color="auto"/>
                  <w:color w:val="0000FF"/>
                </w:rPr>
                <w:t>Condensed Consolidated Statements of Changes in Equity (Unaudited)</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6">
              <w:r>
                <w:rPr>
                  <w:rFonts w:ascii="Times New Roman" w:cs="Times New Roman" w:eastAsia="Times New Roman" w:hAnsi="Times New Roman"/>
                  <w:sz w:val="17"/>
                  <w:szCs w:val="17"/>
                  <w:color w:val="0000FF"/>
                </w:rPr>
                <w:t>6</w:t>
              </w:r>
            </w:hyperlink>
          </w:p>
        </w:tc>
      </w:tr>
      <w:tr>
        <w:trPr>
          <w:trHeight w:val="212"/>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
              <w:r>
                <w:rPr>
                  <w:rFonts w:ascii="Times New Roman" w:cs="Times New Roman" w:eastAsia="Times New Roman" w:hAnsi="Times New Roman"/>
                  <w:sz w:val="17"/>
                  <w:szCs w:val="17"/>
                  <w:u w:val="single" w:color="auto"/>
                  <w:color w:val="0000FF"/>
                </w:rPr>
                <w:t>Condensed Consolidated Statements of Cash Flows (Unaudited)</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
              <w:r>
                <w:rPr>
                  <w:rFonts w:ascii="Times New Roman" w:cs="Times New Roman" w:eastAsia="Times New Roman" w:hAnsi="Times New Roman"/>
                  <w:sz w:val="17"/>
                  <w:szCs w:val="17"/>
                  <w:color w:val="0000FF"/>
                </w:rPr>
                <w:t>9</w:t>
              </w:r>
            </w:hyperlink>
          </w:p>
        </w:tc>
      </w:tr>
      <w:tr>
        <w:trPr>
          <w:trHeight w:val="216"/>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11">
              <w:r>
                <w:rPr>
                  <w:rFonts w:ascii="Times New Roman" w:cs="Times New Roman" w:eastAsia="Times New Roman" w:hAnsi="Times New Roman"/>
                  <w:sz w:val="17"/>
                  <w:szCs w:val="17"/>
                  <w:u w:val="single" w:color="auto"/>
                  <w:color w:val="0000FF"/>
                </w:rPr>
                <w:t>Notes to Condensed Consolidated Financial Statements (Unaudited)</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11">
              <w:r>
                <w:rPr>
                  <w:rFonts w:ascii="Times New Roman" w:cs="Times New Roman" w:eastAsia="Times New Roman" w:hAnsi="Times New Roman"/>
                  <w:sz w:val="17"/>
                  <w:szCs w:val="17"/>
                  <w:color w:val="0000FF"/>
                </w:rPr>
                <w:t>11</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58">
              <w:r>
                <w:rPr>
                  <w:rFonts w:ascii="Times New Roman" w:cs="Times New Roman" w:eastAsia="Times New Roman" w:hAnsi="Times New Roman"/>
                  <w:sz w:val="17"/>
                  <w:szCs w:val="17"/>
                  <w:u w:val="single" w:color="auto"/>
                  <w:color w:val="0000FF"/>
                </w:rPr>
                <w:t>Item 2.</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58">
              <w:r>
                <w:rPr>
                  <w:rFonts w:ascii="Times New Roman" w:cs="Times New Roman" w:eastAsia="Times New Roman" w:hAnsi="Times New Roman"/>
                  <w:sz w:val="17"/>
                  <w:szCs w:val="17"/>
                  <w:u w:val="single" w:color="auto"/>
                  <w:color w:val="0000FF"/>
                </w:rPr>
                <w:t>Management’s Discussion and Analysis of Financial Condition and Results of Operations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58">
              <w:r>
                <w:rPr>
                  <w:rFonts w:ascii="Times New Roman" w:cs="Times New Roman" w:eastAsia="Times New Roman" w:hAnsi="Times New Roman"/>
                  <w:sz w:val="17"/>
                  <w:szCs w:val="17"/>
                  <w:color w:val="0000FF"/>
                </w:rPr>
                <w:t>58</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0">
              <w:r>
                <w:rPr>
                  <w:rFonts w:ascii="Times New Roman" w:cs="Times New Roman" w:eastAsia="Times New Roman" w:hAnsi="Times New Roman"/>
                  <w:sz w:val="17"/>
                  <w:szCs w:val="17"/>
                  <w:u w:val="single" w:color="auto"/>
                  <w:color w:val="0000FF"/>
                </w:rPr>
                <w:t>Item 3.</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0">
              <w:r>
                <w:rPr>
                  <w:rFonts w:ascii="Times New Roman" w:cs="Times New Roman" w:eastAsia="Times New Roman" w:hAnsi="Times New Roman"/>
                  <w:sz w:val="17"/>
                  <w:szCs w:val="17"/>
                  <w:u w:val="single" w:color="auto"/>
                  <w:color w:val="0000FF"/>
                </w:rPr>
                <w:t>Quantitative and Qualitative Disclosures About Market Risk</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0">
              <w:r>
                <w:rPr>
                  <w:rFonts w:ascii="Times New Roman" w:cs="Times New Roman" w:eastAsia="Times New Roman" w:hAnsi="Times New Roman"/>
                  <w:sz w:val="17"/>
                  <w:szCs w:val="17"/>
                  <w:color w:val="0000FF"/>
                </w:rPr>
                <w:t>90</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3">
              <w:r>
                <w:rPr>
                  <w:rFonts w:ascii="Times New Roman" w:cs="Times New Roman" w:eastAsia="Times New Roman" w:hAnsi="Times New Roman"/>
                  <w:sz w:val="17"/>
                  <w:szCs w:val="17"/>
                  <w:u w:val="single" w:color="auto"/>
                  <w:color w:val="0000FF"/>
                </w:rPr>
                <w:t>Item 4.</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3">
              <w:r>
                <w:rPr>
                  <w:rFonts w:ascii="Times New Roman" w:cs="Times New Roman" w:eastAsia="Times New Roman" w:hAnsi="Times New Roman"/>
                  <w:sz w:val="17"/>
                  <w:szCs w:val="17"/>
                  <w:u w:val="single" w:color="auto"/>
                  <w:color w:val="0000FF"/>
                </w:rPr>
                <w:t>Controls and Procedures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3">
              <w:r>
                <w:rPr>
                  <w:rFonts w:ascii="Times New Roman" w:cs="Times New Roman" w:eastAsia="Times New Roman" w:hAnsi="Times New Roman"/>
                  <w:sz w:val="17"/>
                  <w:szCs w:val="17"/>
                  <w:color w:val="0000FF"/>
                </w:rPr>
                <w:t>92</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PART II -</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OTHER INFORMATION</w:t>
              </w:r>
            </w:hyperlink>
          </w:p>
        </w:tc>
        <w:tc>
          <w:tcPr>
            <w:tcW w:w="1160" w:type="dxa"/>
            <w:vAlign w:val="bottom"/>
          </w:tcPr>
          <w:p>
            <w:pPr>
              <w:spacing w:after="0"/>
              <w:rPr>
                <w:sz w:val="24"/>
                <w:szCs w:val="24"/>
                <w:color w:val="auto"/>
              </w:rPr>
            </w:pPr>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Item 1.</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Legal Proceedings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4">
              <w:r>
                <w:rPr>
                  <w:rFonts w:ascii="Times New Roman" w:cs="Times New Roman" w:eastAsia="Times New Roman" w:hAnsi="Times New Roman"/>
                  <w:sz w:val="17"/>
                  <w:szCs w:val="17"/>
                  <w:color w:val="0000FF"/>
                </w:rPr>
                <w:t>93</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Item 1A.</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4">
              <w:r>
                <w:rPr>
                  <w:rFonts w:ascii="Times New Roman" w:cs="Times New Roman" w:eastAsia="Times New Roman" w:hAnsi="Times New Roman"/>
                  <w:sz w:val="17"/>
                  <w:szCs w:val="17"/>
                  <w:u w:val="single" w:color="auto"/>
                  <w:color w:val="0000FF"/>
                </w:rPr>
                <w:t>Risk Factors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4">
              <w:r>
                <w:rPr>
                  <w:rFonts w:ascii="Times New Roman" w:cs="Times New Roman" w:eastAsia="Times New Roman" w:hAnsi="Times New Roman"/>
                  <w:sz w:val="17"/>
                  <w:szCs w:val="17"/>
                  <w:color w:val="0000FF"/>
                </w:rPr>
                <w:t>93</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5">
              <w:r>
                <w:rPr>
                  <w:rFonts w:ascii="Times New Roman" w:cs="Times New Roman" w:eastAsia="Times New Roman" w:hAnsi="Times New Roman"/>
                  <w:sz w:val="17"/>
                  <w:szCs w:val="17"/>
                  <w:u w:val="single" w:color="auto"/>
                  <w:color w:val="0000FF"/>
                </w:rPr>
                <w:t>Item 2.</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5">
              <w:r>
                <w:rPr>
                  <w:rFonts w:ascii="Times New Roman" w:cs="Times New Roman" w:eastAsia="Times New Roman" w:hAnsi="Times New Roman"/>
                  <w:sz w:val="17"/>
                  <w:szCs w:val="17"/>
                  <w:u w:val="single" w:color="auto"/>
                  <w:color w:val="0000FF"/>
                </w:rPr>
                <w:t>Unregistered Sales of Equity Securities and Use of Proceeds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5">
              <w:r>
                <w:rPr>
                  <w:rFonts w:ascii="Times New Roman" w:cs="Times New Roman" w:eastAsia="Times New Roman" w:hAnsi="Times New Roman"/>
                  <w:sz w:val="17"/>
                  <w:szCs w:val="17"/>
                  <w:color w:val="0000FF"/>
                </w:rPr>
                <w:t>94</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Item 3.</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Defaults Upon Senior Securities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6">
              <w:r>
                <w:rPr>
                  <w:rFonts w:ascii="Times New Roman" w:cs="Times New Roman" w:eastAsia="Times New Roman" w:hAnsi="Times New Roman"/>
                  <w:sz w:val="17"/>
                  <w:szCs w:val="17"/>
                  <w:color w:val="0000FF"/>
                </w:rPr>
                <w:t>95</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Item 4.</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Mine Safety Disclosures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6">
              <w:r>
                <w:rPr>
                  <w:rFonts w:ascii="Times New Roman" w:cs="Times New Roman" w:eastAsia="Times New Roman" w:hAnsi="Times New Roman"/>
                  <w:sz w:val="17"/>
                  <w:szCs w:val="17"/>
                  <w:color w:val="0000FF"/>
                </w:rPr>
                <w:t>95</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Item 5.</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Other Information</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6">
              <w:r>
                <w:rPr>
                  <w:rFonts w:ascii="Times New Roman" w:cs="Times New Roman" w:eastAsia="Times New Roman" w:hAnsi="Times New Roman"/>
                  <w:sz w:val="17"/>
                  <w:szCs w:val="17"/>
                  <w:color w:val="0000FF"/>
                </w:rPr>
                <w:t>95</w:t>
              </w:r>
            </w:hyperlink>
          </w:p>
        </w:tc>
      </w:tr>
      <w:tr>
        <w:trPr>
          <w:trHeight w:val="423"/>
        </w:trPr>
        <w:tc>
          <w:tcPr>
            <w:tcW w:w="1020" w:type="dxa"/>
            <w:vAlign w:val="bottom"/>
            <w:gridSpan w:val="2"/>
          </w:tcPr>
          <w:p>
            <w:pPr>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Item 6.</w:t>
              </w:r>
            </w:hyperlink>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6">
              <w:r>
                <w:rPr>
                  <w:rFonts w:ascii="Times New Roman" w:cs="Times New Roman" w:eastAsia="Times New Roman" w:hAnsi="Times New Roman"/>
                  <w:sz w:val="17"/>
                  <w:szCs w:val="17"/>
                  <w:u w:val="single" w:color="auto"/>
                  <w:color w:val="0000FF"/>
                </w:rPr>
                <w:t>Exhibits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6">
              <w:r>
                <w:rPr>
                  <w:rFonts w:ascii="Times New Roman" w:cs="Times New Roman" w:eastAsia="Times New Roman" w:hAnsi="Times New Roman"/>
                  <w:sz w:val="17"/>
                  <w:szCs w:val="17"/>
                  <w:color w:val="0000FF"/>
                </w:rPr>
                <w:t>96</w:t>
              </w:r>
            </w:hyperlink>
          </w:p>
        </w:tc>
      </w:tr>
      <w:tr>
        <w:trPr>
          <w:trHeight w:val="423"/>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80" w:type="dxa"/>
            <w:vAlign w:val="bottom"/>
          </w:tcPr>
          <w:p>
            <w:pPr>
              <w:ind w:left="380"/>
              <w:spacing w:after="0"/>
              <w:rPr>
                <w:rFonts w:ascii="Times New Roman" w:cs="Times New Roman" w:eastAsia="Times New Roman" w:hAnsi="Times New Roman"/>
                <w:sz w:val="17"/>
                <w:szCs w:val="17"/>
                <w:u w:val="single" w:color="auto"/>
                <w:color w:val="0000FF"/>
              </w:rPr>
            </w:pPr>
            <w:hyperlink w:anchor="page97">
              <w:r>
                <w:rPr>
                  <w:rFonts w:ascii="Times New Roman" w:cs="Times New Roman" w:eastAsia="Times New Roman" w:hAnsi="Times New Roman"/>
                  <w:sz w:val="17"/>
                  <w:szCs w:val="17"/>
                  <w:u w:val="single" w:color="auto"/>
                  <w:color w:val="0000FF"/>
                </w:rPr>
                <w:t>SIGNATURES</w:t>
              </w:r>
            </w:hyperlink>
          </w:p>
        </w:tc>
        <w:tc>
          <w:tcPr>
            <w:tcW w:w="1160" w:type="dxa"/>
            <w:vAlign w:val="bottom"/>
          </w:tcPr>
          <w:p>
            <w:pPr>
              <w:jc w:val="right"/>
              <w:spacing w:after="0"/>
              <w:rPr>
                <w:rFonts w:ascii="Times New Roman" w:cs="Times New Roman" w:eastAsia="Times New Roman" w:hAnsi="Times New Roman"/>
                <w:sz w:val="17"/>
                <w:szCs w:val="17"/>
                <w:color w:val="0000FF"/>
              </w:rPr>
            </w:pPr>
            <w:hyperlink w:anchor="page97">
              <w:r>
                <w:rPr>
                  <w:rFonts w:ascii="Times New Roman" w:cs="Times New Roman" w:eastAsia="Times New Roman" w:hAnsi="Times New Roman"/>
                  <w:sz w:val="17"/>
                  <w:szCs w:val="17"/>
                  <w:color w:val="0000FF"/>
                </w:rPr>
                <w:t>97</w:t>
              </w:r>
            </w:hyperlink>
          </w:p>
        </w:tc>
      </w:tr>
    </w:tbl>
    <w:p>
      <w:pPr>
        <w:spacing w:after="0" w:line="83" w:lineRule="exact"/>
        <w:rPr>
          <w:sz w:val="20"/>
          <w:szCs w:val="20"/>
          <w:color w:val="auto"/>
        </w:rPr>
      </w:pPr>
    </w:p>
    <w:p>
      <w:pPr>
        <w:ind w:right="420" w:firstLine="166"/>
        <w:spacing w:after="0" w:line="301" w:lineRule="auto"/>
        <w:rPr>
          <w:sz w:val="20"/>
          <w:szCs w:val="20"/>
          <w:color w:val="auto"/>
        </w:rPr>
      </w:pPr>
      <w:r>
        <w:rPr>
          <w:rFonts w:ascii="Times New Roman" w:cs="Times New Roman" w:eastAsia="Times New Roman" w:hAnsi="Times New Roman"/>
          <w:sz w:val="16"/>
          <w:szCs w:val="16"/>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4"/>
        </w:trPr>
        <w:tc>
          <w:tcPr>
            <w:tcW w:w="5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NUMBER</w:t>
            </w:r>
          </w:p>
        </w:tc>
      </w:tr>
      <w:tr>
        <w:trPr>
          <w:trHeight w:val="403"/>
        </w:trPr>
        <w:tc>
          <w:tcPr>
            <w:tcW w:w="5580" w:type="dxa"/>
            <w:vAlign w:val="bottom"/>
          </w:tcPr>
          <w:p>
            <w:pPr>
              <w:ind w:left="40"/>
              <w:spacing w:after="0"/>
              <w:rPr>
                <w:rFonts w:ascii="Times New Roman" w:cs="Times New Roman" w:eastAsia="Times New Roman" w:hAnsi="Times New Roman"/>
                <w:sz w:val="17"/>
                <w:szCs w:val="17"/>
                <w:u w:val="single" w:color="auto"/>
                <w:color w:val="0000FF"/>
              </w:rPr>
            </w:pPr>
            <w:hyperlink w:anchor="page3">
              <w:r>
                <w:rPr>
                  <w:rFonts w:ascii="Times New Roman" w:cs="Times New Roman" w:eastAsia="Times New Roman" w:hAnsi="Times New Roman"/>
                  <w:sz w:val="17"/>
                  <w:szCs w:val="17"/>
                  <w:u w:val="single" w:color="auto"/>
                  <w:color w:val="0000FF"/>
                </w:rPr>
                <w:t>Condensed Consolidated Statements of Financial Condition (Unaudited)</w:t>
              </w:r>
            </w:hyperlink>
          </w:p>
        </w:tc>
        <w:tc>
          <w:tcPr>
            <w:tcW w:w="5660" w:type="dxa"/>
            <w:vAlign w:val="bottom"/>
            <w:gridSpan w:val="2"/>
          </w:tcPr>
          <w:p>
            <w:pPr>
              <w:jc w:val="right"/>
              <w:spacing w:after="0"/>
              <w:rPr>
                <w:rFonts w:ascii="Times New Roman" w:cs="Times New Roman" w:eastAsia="Times New Roman" w:hAnsi="Times New Roman"/>
                <w:sz w:val="17"/>
                <w:szCs w:val="17"/>
                <w:u w:val="single" w:color="auto"/>
                <w:color w:val="0000FF"/>
              </w:rPr>
            </w:pPr>
            <w:hyperlink w:anchor="page3">
              <w:r>
                <w:rPr>
                  <w:rFonts w:ascii="Times New Roman" w:cs="Times New Roman" w:eastAsia="Times New Roman" w:hAnsi="Times New Roman"/>
                  <w:sz w:val="17"/>
                  <w:szCs w:val="17"/>
                  <w:u w:val="single" w:color="auto"/>
                  <w:color w:val="0000FF"/>
                </w:rPr>
                <w:t>3</w:t>
              </w:r>
            </w:hyperlink>
          </w:p>
        </w:tc>
      </w:tr>
      <w:tr>
        <w:trPr>
          <w:trHeight w:val="423"/>
        </w:trPr>
        <w:tc>
          <w:tcPr>
            <w:tcW w:w="5580" w:type="dxa"/>
            <w:vAlign w:val="bottom"/>
          </w:tcPr>
          <w:p>
            <w:pPr>
              <w:ind w:left="40"/>
              <w:spacing w:after="0"/>
              <w:rPr>
                <w:rFonts w:ascii="Times New Roman" w:cs="Times New Roman" w:eastAsia="Times New Roman" w:hAnsi="Times New Roman"/>
                <w:sz w:val="17"/>
                <w:szCs w:val="17"/>
                <w:u w:val="single" w:color="auto"/>
                <w:color w:val="0000FF"/>
                <w:w w:val="97"/>
              </w:rPr>
            </w:pPr>
            <w:hyperlink w:anchor="page5">
              <w:r>
                <w:rPr>
                  <w:rFonts w:ascii="Times New Roman" w:cs="Times New Roman" w:eastAsia="Times New Roman" w:hAnsi="Times New Roman"/>
                  <w:sz w:val="17"/>
                  <w:szCs w:val="17"/>
                  <w:u w:val="single" w:color="auto"/>
                  <w:color w:val="0000FF"/>
                  <w:w w:val="97"/>
                </w:rPr>
                <w:t>Condensed Consolidated Statements of Comprehensive Income (Loss) (Unaudited)</w:t>
              </w:r>
            </w:hyperlink>
          </w:p>
        </w:tc>
        <w:tc>
          <w:tcPr>
            <w:tcW w:w="5660" w:type="dxa"/>
            <w:vAlign w:val="bottom"/>
            <w:gridSpan w:val="2"/>
          </w:tcPr>
          <w:p>
            <w:pPr>
              <w:jc w:val="right"/>
              <w:spacing w:after="0"/>
              <w:rPr>
                <w:rFonts w:ascii="Times New Roman" w:cs="Times New Roman" w:eastAsia="Times New Roman" w:hAnsi="Times New Roman"/>
                <w:sz w:val="17"/>
                <w:szCs w:val="17"/>
                <w:u w:val="single" w:color="auto"/>
                <w:color w:val="0000FF"/>
              </w:rPr>
            </w:pPr>
            <w:hyperlink w:anchor="page5">
              <w:r>
                <w:rPr>
                  <w:rFonts w:ascii="Times New Roman" w:cs="Times New Roman" w:eastAsia="Times New Roman" w:hAnsi="Times New Roman"/>
                  <w:sz w:val="17"/>
                  <w:szCs w:val="17"/>
                  <w:u w:val="single" w:color="auto"/>
                  <w:color w:val="0000FF"/>
                </w:rPr>
                <w:t>5</w:t>
              </w:r>
            </w:hyperlink>
          </w:p>
        </w:tc>
      </w:tr>
      <w:tr>
        <w:trPr>
          <w:trHeight w:val="423"/>
        </w:trPr>
        <w:tc>
          <w:tcPr>
            <w:tcW w:w="5580" w:type="dxa"/>
            <w:vAlign w:val="bottom"/>
          </w:tcPr>
          <w:p>
            <w:pPr>
              <w:ind w:left="40"/>
              <w:spacing w:after="0"/>
              <w:rPr>
                <w:rFonts w:ascii="Times New Roman" w:cs="Times New Roman" w:eastAsia="Times New Roman" w:hAnsi="Times New Roman"/>
                <w:sz w:val="17"/>
                <w:szCs w:val="17"/>
                <w:u w:val="single" w:color="auto"/>
                <w:color w:val="0000FF"/>
              </w:rPr>
            </w:pPr>
            <w:hyperlink w:anchor="page6">
              <w:r>
                <w:rPr>
                  <w:rFonts w:ascii="Times New Roman" w:cs="Times New Roman" w:eastAsia="Times New Roman" w:hAnsi="Times New Roman"/>
                  <w:sz w:val="17"/>
                  <w:szCs w:val="17"/>
                  <w:u w:val="single" w:color="auto"/>
                  <w:color w:val="0000FF"/>
                </w:rPr>
                <w:t>Condensed Consolidated Statements of Changes in Equity (Unaudited)</w:t>
              </w:r>
            </w:hyperlink>
          </w:p>
        </w:tc>
        <w:tc>
          <w:tcPr>
            <w:tcW w:w="5660" w:type="dxa"/>
            <w:vAlign w:val="bottom"/>
            <w:gridSpan w:val="2"/>
          </w:tcPr>
          <w:p>
            <w:pPr>
              <w:jc w:val="right"/>
              <w:spacing w:after="0"/>
              <w:rPr>
                <w:rFonts w:ascii="Times New Roman" w:cs="Times New Roman" w:eastAsia="Times New Roman" w:hAnsi="Times New Roman"/>
                <w:sz w:val="17"/>
                <w:szCs w:val="17"/>
                <w:u w:val="single" w:color="auto"/>
                <w:color w:val="0000FF"/>
              </w:rPr>
            </w:pPr>
            <w:hyperlink w:anchor="page6">
              <w:r>
                <w:rPr>
                  <w:rFonts w:ascii="Times New Roman" w:cs="Times New Roman" w:eastAsia="Times New Roman" w:hAnsi="Times New Roman"/>
                  <w:sz w:val="17"/>
                  <w:szCs w:val="17"/>
                  <w:u w:val="single" w:color="auto"/>
                  <w:color w:val="0000FF"/>
                </w:rPr>
                <w:t>6</w:t>
              </w:r>
            </w:hyperlink>
          </w:p>
        </w:tc>
      </w:tr>
      <w:tr>
        <w:trPr>
          <w:trHeight w:val="423"/>
        </w:trPr>
        <w:tc>
          <w:tcPr>
            <w:tcW w:w="5580" w:type="dxa"/>
            <w:vAlign w:val="bottom"/>
          </w:tcPr>
          <w:p>
            <w:pPr>
              <w:ind w:left="40"/>
              <w:spacing w:after="0"/>
              <w:rPr>
                <w:rFonts w:ascii="Times New Roman" w:cs="Times New Roman" w:eastAsia="Times New Roman" w:hAnsi="Times New Roman"/>
                <w:sz w:val="17"/>
                <w:szCs w:val="17"/>
                <w:u w:val="single" w:color="auto"/>
                <w:color w:val="0000FF"/>
              </w:rPr>
            </w:pPr>
            <w:hyperlink w:anchor="page9">
              <w:r>
                <w:rPr>
                  <w:rFonts w:ascii="Times New Roman" w:cs="Times New Roman" w:eastAsia="Times New Roman" w:hAnsi="Times New Roman"/>
                  <w:sz w:val="17"/>
                  <w:szCs w:val="17"/>
                  <w:u w:val="single" w:color="auto"/>
                  <w:color w:val="0000FF"/>
                </w:rPr>
                <w:t>Condensed Consolidated Statements of Cash Flows (Unaudited)</w:t>
              </w:r>
            </w:hyperlink>
          </w:p>
        </w:tc>
        <w:tc>
          <w:tcPr>
            <w:tcW w:w="5660" w:type="dxa"/>
            <w:vAlign w:val="bottom"/>
            <w:gridSpan w:val="2"/>
          </w:tcPr>
          <w:p>
            <w:pPr>
              <w:jc w:val="right"/>
              <w:spacing w:after="0"/>
              <w:rPr>
                <w:rFonts w:ascii="Times New Roman" w:cs="Times New Roman" w:eastAsia="Times New Roman" w:hAnsi="Times New Roman"/>
                <w:sz w:val="17"/>
                <w:szCs w:val="17"/>
                <w:u w:val="single" w:color="auto"/>
                <w:color w:val="0000FF"/>
              </w:rPr>
            </w:pPr>
            <w:hyperlink w:anchor="page9">
              <w:r>
                <w:rPr>
                  <w:rFonts w:ascii="Times New Roman" w:cs="Times New Roman" w:eastAsia="Times New Roman" w:hAnsi="Times New Roman"/>
                  <w:sz w:val="17"/>
                  <w:szCs w:val="17"/>
                  <w:u w:val="single" w:color="auto"/>
                  <w:color w:val="0000FF"/>
                </w:rPr>
                <w:t>9</w:t>
              </w:r>
            </w:hyperlink>
          </w:p>
        </w:tc>
      </w:tr>
      <w:tr>
        <w:trPr>
          <w:trHeight w:val="423"/>
        </w:trPr>
        <w:tc>
          <w:tcPr>
            <w:tcW w:w="5580" w:type="dxa"/>
            <w:vAlign w:val="bottom"/>
          </w:tcPr>
          <w:p>
            <w:pPr>
              <w:ind w:left="40"/>
              <w:spacing w:after="0"/>
              <w:rPr>
                <w:rFonts w:ascii="Times New Roman" w:cs="Times New Roman" w:eastAsia="Times New Roman" w:hAnsi="Times New Roman"/>
                <w:sz w:val="17"/>
                <w:szCs w:val="17"/>
                <w:u w:val="single" w:color="auto"/>
                <w:color w:val="0000FF"/>
              </w:rPr>
            </w:pPr>
            <w:hyperlink w:anchor="page11">
              <w:r>
                <w:rPr>
                  <w:rFonts w:ascii="Times New Roman" w:cs="Times New Roman" w:eastAsia="Times New Roman" w:hAnsi="Times New Roman"/>
                  <w:sz w:val="17"/>
                  <w:szCs w:val="17"/>
                  <w:u w:val="single" w:color="auto"/>
                  <w:color w:val="0000FF"/>
                </w:rPr>
                <w:t>Notes to Condensed Consolidated Financial Statements (Unaudited)</w:t>
              </w:r>
            </w:hyperlink>
          </w:p>
        </w:tc>
        <w:tc>
          <w:tcPr>
            <w:tcW w:w="5660" w:type="dxa"/>
            <w:vAlign w:val="bottom"/>
            <w:gridSpan w:val="2"/>
          </w:tcPr>
          <w:p>
            <w:pPr>
              <w:jc w:val="right"/>
              <w:spacing w:after="0"/>
              <w:rPr>
                <w:rFonts w:ascii="Times New Roman" w:cs="Times New Roman" w:eastAsia="Times New Roman" w:hAnsi="Times New Roman"/>
                <w:sz w:val="17"/>
                <w:szCs w:val="17"/>
                <w:u w:val="single" w:color="auto"/>
                <w:color w:val="0000FF"/>
              </w:rPr>
            </w:pPr>
            <w:hyperlink w:anchor="page11">
              <w:r>
                <w:rPr>
                  <w:rFonts w:ascii="Times New Roman" w:cs="Times New Roman" w:eastAsia="Times New Roman" w:hAnsi="Times New Roman"/>
                  <w:sz w:val="17"/>
                  <w:szCs w:val="17"/>
                  <w:u w:val="single" w:color="auto"/>
                  <w:color w:val="0000FF"/>
                </w:rPr>
                <w:t>11</w:t>
              </w:r>
            </w:hyperlink>
          </w:p>
        </w:tc>
      </w:tr>
      <w:tr>
        <w:trPr>
          <w:trHeight w:val="809"/>
        </w:trPr>
        <w:tc>
          <w:tcPr>
            <w:tcW w:w="5580" w:type="dxa"/>
            <w:vAlign w:val="bottom"/>
          </w:tcPr>
          <w:p>
            <w:pPr>
              <w:spacing w:after="0"/>
              <w:rPr>
                <w:sz w:val="24"/>
                <w:szCs w:val="24"/>
                <w:color w:val="auto"/>
              </w:rPr>
            </w:pPr>
          </w:p>
        </w:tc>
        <w:tc>
          <w:tcPr>
            <w:tcW w:w="4440" w:type="dxa"/>
            <w:vAlign w:val="bottom"/>
          </w:tcPr>
          <w:p>
            <w:pPr>
              <w:jc w:val="right"/>
              <w:ind w:right="4277"/>
              <w:spacing w:after="0"/>
              <w:rPr>
                <w:sz w:val="20"/>
                <w:szCs w:val="20"/>
                <w:color w:val="auto"/>
              </w:rPr>
            </w:pPr>
            <w:r>
              <w:rPr>
                <w:rFonts w:ascii="Times New Roman" w:cs="Times New Roman" w:eastAsia="Times New Roman" w:hAnsi="Times New Roman"/>
                <w:sz w:val="17"/>
                <w:szCs w:val="17"/>
                <w:color w:val="auto"/>
                <w:w w:val="70"/>
              </w:rPr>
              <w:t>2</w:t>
            </w:r>
          </w:p>
        </w:tc>
        <w:tc>
          <w:tcPr>
            <w:tcW w:w="1220" w:type="dxa"/>
            <w:vAlign w:val="bottom"/>
          </w:tcPr>
          <w:p>
            <w:pPr>
              <w:spacing w:after="0"/>
              <w:rPr>
                <w:sz w:val="24"/>
                <w:szCs w:val="24"/>
                <w:color w:val="auto"/>
              </w:rPr>
            </w:pPr>
          </w:p>
        </w:tc>
      </w:tr>
      <w:tr>
        <w:trPr>
          <w:trHeight w:val="104"/>
        </w:trPr>
        <w:tc>
          <w:tcPr>
            <w:tcW w:w="5580" w:type="dxa"/>
            <w:vAlign w:val="bottom"/>
            <w:tcBorders>
              <w:bottom w:val="single" w:sz="8" w:color="9A9A9A"/>
            </w:tcBorders>
          </w:tcPr>
          <w:p>
            <w:pPr>
              <w:spacing w:after="0"/>
              <w:rPr>
                <w:sz w:val="9"/>
                <w:szCs w:val="9"/>
                <w:color w:val="auto"/>
              </w:rPr>
            </w:pPr>
          </w:p>
        </w:tc>
        <w:tc>
          <w:tcPr>
            <w:tcW w:w="44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5"/>
                <w:szCs w:val="15"/>
                <w:color w:val="auto"/>
              </w:rPr>
            </w:pPr>
          </w:p>
        </w:tc>
        <w:tc>
          <w:tcPr>
            <w:tcW w:w="106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2019</w:t>
            </w:r>
          </w:p>
        </w:tc>
        <w:tc>
          <w:tcPr>
            <w:tcW w:w="0" w:type="dxa"/>
            <w:vAlign w:val="bottom"/>
          </w:tcPr>
          <w:p>
            <w:pPr>
              <w:spacing w:after="0"/>
              <w:rPr>
                <w:sz w:val="1"/>
                <w:szCs w:val="1"/>
                <w:color w:val="auto"/>
              </w:rPr>
            </w:pPr>
          </w:p>
        </w:tc>
      </w:tr>
      <w:tr>
        <w:trPr>
          <w:trHeight w:val="192"/>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567,677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732,164</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Cash restricted or segregated under regulations and other</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98,285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41,116</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Securities borrowed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1,325,843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1,928,763</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Securities purchased under agreements to resell</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17,413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143,032</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1,881,881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1,318,584</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Trading assets, at fair value: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Financial instruments owned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2,208,147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2,068,734</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Financial instruments owned and pledged</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609,050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696,956</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Receivables from customers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176,939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103,531</w:t>
            </w:r>
          </w:p>
        </w:tc>
        <w:tc>
          <w:tcPr>
            <w:tcW w:w="0" w:type="dxa"/>
            <w:vAlign w:val="bottom"/>
          </w:tcPr>
          <w:p>
            <w:pPr>
              <w:spacing w:after="0"/>
              <w:rPr>
                <w:sz w:val="1"/>
                <w:szCs w:val="1"/>
                <w:color w:val="auto"/>
              </w:rPr>
            </w:pPr>
          </w:p>
        </w:tc>
      </w:tr>
      <w:tr>
        <w:trPr>
          <w:trHeight w:val="150"/>
        </w:trPr>
        <w:tc>
          <w:tcPr>
            <w:tcW w:w="858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5"/>
                <w:szCs w:val="15"/>
                <w:color w:val="auto"/>
              </w:rPr>
              <w:t>Property, equipment and capitalized software (net of accumulated depreciation of $443,770 and $457,229 as of September 30, 2020 and</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116,550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116,089</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December 31, 2019, 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287,069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314,526</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Goodwill</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1,148,926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1,148,926</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Intangibles (net of accumulated amortization of $165,417 and $219,239 as of September 30, 2020 and December 31, 2019, respectively)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473,317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529,638</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Deferred tax assets</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192,467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214,671</w:t>
            </w: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assets ($66,805 and $48,966, at fair value, as of September 30, 2020 and December 31, 2019, respectively)</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339,161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252,640</w:t>
            </w:r>
          </w:p>
        </w:tc>
        <w:tc>
          <w:tcPr>
            <w:tcW w:w="0" w:type="dxa"/>
            <w:vAlign w:val="bottom"/>
          </w:tcPr>
          <w:p>
            <w:pPr>
              <w:spacing w:after="0"/>
              <w:rPr>
                <w:sz w:val="1"/>
                <w:szCs w:val="1"/>
                <w:color w:val="auto"/>
              </w:rPr>
            </w:pPr>
          </w:p>
        </w:tc>
      </w:tr>
      <w:tr>
        <w:trPr>
          <w:trHeight w:val="194"/>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9,442,725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9,609,370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equity</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123,993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73,486</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Securities loaned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705,789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1,600,099</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Securities sold under agreements to repurchase</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466,995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340,742</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675,032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826,750</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Payables to customers</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141,980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89,719</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Trading liabilities, at fair value: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Financial instruments sold, not yet purchased</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2,790,135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2,497,958</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Tax receivable agreement obligations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255,996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269,282</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Accounts payable, accrued expenses and other liabilities</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508,543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399,168</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330,626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365,364</w:t>
            </w:r>
          </w:p>
        </w:tc>
        <w:tc>
          <w:tcPr>
            <w:tcW w:w="0" w:type="dxa"/>
            <w:vAlign w:val="bottom"/>
          </w:tcPr>
          <w:p>
            <w:pPr>
              <w:spacing w:after="0"/>
              <w:rPr>
                <w:sz w:val="1"/>
                <w:szCs w:val="1"/>
                <w:color w:val="auto"/>
              </w:rPr>
            </w:pPr>
          </w:p>
        </w:tc>
      </w:tr>
      <w:tr>
        <w:trPr>
          <w:trHeight w:val="196"/>
        </w:trPr>
        <w:tc>
          <w:tcPr>
            <w:tcW w:w="8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Long-term borrowings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1,636,829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1,917,866</w:t>
            </w:r>
          </w:p>
        </w:tc>
        <w:tc>
          <w:tcPr>
            <w:tcW w:w="0" w:type="dxa"/>
            <w:vAlign w:val="bottom"/>
          </w:tcPr>
          <w:p>
            <w:pPr>
              <w:spacing w:after="0"/>
              <w:rPr>
                <w:sz w:val="1"/>
                <w:szCs w:val="1"/>
                <w:color w:val="auto"/>
              </w:rPr>
            </w:pPr>
          </w:p>
        </w:tc>
      </w:tr>
      <w:tr>
        <w:trPr>
          <w:trHeight w:val="194"/>
        </w:trPr>
        <w:tc>
          <w:tcPr>
            <w:tcW w:w="8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Total liabilities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7,635,918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8,380,434</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15)</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Virtu Financial Inc. Stockholders' equity</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58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5"/>
                <w:szCs w:val="15"/>
                <w:color w:val="auto"/>
              </w:rPr>
              <w:t>Class A common stock (par value $0.00001), Authorized — 1,000,000,000 and 1,000,000,000 shares, Issued — 125,059,325 and</w:t>
            </w:r>
          </w:p>
        </w:tc>
        <w:tc>
          <w:tcPr>
            <w:tcW w:w="120" w:type="dxa"/>
            <w:vAlign w:val="bottom"/>
          </w:tcPr>
          <w:p>
            <w:pPr>
              <w:spacing w:after="0"/>
              <w:rPr>
                <w:sz w:val="13"/>
                <w:szCs w:val="13"/>
                <w:color w:val="auto"/>
              </w:rPr>
            </w:pPr>
          </w:p>
        </w:tc>
        <w:tc>
          <w:tcPr>
            <w:tcW w:w="11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120,435,912 shares, Outstanding — 122,880,554 and 118,257,141 shares at September 30, 2020 and December 31, 2019, respectively</w:t>
            </w: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580" w:type="dxa"/>
            <w:vAlign w:val="bottom"/>
            <w:gridSpan w:val="2"/>
            <w:shd w:val="clear" w:color="auto" w:fill="CCEEFF"/>
          </w:tcPr>
          <w:p>
            <w:pPr>
              <w:ind w:left="120"/>
              <w:spacing w:after="0" w:line="153" w:lineRule="exact"/>
              <w:rPr>
                <w:sz w:val="20"/>
                <w:szCs w:val="20"/>
                <w:color w:val="auto"/>
              </w:rPr>
            </w:pPr>
            <w:r>
              <w:rPr>
                <w:rFonts w:ascii="Times New Roman" w:cs="Times New Roman" w:eastAsia="Times New Roman" w:hAnsi="Times New Roman"/>
                <w:sz w:val="15"/>
                <w:szCs w:val="15"/>
                <w:color w:val="auto"/>
              </w:rPr>
              <w:t>Class B common stock (par value $0.00001), Authorized — 175,000,000 and 175,000,000 shares, Issued and Outstanding — 0 and 0</w:t>
            </w:r>
          </w:p>
        </w:tc>
        <w:tc>
          <w:tcPr>
            <w:tcW w:w="1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shares at September 30, 2020 and December 31, 2019, respectively</w:t>
            </w: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580" w:type="dxa"/>
            <w:vAlign w:val="bottom"/>
            <w:gridSpan w:val="2"/>
          </w:tcPr>
          <w:p>
            <w:pPr>
              <w:ind w:left="120"/>
              <w:spacing w:after="0" w:line="150" w:lineRule="exact"/>
              <w:rPr>
                <w:sz w:val="20"/>
                <w:szCs w:val="20"/>
                <w:color w:val="auto"/>
              </w:rPr>
            </w:pPr>
            <w:r>
              <w:rPr>
                <w:rFonts w:ascii="Times New Roman" w:cs="Times New Roman" w:eastAsia="Times New Roman" w:hAnsi="Times New Roman"/>
                <w:sz w:val="15"/>
                <w:szCs w:val="15"/>
                <w:color w:val="auto"/>
              </w:rPr>
              <w:t>Class C common stock (par value $0.00001), Authorized — 90,000,000 and 90,000,000 shares, Issued and Outstanding — 10,466,939 and</w:t>
            </w:r>
          </w:p>
        </w:tc>
        <w:tc>
          <w:tcPr>
            <w:tcW w:w="12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12,887,178 shares at September 30, 2020 and December 31, 2019, respectively</w:t>
            </w:r>
          </w:p>
        </w:tc>
        <w:tc>
          <w:tcPr>
            <w:tcW w:w="1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580" w:type="dxa"/>
            <w:vAlign w:val="bottom"/>
            <w:gridSpan w:val="2"/>
            <w:shd w:val="clear" w:color="auto" w:fill="CCEEFF"/>
          </w:tcPr>
          <w:p>
            <w:pPr>
              <w:ind w:left="120"/>
              <w:spacing w:after="0" w:line="153" w:lineRule="exact"/>
              <w:rPr>
                <w:sz w:val="20"/>
                <w:szCs w:val="20"/>
                <w:color w:val="auto"/>
              </w:rPr>
            </w:pPr>
            <w:r>
              <w:rPr>
                <w:rFonts w:ascii="Times New Roman" w:cs="Times New Roman" w:eastAsia="Times New Roman" w:hAnsi="Times New Roman"/>
                <w:sz w:val="15"/>
                <w:szCs w:val="15"/>
                <w:color w:val="auto"/>
              </w:rPr>
              <w:t>Class D common stock (par value $0.00001), Authorized — 175,000,000 and 175,000,000 shares, Issued and Outstanding — 60,091,740</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9"/>
        </w:trPr>
        <w:tc>
          <w:tcPr>
            <w:tcW w:w="8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and 60,091,740 shares at September 30, 2020 and December 31, 2019, respectively</w:t>
            </w: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Treasury stock, at cost, 2,178,771 and 2,178,771 shares at September 30, 2020 and December 31, 2019, respectively</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(55,005)</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1,143,149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1,077,398</w:t>
            </w:r>
          </w:p>
        </w:tc>
        <w:tc>
          <w:tcPr>
            <w:tcW w:w="0" w:type="dxa"/>
            <w:vAlign w:val="bottom"/>
          </w:tcPr>
          <w:p>
            <w:pPr>
              <w:spacing w:after="0"/>
              <w:rPr>
                <w:sz w:val="1"/>
                <w:szCs w:val="1"/>
                <w:color w:val="auto"/>
              </w:rPr>
            </w:pPr>
          </w:p>
        </w:tc>
      </w:tr>
      <w:tr>
        <w:trPr>
          <w:trHeight w:val="196"/>
        </w:trPr>
        <w:tc>
          <w:tcPr>
            <w:tcW w:w="858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Retained earnings (accumulated deficit)</w:t>
            </w:r>
          </w:p>
        </w:tc>
        <w:tc>
          <w:tcPr>
            <w:tcW w:w="120" w:type="dxa"/>
            <w:vAlign w:val="bottom"/>
          </w:tcPr>
          <w:p>
            <w:pPr>
              <w:spacing w:after="0"/>
              <w:rPr>
                <w:sz w:val="17"/>
                <w:szCs w:val="17"/>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343,817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(90,374)</w:t>
            </w:r>
          </w:p>
        </w:tc>
        <w:tc>
          <w:tcPr>
            <w:tcW w:w="0" w:type="dxa"/>
            <w:vAlign w:val="bottom"/>
          </w:tcPr>
          <w:p>
            <w:pPr>
              <w:spacing w:after="0"/>
              <w:rPr>
                <w:sz w:val="1"/>
                <w:szCs w:val="1"/>
                <w:color w:val="auto"/>
              </w:rPr>
            </w:pPr>
          </w:p>
        </w:tc>
      </w:tr>
      <w:tr>
        <w:trPr>
          <w:trHeight w:val="202"/>
        </w:trPr>
        <w:tc>
          <w:tcPr>
            <w:tcW w:w="8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Accumulated other comprehensive income (loss)</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(35,203)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0" w:type="dxa"/>
            <w:vAlign w:val="bottom"/>
          </w:tcPr>
          <w:p>
            <w:pPr>
              <w:spacing w:after="0"/>
              <w:rPr>
                <w:sz w:val="1"/>
                <w:szCs w:val="1"/>
                <w:color w:val="auto"/>
              </w:rPr>
            </w:pPr>
          </w:p>
        </w:tc>
      </w:tr>
      <w:tr>
        <w:trPr>
          <w:trHeight w:val="186"/>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Virtu Financial Inc. stockholders' equity</w:t>
            </w:r>
          </w:p>
        </w:tc>
        <w:tc>
          <w:tcPr>
            <w:tcW w:w="1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1,396,760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5"/>
                <w:szCs w:val="15"/>
                <w:color w:val="auto"/>
              </w:rPr>
            </w:pPr>
          </w:p>
        </w:tc>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tc>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300" w:type="dxa"/>
            <w:vAlign w:val="bottom"/>
            <w:tcBorders>
              <w:bottom w:val="single" w:sz="8" w:color="auto"/>
            </w:tcBorders>
            <w:vMerge w:val="continue"/>
          </w:tcPr>
          <w:p>
            <w:pPr>
              <w:spacing w:after="0"/>
              <w:rPr>
                <w:sz w:val="17"/>
                <w:szCs w:val="17"/>
                <w:color w:val="auto"/>
              </w:rPr>
            </w:pPr>
          </w:p>
        </w:tc>
        <w:tc>
          <w:tcPr>
            <w:tcW w:w="6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Noncontrolling interest</w:t>
            </w:r>
          </w:p>
        </w:tc>
        <w:tc>
          <w:tcPr>
            <w:tcW w:w="6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410,047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297,562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6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1,806,807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1,228,936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64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9,442,725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9,609,370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0" w:type="dxa"/>
            <w:vAlign w:val="bottom"/>
            <w:gridSpan w:val="3"/>
          </w:tcPr>
          <w:p>
            <w:pPr>
              <w:jc w:val="center"/>
              <w:ind w:left="20"/>
              <w:spacing w:after="0"/>
              <w:rPr>
                <w:sz w:val="20"/>
                <w:szCs w:val="20"/>
                <w:color w:val="auto"/>
              </w:rPr>
            </w:pPr>
            <w:r>
              <w:rPr>
                <w:rFonts w:ascii="Times New Roman" w:cs="Times New Roman" w:eastAsia="Times New Roman" w:hAnsi="Times New Roman"/>
                <w:sz w:val="17"/>
                <w:szCs w:val="17"/>
                <w:color w:val="auto"/>
                <w:w w:val="97"/>
              </w:rPr>
              <w:t>See accompanying notes to the Condensed Consolidated Financial Statements (Unaudited).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80" w:type="dxa"/>
            <w:vAlign w:val="bottom"/>
          </w:tcPr>
          <w:p>
            <w:pPr>
              <w:jc w:val="right"/>
              <w:ind w:right="282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6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7134860</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762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172"/>
        </w:trPr>
        <w:tc>
          <w:tcPr>
            <w:tcW w:w="6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Three Months Ended</w:t>
            </w:r>
          </w:p>
        </w:tc>
        <w:tc>
          <w:tcPr>
            <w:tcW w:w="180" w:type="dxa"/>
            <w:vAlign w:val="bottom"/>
          </w:tcPr>
          <w:p>
            <w:pPr>
              <w:spacing w:after="0"/>
              <w:rPr>
                <w:sz w:val="15"/>
                <w:szCs w:val="15"/>
                <w:color w:val="auto"/>
              </w:rPr>
            </w:pPr>
          </w:p>
        </w:tc>
        <w:tc>
          <w:tcPr>
            <w:tcW w:w="2080" w:type="dxa"/>
            <w:vAlign w:val="bottom"/>
            <w:gridSpan w:val="4"/>
          </w:tcPr>
          <w:p>
            <w:pPr>
              <w:jc w:val="right"/>
              <w:ind w:right="425"/>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197"/>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5"/>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80" w:type="dxa"/>
            <w:vAlign w:val="bottom"/>
          </w:tcPr>
          <w:p>
            <w:pPr>
              <w:spacing w:after="0"/>
              <w:rPr>
                <w:sz w:val="17"/>
                <w:szCs w:val="17"/>
                <w:color w:val="auto"/>
              </w:rPr>
            </w:pPr>
          </w:p>
        </w:tc>
        <w:tc>
          <w:tcPr>
            <w:tcW w:w="2080" w:type="dxa"/>
            <w:vAlign w:val="bottom"/>
            <w:gridSpan w:val="4"/>
          </w:tcPr>
          <w:p>
            <w:pPr>
              <w:jc w:val="right"/>
              <w:ind w:right="605"/>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193"/>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2019</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2019</w:t>
            </w:r>
          </w:p>
        </w:tc>
      </w:tr>
      <w:tr>
        <w:trPr>
          <w:trHeight w:val="193"/>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Trading income,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441,295</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220,148</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1,987,756</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683,611</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Interest and dividends income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23,352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76,645</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Commissions, net and technology services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133,853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139,627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452,333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359,894</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75,758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(2,277)</w:t>
            </w:r>
          </w:p>
        </w:tc>
      </w:tr>
      <w:tr>
        <w:trPr>
          <w:trHeight w:val="189"/>
        </w:trPr>
        <w:tc>
          <w:tcPr>
            <w:tcW w:w="610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revenue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656,112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382,340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2,562,635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1,117,873</w:t>
            </w:r>
          </w:p>
        </w:tc>
      </w:tr>
      <w:tr>
        <w:trPr>
          <w:trHeight w:val="202"/>
        </w:trPr>
        <w:tc>
          <w:tcPr>
            <w:tcW w:w="6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0"/>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Brokerage, exchange, clearance fees and payments for order flow, net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98,789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573,769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285,890</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Communication and data processing</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59,767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162,336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156,004</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Employee compensation and payroll taxes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90,595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327,091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282,135</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Interest and dividends expense</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34,546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116,739</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Operations and administrative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25,333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76,293</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17,598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48,859</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Amortization of purchased intangibles and acquired capitalized software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18,908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50,436</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Termination of office leases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66,490</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Debt issue cost related to debt refinancing, prepayment and commitment fees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7,894</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Transaction advisory fees and expenses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24,074</w:t>
            </w: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Financing interest expense on long-term borrowings</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20,358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34,191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91,669</w:t>
            </w:r>
          </w:p>
        </w:tc>
      </w:tr>
      <w:tr>
        <w:trPr>
          <w:trHeight w:val="189"/>
        </w:trPr>
        <w:tc>
          <w:tcPr>
            <w:tcW w:w="61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403,597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388,168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1,439,363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1,206,483</w:t>
            </w:r>
          </w:p>
        </w:tc>
      </w:tr>
      <w:tr>
        <w:trPr>
          <w:trHeight w:val="194"/>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Income (loss) before income taxes and noncontrolling interest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252,515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1,123,272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(88,610)</w:t>
            </w:r>
          </w:p>
        </w:tc>
      </w:tr>
      <w:tr>
        <w:trPr>
          <w:trHeight w:val="196"/>
        </w:trPr>
        <w:tc>
          <w:tcPr>
            <w:tcW w:w="6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52,807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200,044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(14,322)</w:t>
            </w:r>
          </w:p>
        </w:tc>
      </w:tr>
      <w:tr>
        <w:trPr>
          <w:trHeight w:val="194"/>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199,708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(5,184)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923,228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(74,288)</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Noncontrolling interest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(82,999)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33,412</w:t>
            </w:r>
          </w:p>
        </w:tc>
      </w:tr>
      <w:tr>
        <w:trPr>
          <w:trHeight w:val="202"/>
        </w:trPr>
        <w:tc>
          <w:tcPr>
            <w:tcW w:w="6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192"/>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 available for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116,709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536,917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(40,876)</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4"/>
        </w:trPr>
        <w:tc>
          <w:tcPr>
            <w:tcW w:w="6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Earnings (loss) per share</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(0.38)</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0.92</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(0.38)</w:t>
            </w:r>
          </w:p>
        </w:tc>
      </w:tr>
      <w:tr>
        <w:trPr>
          <w:trHeight w:val="202"/>
        </w:trPr>
        <w:tc>
          <w:tcPr>
            <w:tcW w:w="6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Basic</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122,686,931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117,548,769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121,328,895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112,602,934</w:t>
            </w:r>
          </w:p>
        </w:tc>
      </w:tr>
      <w:tr>
        <w:trPr>
          <w:trHeight w:val="196"/>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Diluted</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123,772,005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117,548,769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121,939,839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112,602,934</w:t>
            </w:r>
          </w:p>
        </w:tc>
      </w:tr>
      <w:tr>
        <w:trPr>
          <w:trHeight w:val="202"/>
        </w:trPr>
        <w:tc>
          <w:tcPr>
            <w:tcW w:w="6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199,708</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(5,184)</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923,228</w:t>
            </w:r>
          </w:p>
        </w:tc>
        <w:tc>
          <w:tcPr>
            <w:tcW w:w="10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(74,288)</w:t>
            </w:r>
          </w:p>
        </w:tc>
      </w:tr>
      <w:tr>
        <w:trPr>
          <w:trHeight w:val="202"/>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Foreign exchange translation adjustment, net of taxes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(10,057)</w:t>
            </w:r>
          </w:p>
        </w:tc>
      </w:tr>
      <w:tr>
        <w:trPr>
          <w:trHeight w:val="202"/>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change in unrealized cash flow hedges gain (loss), net of taxes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207,834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(12,381)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862,663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(84,345)</w:t>
            </w:r>
          </w:p>
        </w:tc>
      </w:tr>
      <w:tr>
        <w:trPr>
          <w:trHeight w:val="199"/>
        </w:trPr>
        <w:tc>
          <w:tcPr>
            <w:tcW w:w="6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Less: Comprehensive income (loss) attributable to 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3,598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(360,302)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37,221</w:t>
            </w:r>
          </w:p>
        </w:tc>
      </w:tr>
      <w:tr>
        <w:trPr>
          <w:trHeight w:val="194"/>
        </w:trPr>
        <w:tc>
          <w:tcPr>
            <w:tcW w:w="61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Comprehensive 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121,073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(8,783)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502,361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(47,124)</w:t>
            </w: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960"/>
          </w:cols>
          <w:pgMar w:left="320" w:top="123" w:right="619" w:bottom="1440" w:gutter="0" w:footer="0" w:header="0"/>
        </w:sectPr>
      </w:pPr>
    </w:p>
    <w:bookmarkStart w:id="6" w:name="page7"/>
    <w:bookmarkEnd w:id="6"/>
    <w:p>
      <w:pPr>
        <w:ind w:left="2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Three and Nine Months Ended September 30, 2020 and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13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3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60" w:type="dxa"/>
            <w:vAlign w:val="bottom"/>
          </w:tcPr>
          <w:p>
            <w:pPr>
              <w:spacing w:after="0"/>
              <w:rPr>
                <w:sz w:val="8"/>
                <w:szCs w:val="8"/>
                <w:color w:val="auto"/>
              </w:rPr>
            </w:pPr>
          </w:p>
        </w:tc>
        <w:tc>
          <w:tcPr>
            <w:tcW w:w="600" w:type="dxa"/>
            <w:vAlign w:val="bottom"/>
            <w:gridSpan w:val="2"/>
          </w:tcPr>
          <w:p>
            <w:pPr>
              <w:jc w:val="center"/>
              <w:ind w:right="140"/>
              <w:spacing w:after="0" w:line="10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8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80" w:type="dxa"/>
            <w:vAlign w:val="bottom"/>
          </w:tcPr>
          <w:p>
            <w:pPr>
              <w:spacing w:after="0"/>
              <w:rPr>
                <w:sz w:val="8"/>
                <w:szCs w:val="8"/>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8"/>
                <w:szCs w:val="8"/>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center"/>
              <w:ind w:right="160"/>
              <w:spacing w:after="0" w:line="100"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tcPr>
          <w:p>
            <w:pPr>
              <w:jc w:val="center"/>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Earnings</w:t>
            </w:r>
          </w:p>
        </w:tc>
        <w:tc>
          <w:tcPr>
            <w:tcW w:w="80" w:type="dxa"/>
            <w:vAlign w:val="bottom"/>
          </w:tcPr>
          <w:p>
            <w:pPr>
              <w:spacing w:after="0"/>
              <w:rPr>
                <w:sz w:val="5"/>
                <w:szCs w:val="5"/>
                <w:color w:val="auto"/>
              </w:rPr>
            </w:pPr>
          </w:p>
        </w:tc>
        <w:tc>
          <w:tcPr>
            <w:tcW w:w="700" w:type="dxa"/>
            <w:vAlign w:val="bottom"/>
            <w:gridSpan w:val="2"/>
          </w:tcPr>
          <w:p>
            <w:pPr>
              <w:jc w:val="center"/>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Other</w:t>
            </w:r>
          </w:p>
        </w:tc>
        <w:tc>
          <w:tcPr>
            <w:tcW w:w="700" w:type="dxa"/>
            <w:vAlign w:val="bottom"/>
            <w:gridSpan w:val="3"/>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Financial Inc.</w:t>
            </w:r>
          </w:p>
        </w:tc>
        <w:tc>
          <w:tcPr>
            <w:tcW w:w="80" w:type="dxa"/>
            <w:vAlign w:val="bottom"/>
          </w:tcPr>
          <w:p>
            <w:pPr>
              <w:spacing w:after="0"/>
              <w:rPr>
                <w:sz w:val="5"/>
                <w:szCs w:val="5"/>
                <w:color w:val="auto"/>
              </w:rPr>
            </w:pPr>
          </w:p>
        </w:tc>
        <w:tc>
          <w:tcPr>
            <w:tcW w:w="580" w:type="dxa"/>
            <w:vAlign w:val="bottom"/>
            <w:gridSpan w:val="2"/>
          </w:tcPr>
          <w:p>
            <w:pPr>
              <w:jc w:val="center"/>
              <w:ind w:right="180"/>
              <w:spacing w:after="0" w:line="68" w:lineRule="exact"/>
              <w:rPr>
                <w:sz w:val="20"/>
                <w:szCs w:val="20"/>
                <w:color w:val="auto"/>
              </w:rPr>
            </w:pPr>
            <w:r>
              <w:rPr>
                <w:rFonts w:ascii="Times New Roman" w:cs="Times New Roman" w:eastAsia="Times New Roman" w:hAnsi="Times New Roman"/>
                <w:sz w:val="7"/>
                <w:szCs w:val="7"/>
                <w:b w:val="1"/>
                <w:bCs w:val="1"/>
                <w:color w:val="auto"/>
              </w:rPr>
              <w:t>Non-</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5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70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8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00" w:type="dxa"/>
            <w:vAlign w:val="bottom"/>
            <w:gridSpan w:val="3"/>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660" w:type="dxa"/>
            <w:vAlign w:val="bottom"/>
            <w:gridSpan w:val="3"/>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Total Equity</w:t>
            </w:r>
          </w:p>
        </w:tc>
        <w:tc>
          <w:tcPr>
            <w:tcW w:w="0" w:type="dxa"/>
            <w:vAlign w:val="bottom"/>
          </w:tcPr>
          <w:p>
            <w:pPr>
              <w:spacing w:after="0"/>
              <w:rPr>
                <w:sz w:val="1"/>
                <w:szCs w:val="1"/>
                <w:color w:val="auto"/>
              </w:rPr>
            </w:pPr>
          </w:p>
        </w:tc>
      </w:tr>
      <w:tr>
        <w:trPr>
          <w:trHeight w:val="142"/>
        </w:trPr>
        <w:tc>
          <w:tcPr>
            <w:tcW w:w="1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4"/>
              </w:rPr>
              <w:t>Deficit)</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December 31, 2019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120,435,912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12,887,178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1,077,398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(90,374)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931,374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297,562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99"/>
              </w:rPr>
              <w:t>1,228,936</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1,854,961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21,357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21,357</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(642,869)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(9,801)</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213,129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3,206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3,206</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Warrants issued</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11,486</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221,069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221,069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167,169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388,238</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Foreign exchange translation adjustment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(4,512)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(10,396)</w:t>
            </w: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Net change in unrealized cash flow</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(31,468)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(31,468)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(24,134)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(55,602)</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hedges gains (losses)</w:t>
            </w: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20" w:type="dxa"/>
            <w:vAlign w:val="bottom"/>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(19,165)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(19,165)</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(29,602)</w:t>
            </w:r>
          </w:p>
        </w:tc>
        <w:tc>
          <w:tcPr>
            <w:tcW w:w="0" w:type="dxa"/>
            <w:vAlign w:val="bottom"/>
          </w:tcPr>
          <w:p>
            <w:pPr>
              <w:spacing w:after="0"/>
              <w:rPr>
                <w:sz w:val="1"/>
                <w:szCs w:val="1"/>
                <w:color w:val="auto"/>
              </w:rPr>
            </w:pPr>
          </w:p>
        </w:tc>
      </w:tr>
      <w:tr>
        <w:trPr>
          <w:trHeight w:val="110"/>
        </w:trPr>
        <w:tc>
          <w:tcPr>
            <w:tcW w:w="1820" w:type="dxa"/>
            <w:vAlign w:val="bottom"/>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Issuance of common stock in connection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724,327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Repurchase of Virtu Financial Units and</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0" w:lineRule="exact"/>
              <w:rPr>
                <w:sz w:val="20"/>
                <w:szCs w:val="20"/>
                <w:color w:val="auto"/>
              </w:rPr>
            </w:pPr>
            <w:r>
              <w:rPr>
                <w:rFonts w:ascii="Times New Roman" w:cs="Times New Roman" w:eastAsia="Times New Roman" w:hAnsi="Times New Roman"/>
                <w:sz w:val="10"/>
                <w:szCs w:val="10"/>
                <w:color w:val="auto"/>
              </w:rPr>
              <w:t>corresponding number of Class C</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(724,327)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1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March 31, 2020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122,585,460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12,162,851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1,113,447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91,292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(37,999)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1,111,737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416,920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99"/>
              </w:rPr>
              <w:t>1,528,657</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7,839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7,839</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404,794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7,691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7,691</w:t>
            </w: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income (loss)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199,142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199,142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136,143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335,285</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Foreign exchange translation adjustment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3,674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6,444</w:t>
            </w:r>
          </w:p>
        </w:tc>
        <w:tc>
          <w:tcPr>
            <w:tcW w:w="0" w:type="dxa"/>
            <w:vAlign w:val="bottom"/>
          </w:tcPr>
          <w:p>
            <w:pPr>
              <w:spacing w:after="0"/>
              <w:rPr>
                <w:sz w:val="1"/>
                <w:szCs w:val="1"/>
                <w:color w:val="auto"/>
              </w:rPr>
            </w:pPr>
          </w:p>
        </w:tc>
      </w:tr>
      <w:tr>
        <w:trPr>
          <w:trHeight w:val="110"/>
        </w:trPr>
        <w:tc>
          <w:tcPr>
            <w:tcW w:w="1820" w:type="dxa"/>
            <w:vAlign w:val="bottom"/>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Net change in unrealized cash flow</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(3,895)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(9,137)</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hedges gains (losses)</w:t>
            </w: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(145,211)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(145,211)</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(30,201)</w:t>
            </w: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Issuance of common stock in connection</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1,635,912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20" w:type="dxa"/>
            <w:vAlign w:val="bottom"/>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Repurchase of Virtu Financial Units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820" w:type="dxa"/>
            <w:vAlign w:val="bottom"/>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corresponding number of Class C</w:t>
            </w: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(1,635,912)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5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20"/>
                <w:szCs w:val="20"/>
                <w:color w:val="auto"/>
              </w:rPr>
            </w:pPr>
            <w:r>
              <w:rPr>
                <w:rFonts w:ascii="Times New Roman" w:cs="Times New Roman" w:eastAsia="Times New Roman" w:hAnsi="Times New Roman"/>
                <w:sz w:val="10"/>
                <w:szCs w:val="10"/>
                <w:color w:val="auto"/>
              </w:rPr>
              <w:t>Balance at June 30, 2020</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124,654,210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10,526,939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(55,005)</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1,128,977</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259,873</w:t>
            </w:r>
          </w:p>
        </w:tc>
        <w:tc>
          <w:tcPr>
            <w:tcW w:w="8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(39,567)</w:t>
            </w:r>
          </w:p>
        </w:tc>
        <w:tc>
          <w:tcPr>
            <w:tcW w:w="80" w:type="dxa"/>
            <w:vAlign w:val="bottom"/>
          </w:tcPr>
          <w:p>
            <w:pPr>
              <w:spacing w:after="0"/>
              <w:rPr>
                <w:sz w:val="11"/>
                <w:szCs w:val="11"/>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1,294,280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406,727</w:t>
            </w:r>
          </w:p>
        </w:tc>
        <w:tc>
          <w:tcPr>
            <w:tcW w:w="8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99"/>
              </w:rPr>
              <w:t>1,701,007</w:t>
            </w:r>
          </w:p>
        </w:tc>
        <w:tc>
          <w:tcPr>
            <w:tcW w:w="0" w:type="dxa"/>
            <w:vAlign w:val="bottom"/>
          </w:tcPr>
          <w:p>
            <w:pPr>
              <w:spacing w:after="0"/>
              <w:rPr>
                <w:sz w:val="1"/>
                <w:szCs w:val="1"/>
                <w:color w:val="auto"/>
              </w:rPr>
            </w:pPr>
          </w:p>
        </w:tc>
      </w:tr>
      <w:tr>
        <w:trPr>
          <w:trHeight w:val="172"/>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234,981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10,568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10,568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10,568</w:t>
            </w:r>
          </w:p>
        </w:tc>
        <w:tc>
          <w:tcPr>
            <w:tcW w:w="0" w:type="dxa"/>
            <w:vAlign w:val="bottom"/>
          </w:tcPr>
          <w:p>
            <w:pPr>
              <w:spacing w:after="0"/>
              <w:rPr>
                <w:sz w:val="1"/>
                <w:szCs w:val="1"/>
                <w:color w:val="auto"/>
              </w:rPr>
            </w:pPr>
          </w:p>
        </w:tc>
      </w:tr>
      <w:tr>
        <w:trPr>
          <w:trHeight w:val="156"/>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(79,570)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(2,418)</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3,604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3,604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3,604</w:t>
            </w:r>
          </w:p>
        </w:tc>
        <w:tc>
          <w:tcPr>
            <w:tcW w:w="0" w:type="dxa"/>
            <w:vAlign w:val="bottom"/>
          </w:tcPr>
          <w:p>
            <w:pPr>
              <w:spacing w:after="0"/>
              <w:rPr>
                <w:sz w:val="1"/>
                <w:szCs w:val="1"/>
                <w:color w:val="auto"/>
              </w:rPr>
            </w:pPr>
          </w:p>
        </w:tc>
      </w:tr>
      <w:tr>
        <w:trPr>
          <w:trHeight w:val="156"/>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116,709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116,709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82,999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199,708</w:t>
            </w:r>
          </w:p>
        </w:tc>
        <w:tc>
          <w:tcPr>
            <w:tcW w:w="0" w:type="dxa"/>
            <w:vAlign w:val="bottom"/>
          </w:tcPr>
          <w:p>
            <w:pPr>
              <w:spacing w:after="0"/>
              <w:rPr>
                <w:sz w:val="1"/>
                <w:szCs w:val="1"/>
                <w:color w:val="auto"/>
              </w:rPr>
            </w:pPr>
          </w:p>
        </w:tc>
      </w:tr>
      <w:tr>
        <w:trPr>
          <w:trHeight w:val="16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Foreign exchange translation adjustment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4,213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4,213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3,599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7,812</w:t>
            </w: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Net change in unrealized cash flow</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8"/>
                <w:szCs w:val="8"/>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8"/>
                <w:szCs w:val="8"/>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8"/>
                <w:szCs w:val="8"/>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8"/>
                <w:szCs w:val="8"/>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8"/>
                <w:szCs w:val="8"/>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163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8"/>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r>
        <w:trPr>
          <w:trHeight w:val="141"/>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hedges gains (losses)</w:t>
            </w: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20" w:type="dxa"/>
            <w:vAlign w:val="bottom"/>
            <w:shd w:val="clear" w:color="auto" w:fill="CCEEFF"/>
          </w:tcPr>
          <w:p>
            <w:pPr>
              <w:ind w:left="100"/>
              <w:spacing w:after="0" w:line="109"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(83,441)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(83,441)</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(30,347)</w:t>
            </w:r>
          </w:p>
        </w:tc>
        <w:tc>
          <w:tcPr>
            <w:tcW w:w="0" w:type="dxa"/>
            <w:vAlign w:val="bottom"/>
          </w:tcPr>
          <w:p>
            <w:pPr>
              <w:spacing w:after="0"/>
              <w:rPr>
                <w:sz w:val="1"/>
                <w:szCs w:val="1"/>
                <w:color w:val="auto"/>
              </w:rPr>
            </w:pPr>
          </w:p>
        </w:tc>
      </w:tr>
      <w:tr>
        <w:trPr>
          <w:trHeight w:val="107"/>
        </w:trPr>
        <w:tc>
          <w:tcPr>
            <w:tcW w:w="182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Issuance of common stock in connection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76200</wp:posOffset>
            </wp:positionV>
            <wp:extent cx="71431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020"/>
          </w:cols>
          <w:pgMar w:left="440" w:top="123" w:right="43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11020" w:type="dxa"/>
            <w:vAlign w:val="bottom"/>
            <w:gridSpan w:val="66"/>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0" w:type="dxa"/>
            <w:vAlign w:val="bottom"/>
          </w:tcPr>
          <w:p>
            <w:pPr>
              <w:spacing w:after="0"/>
              <w:rPr>
                <w:sz w:val="1"/>
                <w:szCs w:val="1"/>
                <w:color w:val="auto"/>
              </w:rPr>
            </w:pPr>
          </w:p>
        </w:tc>
      </w:tr>
      <w:tr>
        <w:trPr>
          <w:trHeight w:val="100"/>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8"/>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60" w:type="dxa"/>
            <w:vAlign w:val="bottom"/>
          </w:tcPr>
          <w:p>
            <w:pPr>
              <w:spacing w:after="0"/>
              <w:rPr>
                <w:sz w:val="8"/>
                <w:szCs w:val="8"/>
                <w:color w:val="auto"/>
              </w:rPr>
            </w:pPr>
          </w:p>
        </w:tc>
        <w:tc>
          <w:tcPr>
            <w:tcW w:w="1220" w:type="dxa"/>
            <w:vAlign w:val="bottom"/>
            <w:gridSpan w:val="8"/>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60" w:type="dxa"/>
            <w:vAlign w:val="bottom"/>
          </w:tcPr>
          <w:p>
            <w:pPr>
              <w:spacing w:after="0"/>
              <w:rPr>
                <w:sz w:val="8"/>
                <w:szCs w:val="8"/>
                <w:color w:val="auto"/>
              </w:rPr>
            </w:pPr>
          </w:p>
        </w:tc>
        <w:tc>
          <w:tcPr>
            <w:tcW w:w="1220" w:type="dxa"/>
            <w:vAlign w:val="bottom"/>
            <w:gridSpan w:val="8"/>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7"/>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183"/>
              <w:spacing w:after="0" w:line="10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40" w:type="dxa"/>
            <w:vAlign w:val="bottom"/>
          </w:tcPr>
          <w:p>
            <w:pPr>
              <w:spacing w:after="0"/>
              <w:rPr>
                <w:sz w:val="8"/>
                <w:szCs w:val="8"/>
                <w:color w:val="auto"/>
              </w:rPr>
            </w:pPr>
          </w:p>
        </w:tc>
        <w:tc>
          <w:tcPr>
            <w:tcW w:w="74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8"/>
                <w:szCs w:val="8"/>
                <w:color w:val="auto"/>
              </w:rPr>
            </w:pPr>
          </w:p>
        </w:tc>
        <w:tc>
          <w:tcPr>
            <w:tcW w:w="6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Total Virtu</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183"/>
              <w:spacing w:after="0" w:line="100"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1700" w:type="dxa"/>
            <w:vAlign w:val="bottom"/>
          </w:tcPr>
          <w:p>
            <w:pPr>
              <w:spacing w:after="0"/>
              <w:rPr>
                <w:sz w:val="4"/>
                <w:szCs w:val="4"/>
                <w:color w:val="auto"/>
              </w:rPr>
            </w:pPr>
          </w:p>
        </w:tc>
        <w:tc>
          <w:tcPr>
            <w:tcW w:w="1280" w:type="dxa"/>
            <w:vAlign w:val="bottom"/>
            <w:tcBorders>
              <w:bottom w:val="single" w:sz="8" w:color="auto"/>
            </w:tcBorders>
            <w:gridSpan w:val="8"/>
          </w:tcPr>
          <w:p>
            <w:pPr>
              <w:spacing w:after="0"/>
              <w:rPr>
                <w:sz w:val="4"/>
                <w:szCs w:val="4"/>
                <w:color w:val="auto"/>
              </w:rPr>
            </w:pPr>
          </w:p>
        </w:tc>
        <w:tc>
          <w:tcPr>
            <w:tcW w:w="80" w:type="dxa"/>
            <w:vAlign w:val="bottom"/>
            <w:gridSpan w:val="2"/>
          </w:tcPr>
          <w:p>
            <w:pPr>
              <w:spacing w:after="0"/>
              <w:rPr>
                <w:sz w:val="4"/>
                <w:szCs w:val="4"/>
                <w:color w:val="auto"/>
              </w:rPr>
            </w:pPr>
          </w:p>
        </w:tc>
        <w:tc>
          <w:tcPr>
            <w:tcW w:w="1200" w:type="dxa"/>
            <w:vAlign w:val="bottom"/>
            <w:tcBorders>
              <w:bottom w:val="single" w:sz="8" w:color="auto"/>
            </w:tcBorders>
            <w:gridSpan w:val="7"/>
          </w:tcPr>
          <w:p>
            <w:pPr>
              <w:spacing w:after="0"/>
              <w:rPr>
                <w:sz w:val="4"/>
                <w:szCs w:val="4"/>
                <w:color w:val="auto"/>
              </w:rPr>
            </w:pPr>
          </w:p>
        </w:tc>
        <w:tc>
          <w:tcPr>
            <w:tcW w:w="80" w:type="dxa"/>
            <w:vAlign w:val="bottom"/>
            <w:gridSpan w:val="2"/>
          </w:tcPr>
          <w:p>
            <w:pPr>
              <w:spacing w:after="0"/>
              <w:rPr>
                <w:sz w:val="4"/>
                <w:szCs w:val="4"/>
                <w:color w:val="auto"/>
              </w:rPr>
            </w:pPr>
          </w:p>
        </w:tc>
        <w:tc>
          <w:tcPr>
            <w:tcW w:w="1200" w:type="dxa"/>
            <w:vAlign w:val="bottom"/>
            <w:tcBorders>
              <w:bottom w:val="single" w:sz="8" w:color="auto"/>
            </w:tcBorders>
            <w:gridSpan w:val="8"/>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auto"/>
            </w:tcBorders>
            <w:gridSpan w:val="8"/>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900" w:type="dxa"/>
            <w:vAlign w:val="bottom"/>
            <w:gridSpan w:val="9"/>
          </w:tcPr>
          <w:p>
            <w:pPr>
              <w:spacing w:after="0"/>
              <w:rPr>
                <w:sz w:val="20"/>
                <w:szCs w:val="20"/>
                <w:color w:val="auto"/>
              </w:rPr>
            </w:pPr>
            <w:r>
              <w:rPr>
                <w:rFonts w:ascii="Times New Roman" w:cs="Times New Roman" w:eastAsia="Times New Roman" w:hAnsi="Times New Roman"/>
                <w:sz w:val="5"/>
                <w:szCs w:val="5"/>
                <w:b w:val="1"/>
                <w:bCs w:val="1"/>
                <w:color w:val="auto"/>
              </w:rPr>
              <w:t>Earnings</w:t>
            </w:r>
          </w:p>
        </w:tc>
        <w:tc>
          <w:tcPr>
            <w:tcW w:w="660" w:type="dxa"/>
            <w:vAlign w:val="bottom"/>
            <w:gridSpan w:val="3"/>
          </w:tcPr>
          <w:p>
            <w:pPr>
              <w:jc w:val="center"/>
              <w:ind w:right="200"/>
              <w:spacing w:after="0" w:line="50" w:lineRule="exact"/>
              <w:rPr>
                <w:sz w:val="20"/>
                <w:szCs w:val="20"/>
                <w:color w:val="auto"/>
              </w:rPr>
            </w:pPr>
            <w:r>
              <w:rPr>
                <w:rFonts w:ascii="Times New Roman" w:cs="Times New Roman" w:eastAsia="Times New Roman" w:hAnsi="Times New Roman"/>
                <w:sz w:val="5"/>
                <w:szCs w:val="5"/>
                <w:b w:val="1"/>
                <w:bCs w:val="1"/>
                <w:color w:val="auto"/>
              </w:rPr>
              <w:t>Other</w:t>
            </w:r>
          </w:p>
        </w:tc>
        <w:tc>
          <w:tcPr>
            <w:tcW w:w="820" w:type="dxa"/>
            <w:vAlign w:val="bottom"/>
            <w:gridSpan w:val="7"/>
          </w:tcPr>
          <w:p>
            <w:pPr>
              <w:jc w:val="center"/>
              <w:ind w:right="150"/>
              <w:spacing w:after="0" w:line="50" w:lineRule="exact"/>
              <w:rPr>
                <w:sz w:val="20"/>
                <w:szCs w:val="20"/>
                <w:color w:val="auto"/>
              </w:rPr>
            </w:pPr>
            <w:r>
              <w:rPr>
                <w:rFonts w:ascii="Times New Roman" w:cs="Times New Roman" w:eastAsia="Times New Roman" w:hAnsi="Times New Roman"/>
                <w:sz w:val="5"/>
                <w:szCs w:val="5"/>
                <w:b w:val="1"/>
                <w:bCs w:val="1"/>
                <w:color w:val="auto"/>
              </w:rPr>
              <w:t>Financial Inc.</w:t>
            </w:r>
          </w:p>
        </w:tc>
        <w:tc>
          <w:tcPr>
            <w:tcW w:w="1160" w:type="dxa"/>
            <w:vAlign w:val="bottom"/>
            <w:gridSpan w:val="6"/>
          </w:tcPr>
          <w:p>
            <w:pPr>
              <w:jc w:val="center"/>
              <w:ind w:right="770"/>
              <w:spacing w:after="0" w:line="50" w:lineRule="exact"/>
              <w:rPr>
                <w:sz w:val="20"/>
                <w:szCs w:val="20"/>
                <w:color w:val="auto"/>
              </w:rPr>
            </w:pPr>
            <w:r>
              <w:rPr>
                <w:rFonts w:ascii="Times New Roman" w:cs="Times New Roman" w:eastAsia="Times New Roman" w:hAnsi="Times New Roman"/>
                <w:sz w:val="5"/>
                <w:szCs w:val="5"/>
                <w:b w:val="1"/>
                <w:bCs w:val="1"/>
                <w:color w:val="auto"/>
              </w:rPr>
              <w:t>Non-</w:t>
            </w:r>
          </w:p>
        </w:tc>
        <w:tc>
          <w:tcPr>
            <w:tcW w:w="0" w:type="dxa"/>
            <w:vAlign w:val="bottom"/>
          </w:tcPr>
          <w:p>
            <w:pPr>
              <w:spacing w:after="0"/>
              <w:rPr>
                <w:sz w:val="1"/>
                <w:szCs w:val="1"/>
                <w:color w:val="auto"/>
              </w:rPr>
            </w:pPr>
          </w:p>
        </w:tc>
      </w:tr>
      <w:tr>
        <w:trPr>
          <w:trHeight w:val="117"/>
        </w:trPr>
        <w:tc>
          <w:tcPr>
            <w:tcW w:w="1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100" w:type="dxa"/>
            <w:vAlign w:val="bottom"/>
          </w:tcPr>
          <w:p>
            <w:pPr>
              <w:spacing w:after="0"/>
              <w:rPr>
                <w:sz w:val="10"/>
                <w:szCs w:val="10"/>
                <w:color w:val="auto"/>
              </w:rPr>
            </w:pP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0"/>
                <w:szCs w:val="10"/>
                <w:color w:val="auto"/>
              </w:rPr>
            </w:pPr>
          </w:p>
        </w:tc>
        <w:tc>
          <w:tcPr>
            <w:tcW w:w="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0"/>
                <w:szCs w:val="10"/>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Pr>
          <w:p>
            <w:pPr>
              <w:spacing w:after="0"/>
              <w:rPr>
                <w:sz w:val="10"/>
                <w:szCs w:val="10"/>
                <w:color w:val="auto"/>
              </w:rPr>
            </w:pPr>
          </w:p>
        </w:tc>
        <w:tc>
          <w:tcPr>
            <w:tcW w:w="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0" w:type="dxa"/>
            <w:vAlign w:val="bottom"/>
          </w:tcPr>
          <w:p>
            <w:pPr>
              <w:spacing w:after="0"/>
              <w:rPr>
                <w:sz w:val="10"/>
                <w:szCs w:val="10"/>
                <w:color w:val="auto"/>
              </w:rPr>
            </w:pPr>
          </w:p>
        </w:tc>
        <w:tc>
          <w:tcPr>
            <w:tcW w:w="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58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tcPr>
          <w:p>
            <w:pPr>
              <w:spacing w:after="0"/>
              <w:rPr>
                <w:sz w:val="10"/>
                <w:szCs w:val="10"/>
                <w:color w:val="auto"/>
              </w:rPr>
            </w:pPr>
          </w:p>
        </w:tc>
        <w:tc>
          <w:tcPr>
            <w:tcW w:w="620" w:type="dxa"/>
            <w:vAlign w:val="bottom"/>
            <w:gridSpan w:val="4"/>
            <w:vMerge w:val="restart"/>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70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(Accumulated</w:t>
            </w:r>
          </w:p>
        </w:tc>
        <w:tc>
          <w:tcPr>
            <w:tcW w:w="78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70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Stockholders'</w:t>
            </w:r>
          </w:p>
        </w:tc>
        <w:tc>
          <w:tcPr>
            <w:tcW w:w="40" w:type="dxa"/>
            <w:vAlign w:val="bottom"/>
          </w:tcPr>
          <w:p>
            <w:pPr>
              <w:spacing w:after="0"/>
              <w:rPr>
                <w:sz w:val="10"/>
                <w:szCs w:val="10"/>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4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0" w:type="dxa"/>
            <w:vAlign w:val="bottom"/>
          </w:tcPr>
          <w:p>
            <w:pPr>
              <w:spacing w:after="0"/>
              <w:rPr>
                <w:sz w:val="1"/>
                <w:szCs w:val="1"/>
                <w:color w:val="auto"/>
              </w:rPr>
            </w:pPr>
          </w:p>
        </w:tc>
      </w:tr>
      <w:tr>
        <w:trPr>
          <w:trHeight w:val="142"/>
        </w:trPr>
        <w:tc>
          <w:tcPr>
            <w:tcW w:w="1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40" w:type="dxa"/>
            <w:vAlign w:val="bottom"/>
          </w:tcPr>
          <w:p>
            <w:pPr>
              <w:spacing w:after="0"/>
              <w:rPr>
                <w:sz w:val="12"/>
                <w:szCs w:val="12"/>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860" w:type="dxa"/>
            <w:vAlign w:val="bottom"/>
            <w:gridSpan w:val="38"/>
          </w:tcPr>
          <w:p>
            <w:pPr>
              <w:ind w:left="100"/>
              <w:spacing w:after="0" w:line="88" w:lineRule="exact"/>
              <w:rPr>
                <w:sz w:val="20"/>
                <w:szCs w:val="20"/>
                <w:color w:val="auto"/>
              </w:rPr>
            </w:pPr>
            <w:r>
              <w:rPr>
                <w:rFonts w:ascii="Times New Roman" w:cs="Times New Roman" w:eastAsia="Times New Roman" w:hAnsi="Times New Roman"/>
                <w:sz w:val="10"/>
                <w:szCs w:val="10"/>
                <w:color w:val="auto"/>
              </w:rPr>
              <w:t>Repurchase of Virtu Financial Units</w:t>
            </w:r>
          </w:p>
        </w:tc>
        <w:tc>
          <w:tcPr>
            <w:tcW w:w="620" w:type="dxa"/>
            <w:vAlign w:val="bottom"/>
            <w:tcBorders>
              <w:top w:val="single" w:sz="8" w:color="auto"/>
            </w:tcBorders>
            <w:gridSpan w:val="3"/>
          </w:tcPr>
          <w:p>
            <w:pPr>
              <w:spacing w:after="0"/>
              <w:rPr>
                <w:sz w:val="7"/>
                <w:szCs w:val="7"/>
                <w:color w:val="auto"/>
              </w:rPr>
            </w:pPr>
          </w:p>
        </w:tc>
        <w:tc>
          <w:tcPr>
            <w:tcW w:w="3540" w:type="dxa"/>
            <w:vAlign w:val="bottom"/>
            <w:gridSpan w:val="25"/>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1020" w:type="dxa"/>
            <w:vAlign w:val="bottom"/>
            <w:gridSpan w:val="66"/>
          </w:tcPr>
          <w:p>
            <w:pPr>
              <w:ind w:left="100"/>
              <w:spacing w:after="0" w:line="100" w:lineRule="exact"/>
              <w:rPr>
                <w:sz w:val="20"/>
                <w:szCs w:val="20"/>
                <w:color w:val="auto"/>
              </w:rPr>
            </w:pPr>
            <w:r>
              <w:rPr>
                <w:rFonts w:ascii="Times New Roman" w:cs="Times New Roman" w:eastAsia="Times New Roman" w:hAnsi="Times New Roman"/>
                <w:sz w:val="10"/>
                <w:szCs w:val="10"/>
                <w:color w:val="auto"/>
              </w:rPr>
              <w:t>and corresponding number of Class C</w:t>
            </w:r>
          </w:p>
        </w:tc>
        <w:tc>
          <w:tcPr>
            <w:tcW w:w="0" w:type="dxa"/>
            <w:vAlign w:val="bottom"/>
          </w:tcPr>
          <w:p>
            <w:pPr>
              <w:spacing w:after="0"/>
              <w:rPr>
                <w:sz w:val="1"/>
                <w:szCs w:val="1"/>
                <w:color w:val="auto"/>
              </w:rPr>
            </w:pPr>
          </w:p>
        </w:tc>
      </w:tr>
      <w:tr>
        <w:trPr>
          <w:trHeight w:val="100"/>
        </w:trPr>
        <w:tc>
          <w:tcPr>
            <w:tcW w:w="1720" w:type="dxa"/>
            <w:vAlign w:val="bottom"/>
            <w:gridSpan w:val="2"/>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100" w:type="dxa"/>
            <w:vAlign w:val="bottom"/>
          </w:tcPr>
          <w:p>
            <w:pPr>
              <w:spacing w:after="0"/>
              <w:rPr>
                <w:sz w:val="8"/>
                <w:szCs w:val="8"/>
                <w:color w:val="auto"/>
              </w:rPr>
            </w:pP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auto"/>
                <w:w w:val="97"/>
              </w:rPr>
              <w:t>(60,000)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right"/>
              <w:ind w:right="1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vMerge w:val="restart"/>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1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12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40" w:type="dxa"/>
            <w:vAlign w:val="bottom"/>
            <w:tcBorders>
              <w:bottom w:val="single" w:sz="8" w:color="auto"/>
            </w:tcBorders>
            <w:gridSpan w:val="3"/>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gridSpan w:val="2"/>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200" w:type="dxa"/>
            <w:vAlign w:val="bottom"/>
            <w:tcBorders>
              <w:bottom w:val="single" w:sz="8" w:color="auto"/>
            </w:tcBorders>
            <w:gridSpan w:val="3"/>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bottom w:val="single" w:sz="8" w:color="auto"/>
            </w:tcBorders>
            <w:gridSpan w:val="2"/>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gridSpan w:val="2"/>
            <w:vMerge w:val="continue"/>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September 30, 2020</w:t>
            </w:r>
          </w:p>
        </w:tc>
        <w:tc>
          <w:tcPr>
            <w:tcW w:w="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w w:val="93"/>
              </w:rPr>
              <w:t>125,059,325</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10,466,939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60,091,740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(2,178,771)</w:t>
            </w:r>
          </w:p>
        </w:tc>
        <w:tc>
          <w:tcPr>
            <w:tcW w:w="80" w:type="dxa"/>
            <w:vAlign w:val="bottom"/>
            <w:shd w:val="clear" w:color="auto" w:fill="CCEEFF"/>
          </w:tcPr>
          <w:p>
            <w:pPr>
              <w:spacing w:after="0"/>
              <w:rPr>
                <w:sz w:val="15"/>
                <w:szCs w:val="15"/>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 (55,005)</w:t>
            </w:r>
          </w:p>
        </w:tc>
        <w:tc>
          <w:tcPr>
            <w:tcW w:w="8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w w:val="94"/>
              </w:rPr>
              <w:t>$ 1,143,149</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343,817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(35,203)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w w:val="94"/>
              </w:rPr>
              <w:t>$ 1,396,760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2"/>
                <w:szCs w:val="12"/>
                <w:color w:val="auto"/>
                <w:w w:val="97"/>
              </w:rPr>
              <w:t>410,047</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w w:val="94"/>
              </w:rPr>
              <w:t>$ 1,806,807</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1020" w:type="dxa"/>
            <w:vAlign w:val="bottom"/>
            <w:gridSpan w:val="66"/>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0" w:type="dxa"/>
            <w:vAlign w:val="bottom"/>
          </w:tcPr>
          <w:p>
            <w:pPr>
              <w:spacing w:after="0"/>
              <w:rPr>
                <w:sz w:val="1"/>
                <w:szCs w:val="1"/>
                <w:color w:val="auto"/>
              </w:rPr>
            </w:pPr>
          </w:p>
        </w:tc>
      </w:tr>
      <w:tr>
        <w:trPr>
          <w:trHeight w:val="100"/>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60" w:type="dxa"/>
            <w:vAlign w:val="bottom"/>
          </w:tcPr>
          <w:p>
            <w:pPr>
              <w:spacing w:after="0"/>
              <w:rPr>
                <w:sz w:val="8"/>
                <w:szCs w:val="8"/>
                <w:color w:val="auto"/>
              </w:rPr>
            </w:pPr>
          </w:p>
        </w:tc>
        <w:tc>
          <w:tcPr>
            <w:tcW w:w="1220" w:type="dxa"/>
            <w:vAlign w:val="bottom"/>
            <w:gridSpan w:val="8"/>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60" w:type="dxa"/>
            <w:vAlign w:val="bottom"/>
          </w:tcPr>
          <w:p>
            <w:pPr>
              <w:spacing w:after="0"/>
              <w:rPr>
                <w:sz w:val="8"/>
                <w:szCs w:val="8"/>
                <w:color w:val="auto"/>
              </w:rPr>
            </w:pPr>
          </w:p>
        </w:tc>
        <w:tc>
          <w:tcPr>
            <w:tcW w:w="1220" w:type="dxa"/>
            <w:vAlign w:val="bottom"/>
            <w:gridSpan w:val="8"/>
            <w:vMerge w:val="restart"/>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7"/>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63"/>
              <w:spacing w:after="0" w:line="10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8"/>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tcPr>
          <w:p>
            <w:pPr>
              <w:jc w:val="center"/>
              <w:ind w:right="83"/>
              <w:spacing w:after="0" w:line="100" w:lineRule="exact"/>
              <w:rPr>
                <w:sz w:val="20"/>
                <w:szCs w:val="20"/>
                <w:color w:val="auto"/>
              </w:rPr>
            </w:pPr>
            <w:r>
              <w:rPr>
                <w:rFonts w:ascii="Times New Roman" w:cs="Times New Roman" w:eastAsia="Times New Roman" w:hAnsi="Times New Roman"/>
                <w:sz w:val="10"/>
                <w:szCs w:val="10"/>
                <w:b w:val="1"/>
                <w:bCs w:val="1"/>
                <w:color w:val="auto"/>
              </w:rPr>
              <w:t>Capital</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100" w:type="dxa"/>
            <w:vAlign w:val="bottom"/>
          </w:tcPr>
          <w:p>
            <w:pPr>
              <w:spacing w:after="0"/>
              <w:rPr>
                <w:sz w:val="5"/>
                <w:szCs w:val="5"/>
                <w:color w:val="auto"/>
              </w:rPr>
            </w:pPr>
          </w:p>
        </w:tc>
        <w:tc>
          <w:tcPr>
            <w:tcW w:w="1220" w:type="dxa"/>
            <w:vAlign w:val="bottom"/>
            <w:tcBorders>
              <w:bottom w:val="single" w:sz="8" w:color="auto"/>
            </w:tcBorders>
            <w:gridSpan w:val="7"/>
          </w:tcPr>
          <w:p>
            <w:pPr>
              <w:spacing w:after="0"/>
              <w:rPr>
                <w:sz w:val="5"/>
                <w:szCs w:val="5"/>
                <w:color w:val="auto"/>
              </w:rPr>
            </w:pPr>
          </w:p>
        </w:tc>
        <w:tc>
          <w:tcPr>
            <w:tcW w:w="80" w:type="dxa"/>
            <w:vAlign w:val="bottom"/>
            <w:gridSpan w:val="2"/>
          </w:tcPr>
          <w:p>
            <w:pPr>
              <w:spacing w:after="0"/>
              <w:rPr>
                <w:sz w:val="5"/>
                <w:szCs w:val="5"/>
                <w:color w:val="auto"/>
              </w:rPr>
            </w:pPr>
          </w:p>
        </w:tc>
        <w:tc>
          <w:tcPr>
            <w:tcW w:w="1200" w:type="dxa"/>
            <w:vAlign w:val="bottom"/>
            <w:tcBorders>
              <w:bottom w:val="single" w:sz="8" w:color="auto"/>
            </w:tcBorders>
            <w:gridSpan w:val="7"/>
          </w:tcPr>
          <w:p>
            <w:pPr>
              <w:spacing w:after="0"/>
              <w:rPr>
                <w:sz w:val="5"/>
                <w:szCs w:val="5"/>
                <w:color w:val="auto"/>
              </w:rPr>
            </w:pPr>
          </w:p>
        </w:tc>
        <w:tc>
          <w:tcPr>
            <w:tcW w:w="80" w:type="dxa"/>
            <w:vAlign w:val="bottom"/>
            <w:gridSpan w:val="2"/>
          </w:tcPr>
          <w:p>
            <w:pPr>
              <w:spacing w:after="0"/>
              <w:rPr>
                <w:sz w:val="5"/>
                <w:szCs w:val="5"/>
                <w:color w:val="auto"/>
              </w:rPr>
            </w:pPr>
          </w:p>
        </w:tc>
        <w:tc>
          <w:tcPr>
            <w:tcW w:w="1240" w:type="dxa"/>
            <w:vAlign w:val="bottom"/>
            <w:tcBorders>
              <w:bottom w:val="single" w:sz="8" w:color="auto"/>
            </w:tcBorders>
            <w:gridSpan w:val="9"/>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Borders>
              <w:bottom w:val="single" w:sz="8" w:color="auto"/>
            </w:tcBorders>
            <w:gridSpan w:val="7"/>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gridSpan w:val="3"/>
          </w:tcPr>
          <w:p>
            <w:pPr>
              <w:spacing w:after="0"/>
              <w:rPr>
                <w:sz w:val="5"/>
                <w:szCs w:val="5"/>
                <w:color w:val="auto"/>
              </w:rPr>
            </w:pPr>
          </w:p>
        </w:tc>
        <w:tc>
          <w:tcPr>
            <w:tcW w:w="860" w:type="dxa"/>
            <w:vAlign w:val="bottom"/>
            <w:gridSpan w:val="8"/>
          </w:tcPr>
          <w:p>
            <w:pPr>
              <w:spacing w:after="0"/>
              <w:rPr>
                <w:sz w:val="20"/>
                <w:szCs w:val="20"/>
                <w:color w:val="auto"/>
              </w:rPr>
            </w:pPr>
            <w:r>
              <w:rPr>
                <w:rFonts w:ascii="Times New Roman" w:cs="Times New Roman" w:eastAsia="Times New Roman" w:hAnsi="Times New Roman"/>
                <w:sz w:val="7"/>
                <w:szCs w:val="7"/>
                <w:b w:val="1"/>
                <w:bCs w:val="1"/>
                <w:color w:val="auto"/>
              </w:rPr>
              <w:t>Earnings</w:t>
            </w:r>
          </w:p>
        </w:tc>
        <w:tc>
          <w:tcPr>
            <w:tcW w:w="700" w:type="dxa"/>
            <w:vAlign w:val="bottom"/>
            <w:gridSpan w:val="4"/>
          </w:tcPr>
          <w:p>
            <w:pPr>
              <w:jc w:val="center"/>
              <w:ind w:right="125"/>
              <w:spacing w:after="0" w:line="68" w:lineRule="exact"/>
              <w:rPr>
                <w:sz w:val="20"/>
                <w:szCs w:val="20"/>
                <w:color w:val="auto"/>
              </w:rPr>
            </w:pPr>
            <w:r>
              <w:rPr>
                <w:rFonts w:ascii="Times New Roman" w:cs="Times New Roman" w:eastAsia="Times New Roman" w:hAnsi="Times New Roman"/>
                <w:sz w:val="7"/>
                <w:szCs w:val="7"/>
                <w:b w:val="1"/>
                <w:bCs w:val="1"/>
                <w:color w:val="auto"/>
              </w:rPr>
              <w:t>Other</w:t>
            </w:r>
          </w:p>
        </w:tc>
        <w:tc>
          <w:tcPr>
            <w:tcW w:w="780" w:type="dxa"/>
            <w:vAlign w:val="bottom"/>
            <w:gridSpan w:val="6"/>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Financial Inc.</w:t>
            </w:r>
          </w:p>
        </w:tc>
        <w:tc>
          <w:tcPr>
            <w:tcW w:w="1160" w:type="dxa"/>
            <w:vAlign w:val="bottom"/>
            <w:gridSpan w:val="6"/>
          </w:tcPr>
          <w:p>
            <w:pPr>
              <w:jc w:val="center"/>
              <w:ind w:right="710"/>
              <w:spacing w:after="0" w:line="68" w:lineRule="exact"/>
              <w:rPr>
                <w:sz w:val="20"/>
                <w:szCs w:val="20"/>
                <w:color w:val="auto"/>
              </w:rPr>
            </w:pPr>
            <w:r>
              <w:rPr>
                <w:rFonts w:ascii="Times New Roman" w:cs="Times New Roman" w:eastAsia="Times New Roman" w:hAnsi="Times New Roman"/>
                <w:sz w:val="7"/>
                <w:szCs w:val="7"/>
                <w:b w:val="1"/>
                <w:bCs w:val="1"/>
                <w:color w:val="auto"/>
              </w:rPr>
              <w:t>Non-</w:t>
            </w:r>
          </w:p>
        </w:tc>
        <w:tc>
          <w:tcPr>
            <w:tcW w:w="0" w:type="dxa"/>
            <w:vAlign w:val="bottom"/>
          </w:tcPr>
          <w:p>
            <w:pPr>
              <w:spacing w:after="0"/>
              <w:rPr>
                <w:sz w:val="1"/>
                <w:szCs w:val="1"/>
                <w:color w:val="auto"/>
              </w:rPr>
            </w:pPr>
          </w:p>
        </w:tc>
      </w:tr>
      <w:tr>
        <w:trPr>
          <w:trHeight w:val="100"/>
        </w:trPr>
        <w:tc>
          <w:tcPr>
            <w:tcW w:w="1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restart"/>
          </w:tcPr>
          <w:p>
            <w:pPr>
              <w:jc w:val="center"/>
              <w:ind w:right="35"/>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8"/>
                <w:szCs w:val="8"/>
                <w:color w:val="auto"/>
              </w:rPr>
            </w:pPr>
          </w:p>
        </w:tc>
        <w:tc>
          <w:tcPr>
            <w:tcW w:w="74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 w:type="dxa"/>
            <w:vAlign w:val="bottom"/>
          </w:tcPr>
          <w:p>
            <w:pPr>
              <w:spacing w:after="0"/>
              <w:rPr>
                <w:sz w:val="8"/>
                <w:szCs w:val="8"/>
                <w:color w:val="auto"/>
              </w:rPr>
            </w:pPr>
          </w:p>
        </w:tc>
        <w:tc>
          <w:tcPr>
            <w:tcW w:w="660" w:type="dxa"/>
            <w:vAlign w:val="bottom"/>
            <w:gridSpan w:val="4"/>
          </w:tcPr>
          <w:p>
            <w:pPr>
              <w:ind w:left="20"/>
              <w:spacing w:after="0" w:line="100"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40" w:type="dxa"/>
            <w:vAlign w:val="bottom"/>
          </w:tcPr>
          <w:p>
            <w:pPr>
              <w:spacing w:after="0"/>
              <w:rPr>
                <w:sz w:val="8"/>
                <w:szCs w:val="8"/>
                <w:color w:val="auto"/>
              </w:rPr>
            </w:pPr>
          </w:p>
        </w:tc>
        <w:tc>
          <w:tcPr>
            <w:tcW w:w="620" w:type="dxa"/>
            <w:vAlign w:val="bottom"/>
            <w:gridSpan w:val="4"/>
          </w:tcPr>
          <w:p>
            <w:pPr>
              <w:jc w:val="center"/>
              <w:ind w:right="60"/>
              <w:spacing w:after="0" w:line="100"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40" w:type="dxa"/>
            <w:vAlign w:val="bottom"/>
          </w:tcPr>
          <w:p>
            <w:pPr>
              <w:spacing w:after="0"/>
              <w:rPr>
                <w:sz w:val="8"/>
                <w:szCs w:val="8"/>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Total Equity</w:t>
            </w:r>
          </w:p>
        </w:tc>
        <w:tc>
          <w:tcPr>
            <w:tcW w:w="0" w:type="dxa"/>
            <w:vAlign w:val="bottom"/>
          </w:tcPr>
          <w:p>
            <w:pPr>
              <w:spacing w:after="0"/>
              <w:rPr>
                <w:sz w:val="1"/>
                <w:szCs w:val="1"/>
                <w:color w:val="auto"/>
              </w:rPr>
            </w:pPr>
          </w:p>
        </w:tc>
      </w:tr>
      <w:tr>
        <w:trPr>
          <w:trHeight w:val="142"/>
        </w:trPr>
        <w:tc>
          <w:tcPr>
            <w:tcW w:w="1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Deficit)</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December 31, 2018</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108,955,048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13,749,886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69,091,740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9"/>
              </w:rPr>
              <w:t>(55,005)</w:t>
            </w:r>
          </w:p>
        </w:tc>
        <w:tc>
          <w:tcPr>
            <w:tcW w:w="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1,010,468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96,513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(82)</w:t>
            </w: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1,051,896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442,803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99"/>
              </w:rPr>
              <w:t>1,494,699</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965,421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30,764</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(325,195)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(8,805)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(8,805)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(8,805)</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 options exercised</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86,224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859</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income (loss)</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(6,673)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(6,673)</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(6,946)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(13,619)</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98"/>
              </w:rPr>
              <w:t>Foreign exchange translation adjustment</w:t>
            </w:r>
          </w:p>
        </w:tc>
        <w:tc>
          <w:tcPr>
            <w:tcW w:w="10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(2,136)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(2,136)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(1,608)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(3,744)</w:t>
            </w:r>
          </w:p>
        </w:tc>
        <w:tc>
          <w:tcPr>
            <w:tcW w:w="0" w:type="dxa"/>
            <w:vAlign w:val="bottom"/>
          </w:tcPr>
          <w:p>
            <w:pPr>
              <w:spacing w:after="0"/>
              <w:rPr>
                <w:sz w:val="1"/>
                <w:szCs w:val="1"/>
                <w:color w:val="auto"/>
              </w:rPr>
            </w:pPr>
          </w:p>
        </w:tc>
      </w:tr>
      <w:tr>
        <w:trPr>
          <w:trHeight w:val="110"/>
        </w:trPr>
        <w:tc>
          <w:tcPr>
            <w:tcW w:w="172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10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(37,196)</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(37,196)</w:t>
            </w:r>
          </w:p>
        </w:tc>
        <w:tc>
          <w:tcPr>
            <w:tcW w:w="0" w:type="dxa"/>
            <w:vAlign w:val="bottom"/>
          </w:tcPr>
          <w:p>
            <w:pPr>
              <w:spacing w:after="0"/>
              <w:rPr>
                <w:sz w:val="1"/>
                <w:szCs w:val="1"/>
                <w:color w:val="auto"/>
              </w:rPr>
            </w:pPr>
          </w:p>
        </w:tc>
      </w:tr>
      <w:tr>
        <w:trPr>
          <w:trHeight w:val="148"/>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100" w:type="dxa"/>
            <w:vAlign w:val="bottom"/>
            <w:shd w:val="clear" w:color="auto" w:fill="CCEEFF"/>
          </w:tcPr>
          <w:p>
            <w:pPr>
              <w:spacing w:after="0"/>
              <w:rPr>
                <w:sz w:val="12"/>
                <w:szCs w:val="12"/>
                <w:color w:val="auto"/>
              </w:rPr>
            </w:pPr>
          </w:p>
        </w:tc>
        <w:tc>
          <w:tcPr>
            <w:tcW w:w="62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10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(26,312)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(26,312)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(26,312)</w:t>
            </w:r>
          </w:p>
        </w:tc>
        <w:tc>
          <w:tcPr>
            <w:tcW w:w="0" w:type="dxa"/>
            <w:vAlign w:val="bottom"/>
          </w:tcPr>
          <w:p>
            <w:pPr>
              <w:spacing w:after="0"/>
              <w:rPr>
                <w:sz w:val="1"/>
                <w:szCs w:val="1"/>
                <w:color w:val="auto"/>
              </w:rPr>
            </w:pPr>
          </w:p>
        </w:tc>
      </w:tr>
      <w:tr>
        <w:trPr>
          <w:trHeight w:val="110"/>
        </w:trPr>
        <w:tc>
          <w:tcPr>
            <w:tcW w:w="172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w w:val="98"/>
              </w:rPr>
              <w:t>Issuance of common stock in connection</w:t>
            </w: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240,000</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6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1020" w:type="dxa"/>
            <w:vAlign w:val="bottom"/>
            <w:gridSpan w:val="66"/>
          </w:tcPr>
          <w:p>
            <w:pPr>
              <w:ind w:left="100"/>
              <w:spacing w:after="0" w:line="101" w:lineRule="exact"/>
              <w:rPr>
                <w:sz w:val="20"/>
                <w:szCs w:val="20"/>
                <w:color w:val="auto"/>
              </w:rPr>
            </w:pPr>
            <w:r>
              <w:rPr>
                <w:rFonts w:ascii="Times New Roman" w:cs="Times New Roman" w:eastAsia="Times New Roman" w:hAnsi="Times New Roman"/>
                <w:sz w:val="10"/>
                <w:szCs w:val="10"/>
                <w:color w:val="auto"/>
                <w:w w:val="98"/>
              </w:rPr>
              <w:t>Repurchase of Virtu Financial Units and</w:t>
            </w:r>
          </w:p>
        </w:tc>
        <w:tc>
          <w:tcPr>
            <w:tcW w:w="0" w:type="dxa"/>
            <w:vAlign w:val="bottom"/>
          </w:tcPr>
          <w:p>
            <w:pPr>
              <w:spacing w:after="0"/>
              <w:rPr>
                <w:sz w:val="1"/>
                <w:szCs w:val="1"/>
                <w:color w:val="auto"/>
              </w:rPr>
            </w:pPr>
          </w:p>
        </w:tc>
      </w:tr>
      <w:tr>
        <w:trPr>
          <w:trHeight w:val="100"/>
        </w:trPr>
        <w:tc>
          <w:tcPr>
            <w:tcW w:w="11020" w:type="dxa"/>
            <w:vAlign w:val="bottom"/>
            <w:gridSpan w:val="66"/>
          </w:tcPr>
          <w:p>
            <w:pPr>
              <w:ind w:left="100"/>
              <w:spacing w:after="0" w:line="100" w:lineRule="exact"/>
              <w:rPr>
                <w:sz w:val="20"/>
                <w:szCs w:val="20"/>
                <w:color w:val="auto"/>
              </w:rPr>
            </w:pPr>
            <w:r>
              <w:rPr>
                <w:rFonts w:ascii="Times New Roman" w:cs="Times New Roman" w:eastAsia="Times New Roman" w:hAnsi="Times New Roman"/>
                <w:sz w:val="10"/>
                <w:szCs w:val="10"/>
                <w:color w:val="auto"/>
              </w:rPr>
              <w:t>corresponding number of Class C</w:t>
            </w:r>
          </w:p>
        </w:tc>
        <w:tc>
          <w:tcPr>
            <w:tcW w:w="0" w:type="dxa"/>
            <w:vAlign w:val="bottom"/>
          </w:tcPr>
          <w:p>
            <w:pPr>
              <w:spacing w:after="0"/>
              <w:rPr>
                <w:sz w:val="1"/>
                <w:szCs w:val="1"/>
                <w:color w:val="auto"/>
              </w:rPr>
            </w:pPr>
          </w:p>
        </w:tc>
      </w:tr>
      <w:tr>
        <w:trPr>
          <w:trHeight w:val="100"/>
        </w:trPr>
        <w:tc>
          <w:tcPr>
            <w:tcW w:w="1720" w:type="dxa"/>
            <w:vAlign w:val="bottom"/>
            <w:gridSpan w:val="2"/>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100" w:type="dxa"/>
            <w:vAlign w:val="bottom"/>
          </w:tcPr>
          <w:p>
            <w:pPr>
              <w:spacing w:after="0"/>
              <w:rPr>
                <w:sz w:val="8"/>
                <w:szCs w:val="8"/>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(240,000)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1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March 31, 2019</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109,921,498</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13,509,886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69,091,740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w w:val="99"/>
              </w:rPr>
              <w:t>(55,005)</w:t>
            </w:r>
          </w:p>
        </w:tc>
        <w:tc>
          <w:tcPr>
            <w:tcW w:w="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1,042,091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54,723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(2,218)</w:t>
            </w: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1,039,593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397,053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99"/>
              </w:rPr>
              <w:t>1,436,646</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257,750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16,443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16,443</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Repurchase of Class C common stock</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(3,584)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(90,852)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(2,093)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(2,093)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(2,093)</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Stock options exercised</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35,120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72</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Net income (loss)</w:t>
            </w:r>
          </w:p>
        </w:tc>
        <w:tc>
          <w:tcPr>
            <w:tcW w:w="100" w:type="dxa"/>
            <w:vAlign w:val="bottom"/>
          </w:tcPr>
          <w:p>
            <w:pPr>
              <w:spacing w:after="0"/>
              <w:rPr>
                <w:sz w:val="12"/>
                <w:szCs w:val="1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(29,891)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(29,891)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(25,594)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(55,485)</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w w:val="98"/>
              </w:rPr>
              <w:t>Foreign exchange translation adjustment</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884</w:t>
            </w:r>
          </w:p>
        </w:tc>
        <w:tc>
          <w:tcPr>
            <w:tcW w:w="0" w:type="dxa"/>
            <w:vAlign w:val="bottom"/>
          </w:tcPr>
          <w:p>
            <w:pPr>
              <w:spacing w:after="0"/>
              <w:rPr>
                <w:sz w:val="1"/>
                <w:szCs w:val="1"/>
                <w:color w:val="auto"/>
              </w:rPr>
            </w:pPr>
          </w:p>
        </w:tc>
      </w:tr>
      <w:tr>
        <w:trPr>
          <w:trHeight w:val="100"/>
        </w:trPr>
        <w:tc>
          <w:tcPr>
            <w:tcW w:w="1720" w:type="dxa"/>
            <w:vAlign w:val="bottom"/>
            <w:gridSpan w:val="2"/>
          </w:tcPr>
          <w:p>
            <w:pPr>
              <w:ind w:left="100"/>
              <w:spacing w:after="0" w:line="101"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100" w:type="dxa"/>
            <w:vAlign w:val="bottom"/>
          </w:tcPr>
          <w:p>
            <w:pPr>
              <w:spacing w:after="0"/>
              <w:rPr>
                <w:sz w:val="8"/>
                <w:szCs w:val="8"/>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(14,891)</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(14,891)</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(28,592)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(28,592)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(28,592)</w:t>
            </w:r>
          </w:p>
        </w:tc>
        <w:tc>
          <w:tcPr>
            <w:tcW w:w="0" w:type="dxa"/>
            <w:vAlign w:val="bottom"/>
          </w:tcPr>
          <w:p>
            <w:pPr>
              <w:spacing w:after="0"/>
              <w:rPr>
                <w:sz w:val="1"/>
                <w:szCs w:val="1"/>
                <w:color w:val="auto"/>
              </w:rPr>
            </w:pPr>
          </w:p>
        </w:tc>
      </w:tr>
      <w:tr>
        <w:trPr>
          <w:trHeight w:val="100"/>
        </w:trPr>
        <w:tc>
          <w:tcPr>
            <w:tcW w:w="1720" w:type="dxa"/>
            <w:vAlign w:val="bottom"/>
            <w:gridSpan w:val="2"/>
          </w:tcPr>
          <w:p>
            <w:pPr>
              <w:ind w:left="100"/>
              <w:spacing w:after="0" w:line="101" w:lineRule="exact"/>
              <w:rPr>
                <w:sz w:val="20"/>
                <w:szCs w:val="20"/>
                <w:color w:val="auto"/>
              </w:rPr>
            </w:pPr>
            <w:r>
              <w:rPr>
                <w:rFonts w:ascii="Times New Roman" w:cs="Times New Roman" w:eastAsia="Times New Roman" w:hAnsi="Times New Roman"/>
                <w:sz w:val="10"/>
                <w:szCs w:val="10"/>
                <w:color w:val="auto"/>
                <w:w w:val="98"/>
              </w:rPr>
              <w:t>Issuance of common stock in connection</w:t>
            </w:r>
          </w:p>
        </w:tc>
        <w:tc>
          <w:tcPr>
            <w:tcW w:w="6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367,900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1020" w:type="dxa"/>
            <w:vAlign w:val="bottom"/>
            <w:gridSpan w:val="66"/>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w w:val="98"/>
              </w:rPr>
              <w:t>Issuance of common stock in connection</w:t>
            </w:r>
          </w:p>
        </w:tc>
        <w:tc>
          <w:tcPr>
            <w:tcW w:w="0" w:type="dxa"/>
            <w:vAlign w:val="bottom"/>
          </w:tcPr>
          <w:p>
            <w:pPr>
              <w:spacing w:after="0"/>
              <w:rPr>
                <w:sz w:val="1"/>
                <w:szCs w:val="1"/>
                <w:color w:val="auto"/>
              </w:rPr>
            </w:pPr>
          </w:p>
        </w:tc>
      </w:tr>
      <w:tr>
        <w:trPr>
          <w:trHeight w:val="100"/>
        </w:trPr>
        <w:tc>
          <w:tcPr>
            <w:tcW w:w="1720" w:type="dxa"/>
            <w:vAlign w:val="bottom"/>
            <w:gridSpan w:val="2"/>
            <w:shd w:val="clear" w:color="auto" w:fill="CCEEFF"/>
          </w:tcPr>
          <w:p>
            <w:pPr>
              <w:ind w:left="100"/>
              <w:spacing w:after="0" w:line="100" w:lineRule="exact"/>
              <w:rPr>
                <w:sz w:val="20"/>
                <w:szCs w:val="20"/>
                <w:color w:val="auto"/>
              </w:rPr>
            </w:pPr>
            <w:r>
              <w:rPr>
                <w:rFonts w:ascii="Times New Roman" w:cs="Times New Roman" w:eastAsia="Times New Roman" w:hAnsi="Times New Roman"/>
                <w:sz w:val="10"/>
                <w:szCs w:val="10"/>
                <w:color w:val="auto"/>
              </w:rPr>
              <w:t>with secondary offering, net of offering</w:t>
            </w:r>
          </w:p>
        </w:tc>
        <w:tc>
          <w:tcPr>
            <w:tcW w:w="6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9,000,000</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gridSpan w:val="3"/>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(9,000,000)</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(375)</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(375)</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(375)</w:t>
            </w:r>
          </w:p>
        </w:tc>
        <w:tc>
          <w:tcPr>
            <w:tcW w:w="0" w:type="dxa"/>
            <w:vAlign w:val="bottom"/>
          </w:tcPr>
          <w:p>
            <w:pPr>
              <w:spacing w:after="0"/>
              <w:rPr>
                <w:sz w:val="1"/>
                <w:szCs w:val="1"/>
                <w:color w:val="auto"/>
              </w:rPr>
            </w:pPr>
          </w:p>
        </w:tc>
      </w:tr>
      <w:tr>
        <w:trPr>
          <w:trHeight w:val="148"/>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costs</w:t>
            </w:r>
          </w:p>
        </w:tc>
        <w:tc>
          <w:tcPr>
            <w:tcW w:w="6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3"/>
            <w:vMerge w:val="continue"/>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1020" w:type="dxa"/>
            <w:vAlign w:val="bottom"/>
            <w:gridSpan w:val="66"/>
          </w:tcPr>
          <w:p>
            <w:pPr>
              <w:ind w:left="100"/>
              <w:spacing w:after="0" w:line="101" w:lineRule="exact"/>
              <w:rPr>
                <w:sz w:val="20"/>
                <w:szCs w:val="20"/>
                <w:color w:val="auto"/>
              </w:rPr>
            </w:pPr>
            <w:r>
              <w:rPr>
                <w:rFonts w:ascii="Times New Roman" w:cs="Times New Roman" w:eastAsia="Times New Roman" w:hAnsi="Times New Roman"/>
                <w:sz w:val="10"/>
                <w:szCs w:val="10"/>
                <w:color w:val="auto"/>
                <w:w w:val="98"/>
              </w:rPr>
              <w:t>Repurchase of Virtu Financial Units and</w:t>
            </w:r>
          </w:p>
        </w:tc>
        <w:tc>
          <w:tcPr>
            <w:tcW w:w="0" w:type="dxa"/>
            <w:vAlign w:val="bottom"/>
          </w:tcPr>
          <w:p>
            <w:pPr>
              <w:spacing w:after="0"/>
              <w:rPr>
                <w:sz w:val="1"/>
                <w:szCs w:val="1"/>
                <w:color w:val="auto"/>
              </w:rPr>
            </w:pPr>
          </w:p>
        </w:tc>
      </w:tr>
      <w:tr>
        <w:trPr>
          <w:trHeight w:val="100"/>
        </w:trPr>
        <w:tc>
          <w:tcPr>
            <w:tcW w:w="11020" w:type="dxa"/>
            <w:vAlign w:val="bottom"/>
            <w:gridSpan w:val="66"/>
          </w:tcPr>
          <w:p>
            <w:pPr>
              <w:ind w:left="100"/>
              <w:spacing w:after="0" w:line="100" w:lineRule="exact"/>
              <w:rPr>
                <w:sz w:val="20"/>
                <w:szCs w:val="20"/>
                <w:color w:val="auto"/>
              </w:rPr>
            </w:pPr>
            <w:r>
              <w:rPr>
                <w:rFonts w:ascii="Times New Roman" w:cs="Times New Roman" w:eastAsia="Times New Roman" w:hAnsi="Times New Roman"/>
                <w:sz w:val="10"/>
                <w:szCs w:val="10"/>
                <w:color w:val="auto"/>
              </w:rPr>
              <w:t>corresponding number of Class C</w:t>
            </w:r>
          </w:p>
        </w:tc>
        <w:tc>
          <w:tcPr>
            <w:tcW w:w="0" w:type="dxa"/>
            <w:vAlign w:val="bottom"/>
          </w:tcPr>
          <w:p>
            <w:pPr>
              <w:spacing w:after="0"/>
              <w:rPr>
                <w:sz w:val="1"/>
                <w:szCs w:val="1"/>
                <w:color w:val="auto"/>
              </w:rPr>
            </w:pPr>
          </w:p>
        </w:tc>
      </w:tr>
      <w:tr>
        <w:trPr>
          <w:trHeight w:val="100"/>
        </w:trPr>
        <w:tc>
          <w:tcPr>
            <w:tcW w:w="1720" w:type="dxa"/>
            <w:vAlign w:val="bottom"/>
            <w:gridSpan w:val="2"/>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100" w:type="dxa"/>
            <w:vAlign w:val="bottom"/>
          </w:tcPr>
          <w:p>
            <w:pPr>
              <w:spacing w:after="0"/>
              <w:rPr>
                <w:sz w:val="8"/>
                <w:szCs w:val="8"/>
                <w:color w:val="auto"/>
              </w:rPr>
            </w:pPr>
          </w:p>
        </w:tc>
        <w:tc>
          <w:tcPr>
            <w:tcW w:w="6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auto"/>
              </w:rPr>
              <w:t>(367,900)</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3"/>
            <w:vMerge w:val="restart"/>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20" w:type="dxa"/>
            <w:vAlign w:val="bottom"/>
            <w:gridSpan w:val="2"/>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w w:val="98"/>
              </w:rPr>
              <w:t>Issuance of tax receivable agreements in</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(644)</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vMerge w:val="restart"/>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0" w:type="dxa"/>
            <w:vAlign w:val="bottom"/>
          </w:tcPr>
          <w:p>
            <w:pPr>
              <w:spacing w:after="0"/>
              <w:rPr>
                <w:sz w:val="1"/>
                <w:szCs w:val="1"/>
                <w:color w:val="auto"/>
              </w:rPr>
            </w:pPr>
          </w:p>
        </w:tc>
      </w:tr>
      <w:tr>
        <w:trPr>
          <w:trHeight w:val="148"/>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connection with employee exchange</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gridSpan w:val="2"/>
            <w:vMerge w:val="continue"/>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7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at June 30, 2019</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119,491,416</w:t>
            </w:r>
          </w:p>
        </w:tc>
        <w:tc>
          <w:tcPr>
            <w:tcW w:w="4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2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13,138,402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60,091,740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w:t>
            </w: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(2,178,771)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w w:val="99"/>
              </w:rPr>
              <w:t>(55,005)</w:t>
            </w:r>
          </w:p>
        </w:tc>
        <w:tc>
          <w:tcPr>
            <w:tcW w:w="140" w:type="dxa"/>
            <w:vAlign w:val="bottom"/>
            <w:gridSpan w:val="2"/>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1,057,587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(5,949)</w:t>
            </w:r>
          </w:p>
        </w:tc>
        <w:tc>
          <w:tcPr>
            <w:tcW w:w="40" w:type="dxa"/>
            <w:vAlign w:val="bottom"/>
          </w:tcPr>
          <w:p>
            <w:pPr>
              <w:spacing w:after="0"/>
              <w:rPr>
                <w:sz w:val="11"/>
                <w:szCs w:val="11"/>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(1,670)</w:t>
            </w:r>
          </w:p>
        </w:tc>
        <w:tc>
          <w:tcPr>
            <w:tcW w:w="40" w:type="dxa"/>
            <w:vAlign w:val="bottom"/>
          </w:tcPr>
          <w:p>
            <w:pPr>
              <w:spacing w:after="0"/>
              <w:rPr>
                <w:sz w:val="11"/>
                <w:szCs w:val="11"/>
                <w:color w:val="auto"/>
              </w:rPr>
            </w:pPr>
          </w:p>
        </w:tc>
        <w:tc>
          <w:tcPr>
            <w:tcW w:w="100" w:type="dxa"/>
            <w:vAlign w:val="bottom"/>
            <w:gridSpan w:val="2"/>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994,965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356,904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w w:val="99"/>
              </w:rPr>
              <w:t>1,351,869</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227,579</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12,536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12,536</w:t>
            </w:r>
          </w:p>
        </w:tc>
        <w:tc>
          <w:tcPr>
            <w:tcW w:w="0" w:type="dxa"/>
            <w:vAlign w:val="bottom"/>
          </w:tcPr>
          <w:p>
            <w:pPr>
              <w:spacing w:after="0"/>
              <w:rPr>
                <w:sz w:val="1"/>
                <w:szCs w:val="1"/>
                <w:color w:val="auto"/>
              </w:rPr>
            </w:pPr>
          </w:p>
        </w:tc>
      </w:tr>
      <w:tr>
        <w:trPr>
          <w:trHeight w:val="139"/>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(57,890)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(1,167)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(1,167)</w:t>
            </w:r>
          </w:p>
        </w:tc>
        <w:tc>
          <w:tcPr>
            <w:tcW w:w="0" w:type="dxa"/>
            <w:vAlign w:val="bottom"/>
          </w:tcPr>
          <w:p>
            <w:pPr>
              <w:spacing w:after="0"/>
              <w:rPr>
                <w:sz w:val="1"/>
                <w:szCs w:val="1"/>
                <w:color w:val="auto"/>
              </w:rPr>
            </w:pPr>
          </w:p>
        </w:tc>
      </w:tr>
      <w:tr>
        <w:trPr>
          <w:trHeight w:val="159"/>
        </w:trPr>
        <w:tc>
          <w:tcPr>
            <w:tcW w:w="1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Net income</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(4,312)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(4,312)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(5,184)</w:t>
            </w:r>
          </w:p>
        </w:tc>
        <w:tc>
          <w:tcPr>
            <w:tcW w:w="0" w:type="dxa"/>
            <w:vAlign w:val="bottom"/>
          </w:tcPr>
          <w:p>
            <w:pPr>
              <w:spacing w:after="0"/>
              <w:rPr>
                <w:sz w:val="1"/>
                <w:szCs w:val="1"/>
                <w:color w:val="auto"/>
              </w:rPr>
            </w:pPr>
          </w:p>
        </w:tc>
      </w:tr>
      <w:tr>
        <w:trPr>
          <w:trHeight w:val="130"/>
        </w:trPr>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w w:val="98"/>
              </w:rPr>
              <w:t>Foreign exchange translation adjustment</w:t>
            </w:r>
          </w:p>
        </w:tc>
        <w:tc>
          <w:tcPr>
            <w:tcW w:w="100" w:type="dxa"/>
            <w:vAlign w:val="bottom"/>
          </w:tcPr>
          <w:p>
            <w:pPr>
              <w:spacing w:after="0"/>
              <w:rPr>
                <w:sz w:val="11"/>
                <w:szCs w:val="11"/>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3"/>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43"/>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(4,316)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(4,316)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(2,881)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13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300" w:type="dxa"/>
            <w:vAlign w:val="bottom"/>
            <w:gridSpan w:val="5"/>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660" w:type="dxa"/>
            <w:vAlign w:val="bottom"/>
            <w:gridSpan w:val="2"/>
          </w:tcPr>
          <w:p>
            <w:pPr>
              <w:jc w:val="center"/>
              <w:ind w:right="80"/>
              <w:spacing w:after="0" w:line="100" w:lineRule="exact"/>
              <w:rPr>
                <w:sz w:val="20"/>
                <w:szCs w:val="20"/>
                <w:color w:val="auto"/>
              </w:rPr>
            </w:pPr>
            <w:r>
              <w:rPr>
                <w:rFonts w:ascii="Times New Roman" w:cs="Times New Roman" w:eastAsia="Times New Roman" w:hAnsi="Times New Roman"/>
                <w:sz w:val="10"/>
                <w:szCs w:val="10"/>
                <w:b w:val="1"/>
                <w:bCs w:val="1"/>
                <w:color w:val="auto"/>
                <w:w w:val="96"/>
              </w:rPr>
              <w:t>Paid-in</w:t>
            </w:r>
          </w:p>
        </w:tc>
        <w:tc>
          <w:tcPr>
            <w:tcW w:w="80" w:type="dxa"/>
            <w:vAlign w:val="bottom"/>
          </w:tcPr>
          <w:p>
            <w:pPr>
              <w:spacing w:after="0"/>
              <w:rPr>
                <w:sz w:val="8"/>
                <w:szCs w:val="8"/>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Retained</w:t>
            </w:r>
          </w:p>
        </w:tc>
        <w:tc>
          <w:tcPr>
            <w:tcW w:w="80" w:type="dxa"/>
            <w:vAlign w:val="bottom"/>
          </w:tcPr>
          <w:p>
            <w:pPr>
              <w:spacing w:after="0"/>
              <w:rPr>
                <w:sz w:val="8"/>
                <w:szCs w:val="8"/>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8"/>
                <w:szCs w:val="8"/>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Total Virtu</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6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rPr>
              <w:t>Capital</w:t>
            </w: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tcPr>
          <w:p>
            <w:pPr>
              <w:jc w:val="center"/>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Earnings</w:t>
            </w:r>
          </w:p>
        </w:tc>
        <w:tc>
          <w:tcPr>
            <w:tcW w:w="80" w:type="dxa"/>
            <w:vAlign w:val="bottom"/>
          </w:tcPr>
          <w:p>
            <w:pPr>
              <w:spacing w:after="0"/>
              <w:rPr>
                <w:sz w:val="5"/>
                <w:szCs w:val="5"/>
                <w:color w:val="auto"/>
              </w:rPr>
            </w:pPr>
          </w:p>
        </w:tc>
        <w:tc>
          <w:tcPr>
            <w:tcW w:w="700" w:type="dxa"/>
            <w:vAlign w:val="bottom"/>
            <w:gridSpan w:val="2"/>
          </w:tcPr>
          <w:p>
            <w:pPr>
              <w:jc w:val="center"/>
              <w:ind w:right="160"/>
              <w:spacing w:after="0" w:line="68" w:lineRule="exact"/>
              <w:rPr>
                <w:sz w:val="20"/>
                <w:szCs w:val="20"/>
                <w:color w:val="auto"/>
              </w:rPr>
            </w:pPr>
            <w:r>
              <w:rPr>
                <w:rFonts w:ascii="Times New Roman" w:cs="Times New Roman" w:eastAsia="Times New Roman" w:hAnsi="Times New Roman"/>
                <w:sz w:val="7"/>
                <w:szCs w:val="7"/>
                <w:b w:val="1"/>
                <w:bCs w:val="1"/>
                <w:color w:val="auto"/>
              </w:rPr>
              <w:t>Other</w:t>
            </w:r>
          </w:p>
        </w:tc>
        <w:tc>
          <w:tcPr>
            <w:tcW w:w="700" w:type="dxa"/>
            <w:vAlign w:val="bottom"/>
            <w:gridSpan w:val="3"/>
          </w:tcPr>
          <w:p>
            <w:pPr>
              <w:jc w:val="center"/>
              <w:ind w:right="80"/>
              <w:spacing w:after="0" w:line="68" w:lineRule="exact"/>
              <w:rPr>
                <w:sz w:val="20"/>
                <w:szCs w:val="20"/>
                <w:color w:val="auto"/>
              </w:rPr>
            </w:pPr>
            <w:r>
              <w:rPr>
                <w:rFonts w:ascii="Times New Roman" w:cs="Times New Roman" w:eastAsia="Times New Roman" w:hAnsi="Times New Roman"/>
                <w:sz w:val="7"/>
                <w:szCs w:val="7"/>
                <w:b w:val="1"/>
                <w:bCs w:val="1"/>
                <w:color w:val="auto"/>
              </w:rPr>
              <w:t>Financial Inc.</w:t>
            </w:r>
          </w:p>
        </w:tc>
        <w:tc>
          <w:tcPr>
            <w:tcW w:w="660" w:type="dxa"/>
            <w:vAlign w:val="bottom"/>
            <w:gridSpan w:val="2"/>
          </w:tcPr>
          <w:p>
            <w:pPr>
              <w:jc w:val="center"/>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Non-</w:t>
            </w: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56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9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vMerge w:val="restart"/>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80" w:type="dxa"/>
            <w:vAlign w:val="bottom"/>
            <w:vMerge w:val="restart"/>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80" w:type="dxa"/>
            <w:vAlign w:val="bottom"/>
            <w:vMerge w:val="restart"/>
          </w:tcPr>
          <w:p>
            <w:pPr>
              <w:spacing w:after="0"/>
              <w:rPr>
                <w:sz w:val="8"/>
                <w:szCs w:val="8"/>
                <w:color w:val="auto"/>
              </w:rPr>
            </w:pPr>
          </w:p>
        </w:tc>
        <w:tc>
          <w:tcPr>
            <w:tcW w:w="700" w:type="dxa"/>
            <w:vAlign w:val="bottom"/>
            <w:gridSpan w:val="3"/>
          </w:tcPr>
          <w:p>
            <w:pPr>
              <w:jc w:val="center"/>
              <w:ind w:right="60"/>
              <w:spacing w:after="0" w:line="100" w:lineRule="exact"/>
              <w:rPr>
                <w:sz w:val="20"/>
                <w:szCs w:val="20"/>
                <w:color w:val="auto"/>
              </w:rPr>
            </w:pPr>
            <w:r>
              <w:rPr>
                <w:rFonts w:ascii="Times New Roman" w:cs="Times New Roman" w:eastAsia="Times New Roman" w:hAnsi="Times New Roman"/>
                <w:sz w:val="10"/>
                <w:szCs w:val="10"/>
                <w:b w:val="1"/>
                <w:bCs w:val="1"/>
                <w:color w:val="auto"/>
                <w:w w:val="99"/>
              </w:rPr>
              <w:t>(Accumulated</w:t>
            </w:r>
          </w:p>
        </w:tc>
        <w:tc>
          <w:tcPr>
            <w:tcW w:w="78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700" w:type="dxa"/>
            <w:vAlign w:val="bottom"/>
            <w:gridSpan w:val="3"/>
          </w:tcPr>
          <w:p>
            <w:pPr>
              <w:jc w:val="center"/>
              <w:ind w:right="80"/>
              <w:spacing w:after="0" w:line="100" w:lineRule="exact"/>
              <w:rPr>
                <w:sz w:val="20"/>
                <w:szCs w:val="20"/>
                <w:color w:val="auto"/>
              </w:rPr>
            </w:pPr>
            <w:r>
              <w:rPr>
                <w:rFonts w:ascii="Times New Roman" w:cs="Times New Roman" w:eastAsia="Times New Roman" w:hAnsi="Times New Roman"/>
                <w:sz w:val="10"/>
                <w:szCs w:val="10"/>
                <w:b w:val="1"/>
                <w:bCs w:val="1"/>
                <w:color w:val="auto"/>
                <w:w w:val="99"/>
              </w:rPr>
              <w:t>Stockholders'</w:t>
            </w:r>
          </w:p>
        </w:tc>
        <w:tc>
          <w:tcPr>
            <w:tcW w:w="660" w:type="dxa"/>
            <w:vAlign w:val="bottom"/>
            <w:gridSpan w:val="2"/>
          </w:tcPr>
          <w:p>
            <w:pPr>
              <w:jc w:val="center"/>
              <w:ind w:right="100"/>
              <w:spacing w:after="0" w:line="100"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Total Equity</w:t>
            </w:r>
          </w:p>
        </w:tc>
        <w:tc>
          <w:tcPr>
            <w:tcW w:w="0" w:type="dxa"/>
            <w:vAlign w:val="bottom"/>
          </w:tcPr>
          <w:p>
            <w:pPr>
              <w:spacing w:after="0"/>
              <w:rPr>
                <w:sz w:val="1"/>
                <w:szCs w:val="1"/>
                <w:color w:val="auto"/>
              </w:rPr>
            </w:pPr>
          </w:p>
        </w:tc>
      </w:tr>
      <w:tr>
        <w:trPr>
          <w:trHeight w:val="142"/>
        </w:trPr>
        <w:tc>
          <w:tcPr>
            <w:tcW w:w="1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Deficit)</w:t>
            </w: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shd w:val="clear" w:color="auto" w:fill="CCEEFF"/>
          </w:tcPr>
          <w:p>
            <w:pPr>
              <w:ind w:left="100"/>
              <w:spacing w:after="0" w:line="88" w:lineRule="exact"/>
              <w:rPr>
                <w:sz w:val="20"/>
                <w:szCs w:val="20"/>
                <w:color w:val="auto"/>
              </w:rPr>
            </w:pPr>
            <w:r>
              <w:rPr>
                <w:rFonts w:ascii="Times New Roman" w:cs="Times New Roman" w:eastAsia="Times New Roman" w:hAnsi="Times New Roman"/>
                <w:sz w:val="10"/>
                <w:szCs w:val="10"/>
                <w:color w:val="auto"/>
              </w:rPr>
              <w:t>Distribution from Virtu Financial to</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(25,448)</w:t>
            </w: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(25,448)</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Dividends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(28,692)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(28,692)</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(28,692)</w:t>
            </w:r>
          </w:p>
        </w:tc>
        <w:tc>
          <w:tcPr>
            <w:tcW w:w="0" w:type="dxa"/>
            <w:vAlign w:val="bottom"/>
          </w:tcPr>
          <w:p>
            <w:pPr>
              <w:spacing w:after="0"/>
              <w:rPr>
                <w:sz w:val="1"/>
                <w:szCs w:val="1"/>
                <w:color w:val="auto"/>
              </w:rPr>
            </w:pPr>
          </w:p>
        </w:tc>
      </w:tr>
      <w:tr>
        <w:trPr>
          <w:trHeight w:val="110"/>
        </w:trPr>
        <w:tc>
          <w:tcPr>
            <w:tcW w:w="1820" w:type="dxa"/>
            <w:vAlign w:val="bottom"/>
            <w:shd w:val="clear" w:color="auto" w:fill="CCEEFF"/>
          </w:tcPr>
          <w:p>
            <w:pPr>
              <w:ind w:left="100"/>
              <w:spacing w:after="0" w:line="111" w:lineRule="exact"/>
              <w:rPr>
                <w:sz w:val="20"/>
                <w:szCs w:val="20"/>
                <w:color w:val="auto"/>
              </w:rPr>
            </w:pPr>
            <w:r>
              <w:rPr>
                <w:rFonts w:ascii="Times New Roman" w:cs="Times New Roman" w:eastAsia="Times New Roman" w:hAnsi="Times New Roman"/>
                <w:sz w:val="10"/>
                <w:szCs w:val="10"/>
                <w:color w:val="auto"/>
              </w:rPr>
              <w:t>Issuance of common stock in connection</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233,877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with employee exchanges</w:t>
            </w:r>
          </w:p>
        </w:tc>
        <w:tc>
          <w:tcPr>
            <w:tcW w:w="5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1" w:lineRule="exact"/>
              <w:rPr>
                <w:sz w:val="20"/>
                <w:szCs w:val="20"/>
                <w:color w:val="auto"/>
              </w:rPr>
            </w:pPr>
            <w:r>
              <w:rPr>
                <w:rFonts w:ascii="Times New Roman" w:cs="Times New Roman" w:eastAsia="Times New Roman" w:hAnsi="Times New Roman"/>
                <w:sz w:val="10"/>
                <w:szCs w:val="10"/>
                <w:color w:val="auto"/>
              </w:rPr>
              <w:t>Repurchase of Virtu Financial Units and</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0" w:lineRule="exact"/>
              <w:rPr>
                <w:sz w:val="20"/>
                <w:szCs w:val="20"/>
                <w:color w:val="auto"/>
              </w:rPr>
            </w:pPr>
            <w:r>
              <w:rPr>
                <w:rFonts w:ascii="Times New Roman" w:cs="Times New Roman" w:eastAsia="Times New Roman" w:hAnsi="Times New Roman"/>
                <w:sz w:val="10"/>
                <w:szCs w:val="10"/>
                <w:color w:val="auto"/>
              </w:rPr>
              <w:t>corresponding number of Class C</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tcPr>
          <w:p>
            <w:pPr>
              <w:ind w:left="100"/>
              <w:spacing w:after="0" w:line="100" w:lineRule="exact"/>
              <w:rPr>
                <w:sz w:val="20"/>
                <w:szCs w:val="20"/>
                <w:color w:val="auto"/>
              </w:rPr>
            </w:pPr>
            <w:r>
              <w:rPr>
                <w:rFonts w:ascii="Times New Roman" w:cs="Times New Roman" w:eastAsia="Times New Roman" w:hAnsi="Times New Roman"/>
                <w:sz w:val="10"/>
                <w:szCs w:val="10"/>
                <w:color w:val="auto"/>
              </w:rPr>
              <w:t>common stock in connection with</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(233,877)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ind w:left="4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vMerge w:val="restart"/>
          </w:tcPr>
          <w:p>
            <w:pPr>
              <w:spacing w:after="0"/>
              <w:rPr>
                <w:sz w:val="8"/>
                <w:szCs w:val="8"/>
                <w:color w:val="auto"/>
              </w:rPr>
            </w:pPr>
          </w:p>
        </w:tc>
        <w:tc>
          <w:tcPr>
            <w:tcW w:w="580" w:type="dxa"/>
            <w:vAlign w:val="bottom"/>
            <w:vMerge w:val="restart"/>
          </w:tcPr>
          <w:p>
            <w:pPr>
              <w:jc w:val="right"/>
              <w:ind w:right="1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1"/>
        </w:trPr>
        <w:tc>
          <w:tcPr>
            <w:tcW w:w="1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0"/>
                <w:szCs w:val="10"/>
                <w:color w:val="auto"/>
              </w:rPr>
              <w:t>employee exchanges</w:t>
            </w: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September 30, 2019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119,894,982</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12,904,525</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(2,178,771)</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(55,005)</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1,070,123</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(40,120)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(5,986)</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969,014</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   327,703</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w w:val="99"/>
              </w:rPr>
              <w:t>$  1,296,717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 xml:space="preserve">See accompanying notes to the Condensed Consolidated Financial Statements </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Unaudited</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17" w:lineRule="exact"/>
        <w:rPr>
          <w:sz w:val="20"/>
          <w:szCs w:val="20"/>
          <w:color w:val="auto"/>
        </w:rPr>
      </w:pPr>
    </w:p>
    <w:tbl>
      <w:tblPr>
        <w:tblLayout w:type="fixed"/>
        <w:tblInd w:w="78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5"/>
                <w:szCs w:val="15"/>
                <w:color w:val="auto"/>
              </w:rPr>
            </w:pP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7"/>
        </w:trPr>
        <w:tc>
          <w:tcPr>
            <w:tcW w:w="7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923,228</w:t>
            </w:r>
          </w:p>
        </w:tc>
        <w:tc>
          <w:tcPr>
            <w:tcW w:w="10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(74,288)</w:t>
            </w:r>
          </w:p>
        </w:tc>
      </w:tr>
      <w:tr>
        <w:trPr>
          <w:trHeight w:val="200"/>
        </w:trPr>
        <w:tc>
          <w:tcPr>
            <w:tcW w:w="7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50,728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48,859</w:t>
            </w:r>
          </w:p>
        </w:tc>
      </w:tr>
      <w:tr>
        <w:trPr>
          <w:trHeight w:val="17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56,177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50,436</w:t>
            </w:r>
          </w:p>
        </w:tc>
      </w:tr>
      <w:tr>
        <w:trPr>
          <w:trHeight w:val="175"/>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Debt issue cost related to debt refinancing and prepayment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7,555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7,896</w:t>
            </w:r>
          </w:p>
        </w:tc>
      </w:tr>
      <w:tr>
        <w:trPr>
          <w:trHeight w:val="17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Amortization of debt issuance costs and deferred financing fees</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24,164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9,513</w:t>
            </w:r>
          </w:p>
        </w:tc>
      </w:tr>
      <w:tr>
        <w:trPr>
          <w:trHeight w:val="175"/>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66,490</w:t>
            </w:r>
          </w:p>
        </w:tc>
      </w:tr>
      <w:tr>
        <w:trPr>
          <w:trHeight w:val="17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37,510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55,690</w:t>
            </w:r>
          </w:p>
        </w:tc>
      </w:tr>
      <w:tr>
        <w:trPr>
          <w:trHeight w:val="175"/>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taxes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22,204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11,595</w:t>
            </w:r>
          </w:p>
        </w:tc>
      </w:tr>
      <w:tr>
        <w:trPr>
          <w:trHeight w:val="17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Gain on sale of MATCHNow</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(22,623)</w:t>
            </w:r>
          </w:p>
        </w:tc>
      </w:tr>
      <w:tr>
        <w:trPr>
          <w:trHeight w:val="173"/>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 xml:space="preserve">Changes in operating assets and liabilities </w:t>
            </w:r>
            <w:r>
              <w:rPr>
                <w:rFonts w:ascii="Times New Roman" w:cs="Times New Roman" w:eastAsia="Times New Roman" w:hAnsi="Times New Roman"/>
                <w:sz w:val="11"/>
                <w:szCs w:val="11"/>
                <w:color w:val="auto"/>
              </w:rPr>
              <w:t>(1)</w:t>
            </w: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Securities borrowed</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602,920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(166,075)</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125,619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Receivables from broker-dealers and clearing organizations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(563,297)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(134,170)</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Trading assets, at fair value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(51,507)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(34,392)</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(73,408)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(133,844)</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27,457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(246,555)</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(67,469)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(31,740)</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Securities loaned</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(54,381)</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126,253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(216,143)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305,065</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Payables to customers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52,261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(9,020)</w:t>
            </w:r>
          </w:p>
        </w:tc>
      </w:tr>
      <w:tr>
        <w:trPr>
          <w:trHeight w:val="173"/>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Trading liabilities, at fair value</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292,177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(226,474)</w:t>
            </w:r>
          </w:p>
        </w:tc>
      </w:tr>
      <w:tr>
        <w:trPr>
          <w:trHeight w:val="175"/>
        </w:trPr>
        <w:tc>
          <w:tcPr>
            <w:tcW w:w="7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(34,738)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270,407</w:t>
            </w:r>
          </w:p>
        </w:tc>
      </w:tr>
      <w:tr>
        <w:trPr>
          <w:trHeight w:val="173"/>
        </w:trPr>
        <w:tc>
          <w:tcPr>
            <w:tcW w:w="71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109,276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(35,203)</w:t>
            </w:r>
          </w:p>
        </w:tc>
      </w:tr>
      <w:tr>
        <w:trPr>
          <w:trHeight w:val="168"/>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483,598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(346,222)</w:t>
            </w: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Development of capitalized software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(25,638)</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Acquisition of property and equipment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(17,101)</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sale of MATCHNow</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60,592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ITG Acquisition, net of cash acquired, described in Note 3</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(835,581)</w:t>
            </w:r>
          </w:p>
        </w:tc>
      </w:tr>
      <w:tr>
        <w:trPr>
          <w:trHeight w:val="173"/>
        </w:trPr>
        <w:tc>
          <w:tcPr>
            <w:tcW w:w="7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Investment in joint ventures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w:t>
            </w:r>
          </w:p>
        </w:tc>
      </w:tr>
      <w:tr>
        <w:trPr>
          <w:trHeight w:val="168"/>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(882,820)</w:t>
            </w: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Distribution from Virtu Financial to non-controlling interest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(247,816)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(77,535)</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(83,596)</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Repurchase of Class C common stock</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treasury stock</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(12,065)</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Stock options exercised</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14,502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 net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49,388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63,748</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long-term borrowings</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1,492,500</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Repayment of long term borrowings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(288,500)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Tax receivable agreement obligations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Debt issuance costs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(35,702)</w:t>
            </w: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Issuance of common stock in connection with secondary offering, net of offering costs</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r>
      <w:tr>
        <w:trPr>
          <w:trHeight w:val="168"/>
        </w:trPr>
        <w:tc>
          <w:tcPr>
            <w:tcW w:w="710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897,810</w:t>
            </w: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3,860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(9,996)</w:t>
            </w: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(341,228)</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480"/>
          </w:cols>
          <w:pgMar w:left="320" w:top="123" w:right="109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780" w:type="dxa"/>
        <w:tblCellMar>
          <w:top w:w="0" w:type="dxa"/>
          <w:left w:w="0" w:type="dxa"/>
          <w:bottom w:w="0" w:type="dxa"/>
          <w:right w:w="0" w:type="dxa"/>
        </w:tblCellMar>
      </w:tblPr>
      <w:tr>
        <w:trPr>
          <w:trHeight w:val="176"/>
        </w:trPr>
        <w:tc>
          <w:tcPr>
            <w:tcW w:w="7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5"/>
                <w:szCs w:val="15"/>
                <w:color w:val="auto"/>
              </w:rPr>
            </w:pPr>
          </w:p>
        </w:tc>
        <w:tc>
          <w:tcPr>
            <w:tcW w:w="1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6"/>
        </w:trPr>
        <w:tc>
          <w:tcPr>
            <w:tcW w:w="700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or segregated cash, beginning of period</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773,280</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736,047</w:t>
            </w:r>
          </w:p>
        </w:tc>
      </w:tr>
      <w:tr>
        <w:trPr>
          <w:trHeight w:val="193"/>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or segregated cash, end of period</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665,962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394,819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4"/>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Supplementary disclosure of cash flow information</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Cash paid for interest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137,750</w:t>
            </w:r>
          </w:p>
        </w:tc>
        <w:tc>
          <w:tcPr>
            <w:tcW w:w="10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127,477</w:t>
            </w:r>
          </w:p>
        </w:tc>
      </w:tr>
      <w:tr>
        <w:trPr>
          <w:trHeight w:val="17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paid for taxes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207,387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w:t>
            </w:r>
          </w:p>
        </w:tc>
      </w:tr>
      <w:tr>
        <w:trPr>
          <w:trHeight w:val="199"/>
        </w:trPr>
        <w:tc>
          <w:tcPr>
            <w:tcW w:w="7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investing activities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Share-based and accrued incentive compensation to developers relating to capitalized software</w:t>
            </w:r>
          </w:p>
        </w:tc>
        <w:tc>
          <w:tcPr>
            <w:tcW w:w="200" w:type="dxa"/>
            <w:vAlign w:val="bottom"/>
          </w:tcPr>
          <w:p>
            <w:pPr>
              <w:spacing w:after="0"/>
              <w:rPr>
                <w:sz w:val="15"/>
                <w:szCs w:val="15"/>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9,672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w:t>
            </w:r>
          </w:p>
        </w:tc>
      </w:tr>
      <w:tr>
        <w:trPr>
          <w:trHeight w:val="175"/>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Non-cash financing activities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Tax receivable agreement described in Note 6</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r>
      <w:tr>
        <w:trPr>
          <w:trHeight w:val="163"/>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(1) Net of ITG Acquisition for the three months ended March 31, 2019; see Note 3</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3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480"/>
          </w:cols>
          <w:pgMar w:left="320" w:top="123" w:right="109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32" w:lineRule="exact"/>
        <w:rPr>
          <w:sz w:val="20"/>
          <w:szCs w:val="20"/>
          <w:color w:val="auto"/>
        </w:rPr>
      </w:pPr>
    </w:p>
    <w:p>
      <w:pPr>
        <w:ind w:right="20" w:firstLine="597"/>
        <w:spacing w:after="0" w:line="252"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September 30, 2020, VFI owned approximately 64.2% of the membership interests of Virtu Financial. VFI is the sole managing member of Virtu Financial and operates and controls all of the businesses and affairs of Virtu Financial and its subsidiaries (the “Group”).</w:t>
      </w:r>
    </w:p>
    <w:p>
      <w:pPr>
        <w:spacing w:after="0" w:line="199"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July 20, 2017 (the “KCG Closing Date”), the Company completed the all-cash acquisition of KCG Holdings, Inc. (“KCG”) (the “Acquisition of KCG”).</w:t>
      </w:r>
    </w:p>
    <w:p>
      <w:pPr>
        <w:spacing w:after="0" w:line="228" w:lineRule="exact"/>
        <w:rPr>
          <w:sz w:val="20"/>
          <w:szCs w:val="20"/>
          <w:color w:val="auto"/>
        </w:rPr>
      </w:pPr>
    </w:p>
    <w:p>
      <w:pPr>
        <w:jc w:val="both"/>
        <w:ind w:right="140" w:firstLine="597"/>
        <w:spacing w:after="0" w:line="256" w:lineRule="auto"/>
        <w:rPr>
          <w:sz w:val="20"/>
          <w:szCs w:val="20"/>
          <w:color w:val="auto"/>
        </w:rPr>
      </w:pPr>
      <w:r>
        <w:rPr>
          <w:rFonts w:ascii="Times New Roman" w:cs="Times New Roman" w:eastAsia="Times New Roman" w:hAnsi="Times New Roman"/>
          <w:sz w:val="17"/>
          <w:szCs w:val="17"/>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ITG's business contributes to the Company's Execution Services segment.</w:t>
      </w:r>
    </w:p>
    <w:p>
      <w:pPr>
        <w:spacing w:after="0" w:line="196"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6"/>
          <w:szCs w:val="16"/>
          <w:color w:val="auto"/>
        </w:rPr>
        <w:t>Virtu Financial’s principal U.S. subsidiary is Virtu Americas LLC (“VAL”), which is a U.S. broker-dealer. As part of the Company's integration efforts, the Company consolidated the operations of its other historical U.S. broker-dealer subsidiaries. Specifically, the broker-dealer activities of Virtu Financial BD LLC ("VFBD") and Virtu Financial Capital Markets LLC ("VFCM") were consolidated within VAL as of December 31, 2019 and the SEC registrations were withdrawn in March 2020. Subsequently, the Company consolidated the broker-dealer activities of Virtu ITG LLC ("VITG") and Virtu Alternet Securities ("VALT") within VAL as of June 1, 2020 and the SEC registrations were withdrawn in August 2020.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91"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On August 4, 2020, the Company completed the disposition of the MATCHNow business pursuant to a previously announced agreement with Cboe Global Markets, Inc., resulting in a gain of approximately $56.2 million, with contingent consideration of up to approximately $23.0 million, conditioned on future performance of MATCHNow. See Note 4 "Sale of MATCHNow" for further details.</w:t>
      </w:r>
    </w:p>
    <w:p>
      <w:pPr>
        <w:spacing w:after="0" w:line="196" w:lineRule="exact"/>
        <w:rPr>
          <w:sz w:val="20"/>
          <w:szCs w:val="20"/>
          <w:color w:val="auto"/>
        </w:rPr>
      </w:pPr>
    </w:p>
    <w:p>
      <w:pPr>
        <w:ind w:right="840" w:firstLine="597"/>
        <w:spacing w:after="0" w:line="269"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21 “Geographic Information and Business Segments” for a further discussion of the Company’s segments.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2019. The condensed consolidated financial statements of the Company include its equity interests in Virtu Financial and its subsidiaries. The Company operates and controls all business and affairs of Virtu Financial and its subsidiaries indirectly through its equity interest in Virtu Financial.</w:t>
      </w:r>
    </w:p>
    <w:p>
      <w:pPr>
        <w:spacing w:after="0" w:line="205" w:lineRule="exact"/>
        <w:rPr>
          <w:sz w:val="20"/>
          <w:szCs w:val="20"/>
          <w:color w:val="auto"/>
        </w:rPr>
      </w:pPr>
    </w:p>
    <w:p>
      <w:pPr>
        <w:ind w:right="80" w:firstLine="597"/>
        <w:spacing w:after="0" w:line="256" w:lineRule="auto"/>
        <w:rPr>
          <w:sz w:val="20"/>
          <w:szCs w:val="20"/>
          <w:color w:val="auto"/>
        </w:rPr>
      </w:pPr>
      <w:r>
        <w:rPr>
          <w:rFonts w:ascii="Times New Roman" w:cs="Times New Roman" w:eastAsia="Times New Roman" w:hAnsi="Times New Roman"/>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6" w:lineRule="exact"/>
        <w:rPr>
          <w:sz w:val="20"/>
          <w:szCs w:val="20"/>
          <w:color w:val="auto"/>
        </w:rPr>
      </w:pPr>
    </w:p>
    <w:p>
      <w:pPr>
        <w:ind w:right="20" w:firstLine="597"/>
        <w:spacing w:after="0" w:line="234" w:lineRule="auto"/>
        <w:rPr>
          <w:sz w:val="20"/>
          <w:szCs w:val="20"/>
          <w:color w:val="auto"/>
        </w:rPr>
      </w:pPr>
      <w:r>
        <w:rPr>
          <w:rFonts w:ascii="Times New Roman" w:cs="Times New Roman" w:eastAsia="Times New Roman" w:hAnsi="Times New Roman"/>
          <w:sz w:val="17"/>
          <w:szCs w:val="17"/>
          <w:color w:val="auto"/>
        </w:rPr>
        <w:t>Effective for the quarter ended June 30, 2020, the Company has changed the presentation of its Condensed Consolidated Statements of Comprehensive Income. As a result, the Company made the following reclassifications to prior period amounts to be consistent with current period presentation. For the three and nine months ended September 30, 2019, respectively, the Company reclassified $24.5 million and $71.7 million of Payments for order flow to Brokerage, exchange, clearance fees and payments for order flow, net, previously reported as Brokerage, exchange and clearance fees, net. Brokerage, exchange and clearance fees, net and Payments for order flow both represent costs associated with transacting trades. For the three and nine months ended September 30, 2019, respectively, the Company reclassified $3.0 million and $8.9 million of sublease income from Other, net to Operations and administrative to net with other occupancy costs within Operations and administrative.</w:t>
      </w:r>
    </w:p>
    <w:p>
      <w:pPr>
        <w:spacing w:after="0" w:line="196"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32"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232"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w:t>
      </w:r>
    </w:p>
    <w:p>
      <w:pPr>
        <w:spacing w:after="0" w:line="199" w:lineRule="exact"/>
        <w:rPr>
          <w:sz w:val="20"/>
          <w:szCs w:val="20"/>
          <w:color w:val="auto"/>
        </w:rPr>
      </w:pPr>
    </w:p>
    <w:p>
      <w:pPr>
        <w:ind w:right="640" w:firstLine="597"/>
        <w:spacing w:after="0" w:line="269" w:lineRule="auto"/>
        <w:rPr>
          <w:sz w:val="20"/>
          <w:szCs w:val="20"/>
          <w:color w:val="auto"/>
        </w:rPr>
      </w:pPr>
      <w:r>
        <w:rPr>
          <w:rFonts w:ascii="Times New Roman" w:cs="Times New Roman" w:eastAsia="Times New Roman" w:hAnsi="Times New Roman"/>
          <w:sz w:val="17"/>
          <w:szCs w:val="17"/>
          <w:color w:val="auto"/>
        </w:rPr>
        <w:t>The Company grants restricted stock awards ("RSAs") and restricted stock units (“RSUs”), certain of which entitle recipients to receive nonforfeitable dividends during the vesting period on a basis equivalent to the dividends paid to holders of</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7"/>
          <w:szCs w:val="17"/>
          <w:color w:val="auto"/>
        </w:rPr>
        <w:t>common stock. As a result, the unvested RSAs and participating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32" w:lineRule="exact"/>
        <w:rPr>
          <w:sz w:val="20"/>
          <w:szCs w:val="20"/>
          <w:color w:val="auto"/>
        </w:rPr>
      </w:pPr>
    </w:p>
    <w:p>
      <w:pPr>
        <w:ind w:right="80" w:firstLine="597"/>
        <w:spacing w:after="0" w:line="256" w:lineRule="auto"/>
        <w:rPr>
          <w:sz w:val="20"/>
          <w:szCs w:val="20"/>
          <w:color w:val="auto"/>
        </w:rPr>
      </w:pPr>
      <w:r>
        <w:rPr>
          <w:rFonts w:ascii="Times New Roman" w:cs="Times New Roman" w:eastAsia="Times New Roman" w:hAnsi="Times New Roman"/>
          <w:sz w:val="17"/>
          <w:szCs w:val="17"/>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96"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Cash restricted or segregated under regulations and other represents (i) special reserve bank accounts for the exclusive benefit of customers (“Special Reserve Bank Account”) maintained by VAL in accordance with Rule 15c3-3 of the 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Borrowed and Securities Loaned</w:t>
      </w:r>
    </w:p>
    <w:p>
      <w:pPr>
        <w:spacing w:after="0" w:line="232" w:lineRule="exact"/>
        <w:rPr>
          <w:sz w:val="20"/>
          <w:szCs w:val="20"/>
          <w:color w:val="auto"/>
        </w:rPr>
      </w:pPr>
    </w:p>
    <w:p>
      <w:pPr>
        <w:ind w:firstLine="597"/>
        <w:spacing w:after="0" w:line="266" w:lineRule="auto"/>
        <w:rPr>
          <w:sz w:val="20"/>
          <w:szCs w:val="20"/>
          <w:color w:val="auto"/>
        </w:rPr>
      </w:pPr>
      <w:r>
        <w:rPr>
          <w:rFonts w:ascii="Times New Roman" w:cs="Times New Roman" w:eastAsia="Times New Roman" w:hAnsi="Times New Roman"/>
          <w:sz w:val="16"/>
          <w:szCs w:val="16"/>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Purchased Under Agreements to Resell and Securities Sold Under Agreements to Repurchase</w:t>
      </w:r>
    </w:p>
    <w:p>
      <w:pPr>
        <w:spacing w:after="0" w:line="232"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204" w:lineRule="exact"/>
        <w:rPr>
          <w:sz w:val="20"/>
          <w:szCs w:val="20"/>
          <w:color w:val="auto"/>
        </w:rPr>
      </w:pPr>
    </w:p>
    <w:p>
      <w:pPr>
        <w:ind w:right="60" w:firstLine="597"/>
        <w:spacing w:after="0" w:line="270" w:lineRule="auto"/>
        <w:rPr>
          <w:sz w:val="20"/>
          <w:szCs w:val="20"/>
          <w:color w:val="auto"/>
        </w:rPr>
      </w:pPr>
      <w:r>
        <w:rPr>
          <w:rFonts w:ascii="Times New Roman" w:cs="Times New Roman" w:eastAsia="Times New Roman" w:hAnsi="Times New Roman"/>
          <w:sz w:val="16"/>
          <w:szCs w:val="16"/>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from/Payables to Broker-dealers and Clearing Organizations</w:t>
      </w:r>
    </w:p>
    <w:p>
      <w:pPr>
        <w:spacing w:after="0" w:line="232"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201" w:lineRule="exact"/>
        <w:rPr>
          <w:sz w:val="20"/>
          <w:szCs w:val="20"/>
          <w:color w:val="auto"/>
        </w:rPr>
      </w:pPr>
    </w:p>
    <w:p>
      <w:pPr>
        <w:ind w:right="120" w:firstLine="597"/>
        <w:spacing w:after="0" w:line="256" w:lineRule="auto"/>
        <w:rPr>
          <w:sz w:val="20"/>
          <w:szCs w:val="20"/>
          <w:color w:val="auto"/>
        </w:rPr>
      </w:pPr>
      <w:r>
        <w:rPr>
          <w:rFonts w:ascii="Times New Roman" w:cs="Times New Roman" w:eastAsia="Times New Roman" w:hAnsi="Times New Roman"/>
          <w:sz w:val="17"/>
          <w:szCs w:val="17"/>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to minimize the risk of any losses from these counterparties.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 Owned Including Those Pledged as Collateral and Financial Instruments Sold, Not Yet Purchased</w:t>
      </w:r>
    </w:p>
    <w:p>
      <w:pPr>
        <w:spacing w:after="0" w:line="232" w:lineRule="exact"/>
        <w:rPr>
          <w:sz w:val="20"/>
          <w:szCs w:val="20"/>
          <w:color w:val="auto"/>
        </w:rPr>
      </w:pPr>
    </w:p>
    <w:p>
      <w:pPr>
        <w:ind w:right="420" w:firstLine="597"/>
        <w:spacing w:after="0" w:line="269" w:lineRule="auto"/>
        <w:rPr>
          <w:sz w:val="20"/>
          <w:szCs w:val="20"/>
          <w:color w:val="auto"/>
        </w:rPr>
      </w:pPr>
      <w:r>
        <w:rPr>
          <w:rFonts w:ascii="Times New Roman" w:cs="Times New Roman" w:eastAsia="Times New Roman" w:hAnsi="Times New Roman"/>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84" w:lineRule="exact"/>
        <w:rPr>
          <w:sz w:val="20"/>
          <w:szCs w:val="20"/>
          <w:color w:val="auto"/>
        </w:rPr>
      </w:pPr>
    </w:p>
    <w:p>
      <w:pPr>
        <w:jc w:val="both"/>
        <w:ind w:right="100" w:firstLine="597"/>
        <w:spacing w:after="0" w:line="256" w:lineRule="auto"/>
        <w:rPr>
          <w:sz w:val="20"/>
          <w:szCs w:val="20"/>
          <w:color w:val="auto"/>
        </w:rPr>
      </w:pPr>
      <w:r>
        <w:rPr>
          <w:rFonts w:ascii="Times New Roman" w:cs="Times New Roman" w:eastAsia="Times New Roman" w:hAnsi="Times New Roman"/>
          <w:sz w:val="17"/>
          <w:szCs w:val="17"/>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32" w:lineRule="exact"/>
        <w:rPr>
          <w:sz w:val="20"/>
          <w:szCs w:val="20"/>
          <w:color w:val="auto"/>
        </w:rPr>
      </w:pPr>
    </w:p>
    <w:p>
      <w:pPr>
        <w:jc w:val="both"/>
        <w:ind w:right="220" w:firstLine="597"/>
        <w:spacing w:after="0" w:line="266" w:lineRule="auto"/>
        <w:rPr>
          <w:sz w:val="20"/>
          <w:szCs w:val="20"/>
          <w:color w:val="auto"/>
        </w:rPr>
      </w:pPr>
      <w:r>
        <w:rPr>
          <w:rFonts w:ascii="Times New Roman" w:cs="Times New Roman" w:eastAsia="Times New Roman" w:hAnsi="Times New Roman"/>
          <w:sz w:val="16"/>
          <w:szCs w:val="16"/>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Financial instruments measured and reported at fair value are classified and disclosed in one of the following categories based on inputs: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Level 2 — Quoted prices in markets that are not active and financial instruments for which all significant inputs are observable, either directly or indirectly; or</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w:t>
      </w:r>
    </w:p>
    <w:p>
      <w:pPr>
        <w:spacing w:after="0" w:line="232"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 Trading</w:t>
      </w:r>
    </w:p>
    <w:p>
      <w:pPr>
        <w:spacing w:after="0" w:line="232"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w:t>
      </w:r>
    </w:p>
    <w:p>
      <w:pPr>
        <w:spacing w:after="0" w:line="201" w:lineRule="exact"/>
        <w:rPr>
          <w:sz w:val="20"/>
          <w:szCs w:val="20"/>
          <w:color w:val="auto"/>
        </w:rPr>
      </w:pPr>
    </w:p>
    <w:p>
      <w:pPr>
        <w:ind w:right="140" w:firstLine="597"/>
        <w:spacing w:after="0" w:line="269" w:lineRule="auto"/>
        <w:rPr>
          <w:sz w:val="20"/>
          <w:szCs w:val="20"/>
          <w:color w:val="auto"/>
        </w:rPr>
      </w:pPr>
      <w:r>
        <w:rPr>
          <w:rFonts w:ascii="Times New Roman" w:cs="Times New Roman" w:eastAsia="Times New Roman" w:hAnsi="Times New Roman"/>
          <w:sz w:val="17"/>
          <w:szCs w:val="17"/>
          <w:color w:val="auto"/>
        </w:rPr>
        <w:t>The Company presents its trading derivatives balances on a net-by-counterparty basis when the criteria for offsetting are met. Cash flows associated with such derivative activities are included in cash flows from operating activities on the Condensed Consolidated Statements of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 Hedging</w:t>
      </w:r>
    </w:p>
    <w:p>
      <w:pPr>
        <w:spacing w:after="0" w:line="232" w:lineRule="exact"/>
        <w:rPr>
          <w:sz w:val="20"/>
          <w:szCs w:val="20"/>
          <w:color w:val="auto"/>
        </w:rPr>
      </w:pPr>
    </w:p>
    <w:p>
      <w:pPr>
        <w:ind w:right="80" w:firstLine="597"/>
        <w:spacing w:after="0" w:line="247" w:lineRule="auto"/>
        <w:rPr>
          <w:sz w:val="20"/>
          <w:szCs w:val="20"/>
          <w:color w:val="auto"/>
        </w:rPr>
      </w:pPr>
      <w:r>
        <w:rPr>
          <w:rFonts w:ascii="Times New Roman" w:cs="Times New Roman" w:eastAsia="Times New Roman" w:hAnsi="Times New Roman"/>
          <w:sz w:val="17"/>
          <w:szCs w:val="17"/>
          <w:color w:val="auto"/>
        </w:rPr>
        <w:t>The Company may use derivative instruments for risk management purposes, including cash flow hedges used to manage interest rate risk on long-term borrowings and net investment hedges used to manage foreign exchange risk. The Company has entered into floating-to-fixed interest rate swap agreements in order to manage interest rate risk associated with its long-term debt obligations. Additionally, the Company may seek to reduce the impact of fluctuations in foreign exchange rates on its net investment in certain non-U.S. operations through the use of foreign currency forward contracts. For interest rate swap agreements and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3"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The Company presents its hedging derivatives balances on a net-by-counterparty basis when the criteria for offsetting are met. Balances associated with hedging derivatives are recorded within Receivables from/Payables to broker-dealers and clearing organizations on the Condensed Consolidated Statements of Financial Condition. Cash flows associated with such derivative activities are included in cash flows from operating activities on the Condensed Consolidated Statements of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Client Commission Arrangements</w:t>
      </w:r>
    </w:p>
    <w:p>
      <w:pPr>
        <w:spacing w:after="0" w:line="232" w:lineRule="exact"/>
        <w:rPr>
          <w:sz w:val="20"/>
          <w:szCs w:val="20"/>
          <w:color w:val="auto"/>
        </w:rPr>
      </w:pPr>
    </w:p>
    <w:p>
      <w:pPr>
        <w:ind w:right="220" w:firstLine="597"/>
        <w:spacing w:after="0" w:line="248" w:lineRule="auto"/>
        <w:rPr>
          <w:sz w:val="20"/>
          <w:szCs w:val="20"/>
          <w:color w:val="auto"/>
        </w:rPr>
      </w:pPr>
      <w:r>
        <w:rPr>
          <w:rFonts w:ascii="Times New Roman" w:cs="Times New Roman" w:eastAsia="Times New Roman" w:hAnsi="Times New Roman"/>
          <w:sz w:val="17"/>
          <w:szCs w:val="17"/>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broker-dealers, net of an allowance is included in Receivables from customers and Receivables from broker-dealers and clearing organizations, while accrued research payable is included in Accounts payable, accrued expenses, and other liabilities in the Condensed Consolidated Statements of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232" w:lineRule="exact"/>
        <w:rPr>
          <w:sz w:val="20"/>
          <w:szCs w:val="20"/>
          <w:color w:val="auto"/>
        </w:rPr>
      </w:pPr>
    </w:p>
    <w:p>
      <w:pPr>
        <w:ind w:right="120" w:firstLine="597"/>
        <w:spacing w:after="0" w:line="248" w:lineRule="auto"/>
        <w:rPr>
          <w:sz w:val="20"/>
          <w:szCs w:val="20"/>
          <w:color w:val="auto"/>
        </w:rPr>
      </w:pPr>
      <w:r>
        <w:rPr>
          <w:rFonts w:ascii="Times New Roman" w:cs="Times New Roman" w:eastAsia="Times New Roman" w:hAnsi="Times New Roman"/>
          <w:sz w:val="17"/>
          <w:szCs w:val="17"/>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Capitalized Software</w:t>
      </w:r>
    </w:p>
    <w:p>
      <w:pPr>
        <w:spacing w:after="0" w:line="232" w:lineRule="exact"/>
        <w:rPr>
          <w:sz w:val="20"/>
          <w:szCs w:val="20"/>
          <w:color w:val="auto"/>
        </w:rPr>
      </w:pPr>
    </w:p>
    <w:p>
      <w:pPr>
        <w:ind w:right="140" w:firstLine="597"/>
        <w:spacing w:after="0" w:line="269" w:lineRule="auto"/>
        <w:rPr>
          <w:sz w:val="20"/>
          <w:szCs w:val="20"/>
          <w:color w:val="auto"/>
        </w:rPr>
      </w:pPr>
      <w:r>
        <w:rPr>
          <w:rFonts w:ascii="Times New Roman" w:cs="Times New Roman" w:eastAsia="Times New Roman" w:hAnsi="Times New Roman"/>
          <w:sz w:val="17"/>
          <w:szCs w:val="17"/>
          <w:color w:val="auto"/>
        </w:rPr>
        <w:t>The Company capitalizes costs of materials, consultants, and payroll and payroll related costs for employees incurred in developing internal-use software and software to be sold, leased, or marketed. Costs incurred during the preliminary project and post-implementation stages are charged to expense.</w:t>
      </w:r>
    </w:p>
    <w:p>
      <w:pPr>
        <w:spacing w:after="0" w:line="184" w:lineRule="exact"/>
        <w:rPr>
          <w:sz w:val="20"/>
          <w:szCs w:val="20"/>
          <w:color w:val="auto"/>
        </w:rPr>
      </w:pPr>
    </w:p>
    <w:p>
      <w:pPr>
        <w:ind w:right="420" w:firstLine="597"/>
        <w:spacing w:after="0" w:line="269" w:lineRule="auto"/>
        <w:rPr>
          <w:sz w:val="20"/>
          <w:szCs w:val="20"/>
          <w:color w:val="auto"/>
        </w:rPr>
      </w:pPr>
      <w:r>
        <w:rPr>
          <w:rFonts w:ascii="Times New Roman" w:cs="Times New Roman" w:eastAsia="Times New Roman" w:hAnsi="Times New Roman"/>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84"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Capitalized software development costs and related accumulated amortization are included in Property, equipment and capitalized software in the accompanying Condensed Consolidated Statements of Financial Condition and are amortized over a period of 1.5 to 3 years, which represents the estimated useful lives of the underlying software.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32" w:lineRule="exact"/>
        <w:rPr>
          <w:sz w:val="20"/>
          <w:szCs w:val="20"/>
          <w:color w:val="auto"/>
        </w:rPr>
      </w:pPr>
    </w:p>
    <w:p>
      <w:pPr>
        <w:ind w:firstLine="597"/>
        <w:spacing w:after="0" w:line="246" w:lineRule="auto"/>
        <w:rPr>
          <w:sz w:val="20"/>
          <w:szCs w:val="20"/>
          <w:color w:val="auto"/>
        </w:rPr>
      </w:pPr>
      <w:r>
        <w:rPr>
          <w:rFonts w:ascii="Times New Roman" w:cs="Times New Roman" w:eastAsia="Times New Roman" w:hAnsi="Times New Roman"/>
          <w:sz w:val="17"/>
          <w:szCs w:val="17"/>
          <w:color w:val="auto"/>
        </w:rPr>
        <w:t>The Company determines if an arrangement is a lease at the inception of the arrangement. Operating leases are included in Operating lease right-of-use ("ROU") assets and Operating lease liabilities on the Condensed Consolidated Statements of Financial Condition. Operating lease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Condensed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of the lease,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Lease expense related to the leasing of corporate office space is recorded in Operations and Administrative expenses on the Condensed Consolidated Statement of Comprehensive Income. Lease expense related to the leasing of data centers and other technology is recorded in Communication and Data Processing on the Condensed Consolidated Statement of Comprehensive Income. Certain of the Company's lease agreements contain fixed lease payments that contain lease and non-lease components; for such leases, the Company accounts for the lease and non-lease components as a single lease component. The Company nets its sublease income against corresponding lease expenses within Operations and Administrative expenses on the Condensed Consolidated Statement of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32" w:lineRule="exact"/>
        <w:rPr>
          <w:sz w:val="20"/>
          <w:szCs w:val="20"/>
          <w:color w:val="auto"/>
        </w:rPr>
      </w:pPr>
    </w:p>
    <w:p>
      <w:pPr>
        <w:ind w:right="280" w:firstLine="597"/>
        <w:spacing w:after="0" w:line="280"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77" w:lineRule="exact"/>
        <w:rPr>
          <w:sz w:val="20"/>
          <w:szCs w:val="20"/>
          <w:color w:val="auto"/>
        </w:rPr>
      </w:pPr>
    </w:p>
    <w:p>
      <w:pPr>
        <w:jc w:val="both"/>
        <w:ind w:right="100" w:firstLine="597"/>
        <w:spacing w:after="0" w:line="256" w:lineRule="auto"/>
        <w:rPr>
          <w:sz w:val="20"/>
          <w:szCs w:val="20"/>
          <w:color w:val="auto"/>
        </w:rPr>
      </w:pPr>
      <w:r>
        <w:rPr>
          <w:rFonts w:ascii="Times New Roman" w:cs="Times New Roman" w:eastAsia="Times New Roman" w:hAnsi="Times New Roman"/>
          <w:sz w:val="17"/>
          <w:szCs w:val="17"/>
          <w:color w:val="auto"/>
        </w:rPr>
        <w:t>The Company assesses goodwill for impairment on an annual basis on July 1 and on an interim basis when certain events occur or certain circumstances exist. In the impairment assessment as of July 1, 2020, the Company assessed qualitative factors as described in ASC 350-20 for each of its reporting units for any indicators that the fair values of the reporting units were less than their carrying values. No impairment was identified.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32"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Memberships and Stock</w:t>
      </w:r>
    </w:p>
    <w:p>
      <w:pPr>
        <w:spacing w:after="0" w:line="232"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Exchange memberships are recorded at cost or, if any other than temporary impairment in value has occurred, at a value that reflects management’s estimate of fair value. Exchange memberships acquired in connection with the Acquisition of KCG were recorded at their fair values on the dates of acquisition. Exchange stock includes shares that entitle the Company to certain trading privileges.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Income, net</w:t>
      </w:r>
    </w:p>
    <w:p>
      <w:pPr>
        <w:spacing w:after="0" w:line="232" w:lineRule="exact"/>
        <w:rPr>
          <w:sz w:val="20"/>
          <w:szCs w:val="20"/>
          <w:color w:val="auto"/>
        </w:rPr>
      </w:pPr>
    </w:p>
    <w:p>
      <w:pPr>
        <w:ind w:right="140" w:firstLine="597"/>
        <w:spacing w:after="0" w:line="256" w:lineRule="auto"/>
        <w:rPr>
          <w:sz w:val="20"/>
          <w:szCs w:val="20"/>
          <w:color w:val="auto"/>
        </w:rPr>
      </w:pPr>
      <w:r>
        <w:rPr>
          <w:rFonts w:ascii="Times New Roman" w:cs="Times New Roman" w:eastAsia="Times New Roman" w:hAnsi="Times New Roman"/>
          <w:sz w:val="17"/>
          <w:szCs w:val="17"/>
          <w:color w:val="auto"/>
        </w:rPr>
        <w:t>Trading income, net is composed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Commissions, net and Technology Services</w:t>
      </w:r>
    </w:p>
    <w:p>
      <w:pPr>
        <w:spacing w:after="0" w:line="232"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 The Company recognizes the related revenue when the third-party research services are rendered and payments are made to the service provider.</w:t>
      </w:r>
    </w:p>
    <w:p>
      <w:pPr>
        <w:spacing w:after="0" w:line="201"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9" w:lineRule="exact"/>
        <w:rPr>
          <w:sz w:val="20"/>
          <w:szCs w:val="20"/>
          <w:color w:val="auto"/>
        </w:rPr>
      </w:pPr>
    </w:p>
    <w:p>
      <w:pPr>
        <w:ind w:right="20" w:firstLine="597"/>
        <w:spacing w:after="0" w:line="256" w:lineRule="auto"/>
        <w:rPr>
          <w:sz w:val="20"/>
          <w:szCs w:val="20"/>
          <w:color w:val="auto"/>
        </w:rPr>
      </w:pPr>
      <w:r>
        <w:rPr>
          <w:rFonts w:ascii="Times New Roman" w:cs="Times New Roman" w:eastAsia="Times New Roman" w:hAnsi="Times New Roman"/>
          <w:sz w:val="17"/>
          <w:szCs w:val="17"/>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Dividends Income/Interest and Dividends Expense</w:t>
      </w:r>
    </w:p>
    <w:p>
      <w:pPr>
        <w:spacing w:after="0" w:line="232" w:lineRule="exact"/>
        <w:rPr>
          <w:sz w:val="20"/>
          <w:szCs w:val="20"/>
          <w:color w:val="auto"/>
        </w:rPr>
      </w:pPr>
    </w:p>
    <w:p>
      <w:pPr>
        <w:ind w:right="180" w:firstLine="597"/>
        <w:spacing w:after="0" w:line="252"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Brokerage, Exchange, Clearance Fees and Payments for Order Flow, Net</w:t>
      </w:r>
    </w:p>
    <w:p>
      <w:pPr>
        <w:spacing w:after="0" w:line="232" w:lineRule="exact"/>
        <w:rPr>
          <w:sz w:val="20"/>
          <w:szCs w:val="20"/>
          <w:color w:val="auto"/>
        </w:rPr>
      </w:pPr>
    </w:p>
    <w:p>
      <w:pPr>
        <w:ind w:right="80" w:firstLine="597"/>
        <w:spacing w:after="0" w:line="250" w:lineRule="auto"/>
        <w:rPr>
          <w:sz w:val="20"/>
          <w:szCs w:val="20"/>
          <w:color w:val="auto"/>
        </w:rPr>
      </w:pPr>
      <w:r>
        <w:rPr>
          <w:rFonts w:ascii="Times New Roman" w:cs="Times New Roman" w:eastAsia="Times New Roman" w:hAnsi="Times New Roman"/>
          <w:sz w:val="17"/>
          <w:szCs w:val="17"/>
          <w:color w:val="auto"/>
        </w:rPr>
        <w:t>Brokerage, exchange, clearance fees and payments for order flow, net, comprise the costs of executing and clearing trades and are accrued on a trade date basis in the Condensed Consolidated Statements of Comprehensive Income. These costs are net of rebates, which consist of volume discounts, credits or payments received from exchanges or other market places related to the placement and/or removal of liquidity from the order flow in the marketplace. Rebates are recorded on an accrual basis. Payments for order flow represent payments to broker-dealer clients, in the normal course of business, for directing their order flow in U.S. equities to the Company.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32" w:lineRule="exact"/>
        <w:rPr>
          <w:sz w:val="20"/>
          <w:szCs w:val="20"/>
          <w:color w:val="auto"/>
        </w:rPr>
      </w:pPr>
    </w:p>
    <w:p>
      <w:pPr>
        <w:ind w:right="420" w:firstLine="597"/>
        <w:spacing w:after="0" w:line="269"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84" w:lineRule="exact"/>
        <w:rPr>
          <w:sz w:val="20"/>
          <w:szCs w:val="20"/>
          <w:color w:val="auto"/>
        </w:rPr>
      </w:pPr>
    </w:p>
    <w:p>
      <w:pPr>
        <w:ind w:right="200" w:firstLine="597"/>
        <w:spacing w:after="0" w:line="256" w:lineRule="auto"/>
        <w:rPr>
          <w:sz w:val="20"/>
          <w:szCs w:val="20"/>
          <w:color w:val="auto"/>
        </w:rPr>
      </w:pPr>
      <w:r>
        <w:rPr>
          <w:rFonts w:ascii="Times New Roman" w:cs="Times New Roman" w:eastAsia="Times New Roman" w:hAnsi="Times New Roman"/>
          <w:sz w:val="17"/>
          <w:szCs w:val="17"/>
          <w:color w:val="auto"/>
        </w:rPr>
        <w:t>The provision for income tax comprises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96"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7"/>
          <w:szCs w:val="17"/>
          <w:color w:val="auto"/>
        </w:rPr>
        <w:t>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Income</w:t>
      </w:r>
    </w:p>
    <w:p>
      <w:pPr>
        <w:spacing w:after="0" w:line="232" w:lineRule="exact"/>
        <w:rPr>
          <w:sz w:val="20"/>
          <w:szCs w:val="20"/>
          <w:color w:val="auto"/>
        </w:rPr>
      </w:pPr>
    </w:p>
    <w:p>
      <w:pPr>
        <w:ind w:right="220" w:firstLine="597"/>
        <w:spacing w:after="0" w:line="301" w:lineRule="auto"/>
        <w:rPr>
          <w:sz w:val="20"/>
          <w:szCs w:val="20"/>
          <w:color w:val="auto"/>
        </w:rPr>
      </w:pPr>
      <w:r>
        <w:rPr>
          <w:rFonts w:ascii="Times New Roman" w:cs="Times New Roman" w:eastAsia="Times New Roman" w:hAnsi="Times New Roman"/>
          <w:sz w:val="16"/>
          <w:szCs w:val="16"/>
          <w:color w:val="auto"/>
        </w:rPr>
        <w:t>Comprehensive income consists of two components: net income and other comprehensive income (“OCI”). The Company’s OCI comprises foreign currency translation adjustments and mark-to-market gains and losses on the Company's derivative instruments designated as hedging instruments under ASC 815.</w:t>
      </w:r>
    </w:p>
    <w:p>
      <w:pPr>
        <w:spacing w:after="0" w:line="161"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color w:val="auto"/>
        </w:rPr>
        <w:t>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component of stockholders’ equity. 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202" w:lineRule="exact"/>
        <w:rPr>
          <w:sz w:val="20"/>
          <w:szCs w:val="20"/>
          <w:color w:val="auto"/>
        </w:rPr>
      </w:pPr>
    </w:p>
    <w:p>
      <w:pPr>
        <w:ind w:right="300" w:firstLine="597"/>
        <w:spacing w:after="0" w:line="252" w:lineRule="auto"/>
        <w:rPr>
          <w:sz w:val="20"/>
          <w:szCs w:val="20"/>
          <w:color w:val="auto"/>
        </w:rPr>
      </w:pPr>
      <w:r>
        <w:rPr>
          <w:rFonts w:ascii="Times New Roman" w:cs="Times New Roman" w:eastAsia="Times New Roman" w:hAnsi="Times New Roman"/>
          <w:sz w:val="17"/>
          <w:szCs w:val="17"/>
          <w:color w:val="auto"/>
        </w:rPr>
        <w:t>The Company may use derivative instruments for risk management purposes, including cash flow hedges used to manage interest rate risk on long-term borrowings and net investment hedges used to manage foreign exchange risk. For instruments that meet the criteria to be considered hedging instruments under ASC 815, any gains or losses are included in Accumulated other comprehensive income on the Condensed Consolidated Statements of Financial Condition and Other comprehensive income on the Condensed Consolidated Statements of Comprehensive Income, to the extent they are effective.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32" w:lineRule="exact"/>
        <w:rPr>
          <w:sz w:val="20"/>
          <w:szCs w:val="20"/>
          <w:color w:val="auto"/>
        </w:rPr>
      </w:pPr>
    </w:p>
    <w:p>
      <w:pPr>
        <w:ind w:right="20" w:firstLine="597"/>
        <w:spacing w:after="0" w:line="264" w:lineRule="auto"/>
        <w:rPr>
          <w:sz w:val="20"/>
          <w:szCs w:val="20"/>
          <w:color w:val="auto"/>
        </w:rPr>
      </w:pPr>
      <w:r>
        <w:rPr>
          <w:rFonts w:ascii="Times New Roman" w:cs="Times New Roman" w:eastAsia="Times New Roman" w:hAnsi="Times New Roman"/>
          <w:sz w:val="16"/>
          <w:szCs w:val="16"/>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are in the form of stock options, Class A common stock, par value $0.00001 per share (the “Class A Common Stock”), RSAs and RSUs, as applicable. The fair values of the Class A Common Stock and RSUs are determined based on the volume weighted average price for the three days preceding the grant. With respect to the RSUs, forfeitures are accounted for as they occur. The fair value of RSAs is determined based on the closing price as of the grant date. The fair value of share-based awards granted to employees is expensed based on the vesting conditions and is recognized on a straight-line basis over the vesting period, or, in the case of RSAs subject to performance conditions, from the date that achievement of the performance target becomes probable through the remainder of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232" w:lineRule="exact"/>
        <w:rPr>
          <w:sz w:val="20"/>
          <w:szCs w:val="20"/>
          <w:color w:val="auto"/>
        </w:rPr>
      </w:pPr>
    </w:p>
    <w:p>
      <w:pPr>
        <w:jc w:val="both"/>
        <w:ind w:right="80" w:firstLine="597"/>
        <w:spacing w:after="0" w:line="256"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6" w:lineRule="exact"/>
        <w:rPr>
          <w:sz w:val="20"/>
          <w:szCs w:val="20"/>
          <w:color w:val="auto"/>
        </w:rPr>
      </w:pPr>
    </w:p>
    <w:p>
      <w:pPr>
        <w:jc w:val="both"/>
        <w:ind w:right="40" w:firstLine="597"/>
        <w:spacing w:after="0" w:line="25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6"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September 30, 2020, the Company held noncontrolling interests of 10% and 50%, respectively, in these JVs.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140" w:firstLine="597"/>
        <w:spacing w:after="0" w:line="269"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September 30, 2020, the Company held approximately a 10% noncontrolling interest in this JV.</w:t>
      </w:r>
    </w:p>
    <w:p>
      <w:pPr>
        <w:spacing w:after="0" w:line="184"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17"/>
          <w:szCs w:val="17"/>
          <w:color w:val="auto"/>
        </w:rPr>
        <w:t>The Company has an interest in a JV that is developing a member-owned equities exchange with the goal of increasing competition and transparency, while reducing fixed costs and simplifying execution of equity trading in the US. As of September 30, 2020, the Company held approximately a 14.1% noncontrolling interest in this JV.</w:t>
      </w:r>
    </w:p>
    <w:p>
      <w:pPr>
        <w:spacing w:after="0" w:line="196" w:lineRule="exact"/>
        <w:rPr>
          <w:sz w:val="20"/>
          <w:szCs w:val="20"/>
          <w:color w:val="auto"/>
        </w:rPr>
      </w:pPr>
    </w:p>
    <w:p>
      <w:pPr>
        <w:ind w:right="140" w:firstLine="597"/>
        <w:spacing w:after="0" w:line="249" w:lineRule="auto"/>
        <w:rPr>
          <w:sz w:val="20"/>
          <w:szCs w:val="20"/>
          <w:color w:val="auto"/>
        </w:rPr>
      </w:pPr>
      <w:r>
        <w:rPr>
          <w:rFonts w:ascii="Times New Roman" w:cs="Times New Roman" w:eastAsia="Times New Roman" w:hAnsi="Times New Roman"/>
          <w:sz w:val="17"/>
          <w:szCs w:val="17"/>
          <w:color w:val="auto"/>
        </w:rPr>
        <w:t>The Company's four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02" w:lineRule="exact"/>
        <w:rPr>
          <w:sz w:val="20"/>
          <w:szCs w:val="20"/>
          <w:color w:val="auto"/>
        </w:rPr>
      </w:pPr>
    </w:p>
    <w:p>
      <w:pPr>
        <w:ind w:right="280" w:firstLine="597"/>
        <w:spacing w:after="0" w:line="269"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September 30, 2020:</w:t>
      </w:r>
    </w:p>
    <w:p>
      <w:pPr>
        <w:spacing w:after="0" w:line="60"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Carrying Amount</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Maximum Exposure to</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Asset</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VIEs' assets</w:t>
            </w:r>
          </w:p>
        </w:tc>
        <w:tc>
          <w:tcPr>
            <w:tcW w:w="0" w:type="dxa"/>
            <w:vAlign w:val="bottom"/>
          </w:tcPr>
          <w:p>
            <w:pPr>
              <w:spacing w:after="0"/>
              <w:rPr>
                <w:sz w:val="1"/>
                <w:szCs w:val="1"/>
                <w:color w:val="auto"/>
              </w:rPr>
            </w:pPr>
          </w:p>
        </w:tc>
      </w:tr>
      <w:tr>
        <w:trPr>
          <w:trHeight w:val="174"/>
        </w:trPr>
        <w:tc>
          <w:tcPr>
            <w:tcW w:w="51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31,683</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185,931</w:t>
            </w:r>
          </w:p>
        </w:tc>
        <w:tc>
          <w:tcPr>
            <w:tcW w:w="0" w:type="dxa"/>
            <w:vAlign w:val="bottom"/>
          </w:tcPr>
          <w:p>
            <w:pPr>
              <w:spacing w:after="0"/>
              <w:rPr>
                <w:sz w:val="1"/>
                <w:szCs w:val="1"/>
                <w:color w:val="auto"/>
              </w:rPr>
            </w:pPr>
          </w:p>
        </w:tc>
      </w:tr>
      <w:tr>
        <w:trPr>
          <w:trHeight w:val="299"/>
        </w:trPr>
        <w:tc>
          <w:tcPr>
            <w:tcW w:w="660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auto"/>
                <w:w w:val="99"/>
              </w:rPr>
              <w:t>The following table presents the Company’s nonconsolidated VIEs at December 31, 2019:</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Carrying Amount</w:t>
            </w:r>
          </w:p>
        </w:tc>
        <w:tc>
          <w:tcPr>
            <w:tcW w:w="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Maximum Exposure to</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Asset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Liability</w:t>
            </w: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VIEs' assets</w:t>
            </w:r>
          </w:p>
        </w:tc>
        <w:tc>
          <w:tcPr>
            <w:tcW w:w="0" w:type="dxa"/>
            <w:vAlign w:val="bottom"/>
          </w:tcPr>
          <w:p>
            <w:pPr>
              <w:spacing w:after="0"/>
              <w:rPr>
                <w:sz w:val="1"/>
                <w:szCs w:val="1"/>
                <w:color w:val="auto"/>
              </w:rPr>
            </w:pPr>
          </w:p>
        </w:tc>
      </w:tr>
      <w:tr>
        <w:trPr>
          <w:trHeight w:val="174"/>
        </w:trPr>
        <w:tc>
          <w:tcPr>
            <w:tcW w:w="510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28,579</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119,051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28"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Measurement </w:t>
      </w:r>
      <w:r>
        <w:rPr>
          <w:rFonts w:ascii="Times New Roman" w:cs="Times New Roman" w:eastAsia="Times New Roman" w:hAnsi="Times New Roman"/>
          <w:sz w:val="17"/>
          <w:szCs w:val="17"/>
          <w:color w:val="auto"/>
        </w:rPr>
        <w:t>- In August 2018, the FASB issued ASU 2018-13,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Fair Value Measurement (Topic 820): Disclosure Framework-Changes to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Disclosure Requirements for Fair Value Measurement</w:t>
      </w:r>
      <w:r>
        <w:rPr>
          <w:rFonts w:ascii="Times New Roman" w:cs="Times New Roman" w:eastAsia="Times New Roman" w:hAnsi="Times New Roman"/>
          <w:sz w:val="17"/>
          <w:szCs w:val="17"/>
          <w:color w:val="auto"/>
        </w:rPr>
        <w:t>, which modified the disclosure requirements on fair value measurements in ASC Topic 820,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Company adopted this ASU on January 1, 2020. The updated disclosures are included in Note 11 “Financial Assets and Liabilities”.</w:t>
      </w:r>
    </w:p>
    <w:p>
      <w:pPr>
        <w:spacing w:after="0" w:line="201" w:lineRule="exact"/>
        <w:rPr>
          <w:sz w:val="20"/>
          <w:szCs w:val="20"/>
          <w:color w:val="auto"/>
        </w:rPr>
      </w:pPr>
    </w:p>
    <w:p>
      <w:pPr>
        <w:ind w:right="8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w:t>
      </w:r>
      <w:r>
        <w:rPr>
          <w:rFonts w:ascii="Times New Roman" w:cs="Times New Roman" w:eastAsia="Times New Roman" w:hAnsi="Times New Roman"/>
          <w:sz w:val="17"/>
          <w:szCs w:val="17"/>
          <w:color w:val="auto"/>
        </w:rPr>
        <w:t>- In October 2018, the FASB issued ASU 2018-17,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 (Topic 810): Targeted Improvements to Related Party Guidance for Variable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Interest Entities</w:t>
      </w:r>
      <w:r>
        <w:rPr>
          <w:rFonts w:ascii="Times New Roman" w:cs="Times New Roman" w:eastAsia="Times New Roman" w:hAnsi="Times New Roman"/>
          <w:sz w:val="17"/>
          <w:szCs w:val="17"/>
          <w:color w:val="auto"/>
        </w:rPr>
        <w:t>, which modified how VIEs are assessed for consolidation purposes under ASC Topic 810, Consolidation. Under the update, indirect interests held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 related parties in common control arrangements should be considered on a proportional basis for determining whether fees paid to decision makers and service providers are variable interests. The Company adopted this ASU on January 1, 2020, and it did not have a material impact on its condensed consolidated financial statements.</w:t>
      </w:r>
    </w:p>
    <w:p>
      <w:pPr>
        <w:spacing w:after="0" w:line="197" w:lineRule="exact"/>
        <w:rPr>
          <w:sz w:val="20"/>
          <w:szCs w:val="20"/>
          <w:color w:val="auto"/>
        </w:rPr>
      </w:pPr>
    </w:p>
    <w:p>
      <w:pPr>
        <w:ind w:right="2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Measurement of Credit Losses on Financial Instruments </w:t>
      </w:r>
      <w:r>
        <w:rPr>
          <w:rFonts w:ascii="Times New Roman" w:cs="Times New Roman" w:eastAsia="Times New Roman" w:hAnsi="Times New Roman"/>
          <w:sz w:val="17"/>
          <w:szCs w:val="17"/>
          <w:color w:val="auto"/>
        </w:rPr>
        <w:t>- In June 2016, the FASB issued ASU 2016-13,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Financial Instruments - Credit Losses (Topic 326) -</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Measurement of Credit Losses on Financial Instruments</w:t>
      </w:r>
      <w:r>
        <w:rPr>
          <w:rFonts w:ascii="Times New Roman" w:cs="Times New Roman" w:eastAsia="Times New Roman" w:hAnsi="Times New Roman"/>
          <w:sz w:val="17"/>
          <w:szCs w:val="17"/>
          <w:color w:val="auto"/>
        </w:rPr>
        <w:t>. This ASU amends several aspects of the measurement of credit losses on financial instruments,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previous U.S. GAAP.</w:t>
      </w:r>
    </w:p>
    <w:p>
      <w:pPr>
        <w:spacing w:after="0" w:line="196" w:lineRule="exact"/>
        <w:rPr>
          <w:sz w:val="20"/>
          <w:szCs w:val="20"/>
          <w:color w:val="auto"/>
        </w:rPr>
      </w:pPr>
    </w:p>
    <w:p>
      <w:pPr>
        <w:ind w:right="100" w:firstLine="597"/>
        <w:spacing w:after="0" w:line="252" w:lineRule="auto"/>
        <w:rPr>
          <w:sz w:val="20"/>
          <w:szCs w:val="20"/>
          <w:color w:val="auto"/>
        </w:rPr>
      </w:pPr>
      <w:r>
        <w:rPr>
          <w:rFonts w:ascii="Times New Roman" w:cs="Times New Roman" w:eastAsia="Times New Roman" w:hAnsi="Times New Roman"/>
          <w:sz w:val="17"/>
          <w:szCs w:val="17"/>
          <w:color w:val="auto"/>
        </w:rPr>
        <w:t>The Company adopted this ASU on January 1, 2020 using the modified retrospective method of adoption. The ASU impacts only those financial instruments that are carried by the Company at amortized cost such as collateralized financing arrangements (repurchase agreements and securities borrowing/ lending transactions) and receivables from customers, broker-dealers and clearing organizations. The adoption of this ASU did not have a material impact to the Company's financial condition, results of operations or cash flows.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September 30, 2020</w:t>
      </w:r>
    </w:p>
    <w:p>
      <w:pPr>
        <w:spacing w:after="0" w:line="228"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 In December 2019, the FASB issued ASU 2019-12,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ASU removes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certain exceptions related to the approach for intraperiod tax allocation, the methodology for calculating 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ASU is effective for periods beginning after December 15, 2020, including interim periods within that fiscal year; early adoption is permitted. Most amendments within the ASU are required to be applied on a prospective basis, while certain amendments must be applied on a retrospective or modified retrospective basis. The Company is currently evaluating the impact of the new standard on its Condensed Consolidated Financial Statements and related disclosures.</w:t>
      </w:r>
    </w:p>
    <w:p>
      <w:pPr>
        <w:spacing w:after="0" w:line="198" w:lineRule="exact"/>
        <w:rPr>
          <w:sz w:val="20"/>
          <w:szCs w:val="20"/>
          <w:color w:val="auto"/>
        </w:rPr>
      </w:pPr>
    </w:p>
    <w:p>
      <w:pPr>
        <w:ind w:right="80" w:firstLine="597"/>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Reference Rate Reform </w:t>
      </w:r>
      <w:r>
        <w:rPr>
          <w:rFonts w:ascii="Times New Roman" w:cs="Times New Roman" w:eastAsia="Times New Roman" w:hAnsi="Times New Roman"/>
          <w:sz w:val="17"/>
          <w:szCs w:val="17"/>
          <w:color w:val="auto"/>
        </w:rPr>
        <w:t>- In March 2020, the FASB issued ASU 2020-04,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Rate Reform (Topic 848): Facilitation of the Effects of Reference 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Reform on Financial Reporting</w:t>
      </w:r>
      <w:r>
        <w:rPr>
          <w:rFonts w:ascii="Times New Roman" w:cs="Times New Roman" w:eastAsia="Times New Roman" w:hAnsi="Times New Roman"/>
          <w:sz w:val="17"/>
          <w:szCs w:val="17"/>
          <w:color w:val="auto"/>
        </w:rPr>
        <w:t>, which is designed to ease the potential burden in accounting for the transition away from LIBOR. The ASU applies to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The Company is evaluating the impact of the ASU, but does not expect it to have a material impact on its Condensed Consolidated Financial Statements and related disclosures.</w:t>
      </w:r>
    </w:p>
    <w:p>
      <w:pPr>
        <w:spacing w:after="0" w:line="198" w:lineRule="exact"/>
        <w:rPr>
          <w:sz w:val="20"/>
          <w:szCs w:val="20"/>
          <w:color w:val="auto"/>
        </w:rPr>
      </w:pPr>
    </w:p>
    <w:p>
      <w:pPr>
        <w:ind w:right="20" w:firstLine="597"/>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Convertible Instruments </w:t>
      </w:r>
      <w:r>
        <w:rPr>
          <w:rFonts w:ascii="Times New Roman" w:cs="Times New Roman" w:eastAsia="Times New Roman" w:hAnsi="Times New Roman"/>
          <w:sz w:val="16"/>
          <w:szCs w:val="16"/>
          <w:color w:val="auto"/>
        </w:rPr>
        <w:t>- In August 2020, the FASB issued ASU 2020-06,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Debt - Debt with Conversion and Other Options (Subtopic 470-20) and Derivatives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and Hedging - Contracts in Entity's Own Equity (Subtopic 815-40). </w:t>
      </w:r>
      <w:r>
        <w:rPr>
          <w:rFonts w:ascii="Times New Roman" w:cs="Times New Roman" w:eastAsia="Times New Roman" w:hAnsi="Times New Roman"/>
          <w:sz w:val="16"/>
          <w:szCs w:val="16"/>
          <w:color w:val="auto"/>
        </w:rPr>
        <w:t>The ASU simplifies accounting for certain financial instruments with characteristics of liabilities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equity, including convertible instruments and contracts in an entity's own equity and updates selected EPS guidance. The ASU is effective for periods beginning after December 15, 2021. The Company is currently evaluating the impact of the new standard on its Condensed Consolidated Financial Statements and related disclosures.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ITG Acquisition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Background</w:t>
      </w:r>
    </w:p>
    <w:p>
      <w:pPr>
        <w:spacing w:after="0" w:line="230" w:lineRule="exact"/>
        <w:rPr>
          <w:sz w:val="20"/>
          <w:szCs w:val="20"/>
          <w:color w:val="auto"/>
        </w:rPr>
      </w:pPr>
    </w:p>
    <w:p>
      <w:pPr>
        <w:ind w:right="20" w:firstLine="597"/>
        <w:spacing w:after="0" w:line="246" w:lineRule="auto"/>
        <w:rPr>
          <w:sz w:val="20"/>
          <w:szCs w:val="20"/>
          <w:color w:val="auto"/>
        </w:rPr>
      </w:pPr>
      <w:r>
        <w:rPr>
          <w:rFonts w:ascii="Times New Roman" w:cs="Times New Roman" w:eastAsia="Times New Roman" w:hAnsi="Times New Roman"/>
          <w:sz w:val="17"/>
          <w:szCs w:val="17"/>
          <w:color w:val="auto"/>
        </w:rPr>
        <w:t>On the ITG Closing Date, the Company completed the ITG Acquisition. In connection with the ITG Acquisition, Virtu Financial, VFH Parent LLC, a Delaware limited liability company and a subsidiary of Virtu Financial (“VFH”) and Impala Borrower LLC (the “Acquisition Borrower”), a subsidiary of the Company, entered into a Credit Agreement dated as of March 1, 2019 (as amended from time to time, the “Credit Agreement”), with the lenders party thereto, Jefferies Finance LLC, as administrative agent and Jefferies Finance LLC and RBC Capital Markets, as joint lead arrangers and joint bookrunners. The Credit Agreement provided (i) a senior secured first lien term loan in an aggregate principal amount of $1,500.0 million,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The Credit Agreement was subsequently amended as described further in Note 10 “Borrowings”. Additionally, on the ITG Closing Date, the Company’s fourth amended and restated credit agreement (as amended on January 2, 2018 and September 19, 2018, the “Fourth Amended and Restated Credit Agreement”) with the lenders party thereto and JPMorgan Chase Bank, N.A., as administrative agent, sole lead arranger and bookrunner, was terminated.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treatment of the ITG Acquisition</w:t>
      </w:r>
    </w:p>
    <w:p>
      <w:pPr>
        <w:spacing w:after="0" w:line="228" w:lineRule="exact"/>
        <w:rPr>
          <w:sz w:val="20"/>
          <w:szCs w:val="20"/>
          <w:color w:val="auto"/>
        </w:rPr>
      </w:pPr>
    </w:p>
    <w:p>
      <w:pPr>
        <w:ind w:right="20" w:firstLine="597"/>
        <w:spacing w:after="0" w:line="249" w:lineRule="auto"/>
        <w:rPr>
          <w:sz w:val="20"/>
          <w:szCs w:val="20"/>
          <w:color w:val="auto"/>
        </w:rPr>
      </w:pPr>
      <w:r>
        <w:rPr>
          <w:rFonts w:ascii="Times New Roman" w:cs="Times New Roman" w:eastAsia="Times New Roman" w:hAnsi="Times New Roman"/>
          <w:sz w:val="17"/>
          <w:szCs w:val="17"/>
          <w:color w:val="auto"/>
        </w:rPr>
        <w:t xml:space="preserve">The ITG Acquisition has been accounted for as a business combination pursuant to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nine months ended September 30, 2019 comprise the results of the Company for the entire applicable period and the results of ITG from the ITG Closing Date through September 30, 2019. All periods prior to the ITG Closing Date comprise solely the results of the Company.</w:t>
      </w:r>
    </w:p>
    <w:p>
      <w:pPr>
        <w:spacing w:after="0" w:line="204"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17"/>
          <w:szCs w:val="17"/>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Condensed Consolidated Statements of Comprehensive Income for the nine months ended September 30, 2019.</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price and goodwill</w:t>
      </w:r>
    </w:p>
    <w:p>
      <w:pPr>
        <w:spacing w:after="0" w:line="230" w:lineRule="exact"/>
        <w:rPr>
          <w:sz w:val="20"/>
          <w:szCs w:val="20"/>
          <w:color w:val="auto"/>
        </w:rPr>
      </w:pPr>
    </w:p>
    <w:p>
      <w:pPr>
        <w:ind w:right="180" w:firstLine="597"/>
        <w:spacing w:after="0" w:line="256" w:lineRule="auto"/>
        <w:rPr>
          <w:sz w:val="20"/>
          <w:szCs w:val="20"/>
          <w:color w:val="auto"/>
        </w:rPr>
      </w:pPr>
      <w:r>
        <w:rPr>
          <w:rFonts w:ascii="Times New Roman" w:cs="Times New Roman" w:eastAsia="Times New Roman" w:hAnsi="Times New Roman"/>
          <w:sz w:val="17"/>
          <w:szCs w:val="17"/>
          <w:color w:val="auto"/>
        </w:rPr>
        <w:t>The aggregate cash purchase price of approximately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96" w:lineRule="exact"/>
        <w:rPr>
          <w:sz w:val="20"/>
          <w:szCs w:val="20"/>
          <w:color w:val="auto"/>
        </w:rPr>
      </w:pPr>
    </w:p>
    <w:p>
      <w:pPr>
        <w:ind w:right="340" w:firstLine="597"/>
        <w:spacing w:after="0" w:line="269" w:lineRule="auto"/>
        <w:rPr>
          <w:sz w:val="20"/>
          <w:szCs w:val="20"/>
          <w:color w:val="auto"/>
        </w:rPr>
      </w:pPr>
      <w:r>
        <w:rPr>
          <w:rFonts w:ascii="Times New Roman" w:cs="Times New Roman" w:eastAsia="Times New Roman" w:hAnsi="Times New Roman"/>
          <w:sz w:val="17"/>
          <w:szCs w:val="17"/>
          <w:color w:val="auto"/>
        </w:rPr>
        <w:t>The purchase price was allocated to the assets acquired and liabilities assumed using their fair values at the ITG Closing Date. The Company engaged third party specialists for the purchase price allocation.</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Amounts allocated to intangible assets, the amortization period and goodwill were as follows:</w:t>
      </w:r>
    </w:p>
    <w:p>
      <w:pPr>
        <w:spacing w:after="0" w:line="20" w:lineRule="exact"/>
        <w:rPr>
          <w:sz w:val="20"/>
          <w:szCs w:val="20"/>
          <w:color w:val="auto"/>
        </w:rPr>
      </w:pPr>
    </w:p>
    <w:tbl>
      <w:tblPr>
        <w:tblLayout w:type="fixed"/>
        <w:tblInd w:w="2560" w:type="dxa"/>
        <w:tblCellMar>
          <w:top w:w="0" w:type="dxa"/>
          <w:left w:w="0" w:type="dxa"/>
          <w:bottom w:w="0" w:type="dxa"/>
          <w:right w:w="0" w:type="dxa"/>
        </w:tblCellMar>
      </w:tblPr>
      <w:tr>
        <w:trPr>
          <w:trHeight w:val="149"/>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2"/>
                <w:szCs w:val="12"/>
                <w:color w:val="auto"/>
              </w:rPr>
            </w:pPr>
          </w:p>
        </w:tc>
        <w:tc>
          <w:tcPr>
            <w:tcW w:w="1280" w:type="dxa"/>
            <w:vAlign w:val="bottom"/>
            <w:vMerge w:val="restart"/>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0" w:type="dxa"/>
            <w:vAlign w:val="bottom"/>
          </w:tcPr>
          <w:p>
            <w:pPr>
              <w:spacing w:after="0"/>
              <w:rPr>
                <w:sz w:val="1"/>
                <w:szCs w:val="1"/>
                <w:color w:val="auto"/>
              </w:rPr>
            </w:pPr>
          </w:p>
        </w:tc>
      </w:tr>
      <w:tr>
        <w:trPr>
          <w:trHeight w:val="174"/>
        </w:trPr>
        <w:tc>
          <w:tcPr>
            <w:tcW w:w="2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Years</w:t>
            </w:r>
          </w:p>
        </w:tc>
        <w:tc>
          <w:tcPr>
            <w:tcW w:w="0" w:type="dxa"/>
            <w:vAlign w:val="bottom"/>
          </w:tcPr>
          <w:p>
            <w:pPr>
              <w:spacing w:after="0"/>
              <w:rPr>
                <w:sz w:val="1"/>
                <w:szCs w:val="1"/>
                <w:color w:val="auto"/>
              </w:rPr>
            </w:pPr>
          </w:p>
        </w:tc>
      </w:tr>
      <w:tr>
        <w:trPr>
          <w:trHeight w:val="167"/>
        </w:trPr>
        <w:tc>
          <w:tcPr>
            <w:tcW w:w="2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Technology</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76,000</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0" w:type="dxa"/>
            <w:vAlign w:val="bottom"/>
          </w:tcPr>
          <w:p>
            <w:pPr>
              <w:spacing w:after="0"/>
              <w:rPr>
                <w:sz w:val="1"/>
                <w:szCs w:val="1"/>
                <w:color w:val="auto"/>
              </w:rPr>
            </w:pPr>
          </w:p>
        </w:tc>
      </w:tr>
      <w:tr>
        <w:trPr>
          <w:trHeight w:val="173"/>
        </w:trPr>
        <w:tc>
          <w:tcPr>
            <w:tcW w:w="27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Customer relationships</w:t>
            </w:r>
          </w:p>
        </w:tc>
        <w:tc>
          <w:tcPr>
            <w:tcW w:w="3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437,600</w:t>
            </w:r>
          </w:p>
        </w:tc>
        <w:tc>
          <w:tcPr>
            <w:tcW w:w="174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5"/>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Trade names</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740" w:type="dxa"/>
            <w:vAlign w:val="bottom"/>
            <w:gridSpan w:val="2"/>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6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Intangible assets</w:t>
            </w: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517,200</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312,343</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829,543</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right="120" w:firstLine="597"/>
        <w:spacing w:after="0" w:line="252" w:lineRule="auto"/>
        <w:rPr>
          <w:sz w:val="20"/>
          <w:szCs w:val="20"/>
          <w:color w:val="auto"/>
        </w:rPr>
      </w:pPr>
      <w:r>
        <w:rPr>
          <w:rFonts w:ascii="Times New Roman" w:cs="Times New Roman" w:eastAsia="Times New Roman" w:hAnsi="Times New Roman"/>
          <w:sz w:val="17"/>
          <w:szCs w:val="17"/>
          <w:color w:val="263238"/>
        </w:rPr>
        <w:t xml:space="preserve">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w:t>
      </w:r>
      <w:r>
        <w:rPr>
          <w:rFonts w:ascii="Times New Roman" w:cs="Times New Roman" w:eastAsia="Times New Roman" w:hAnsi="Times New Roman"/>
          <w:sz w:val="17"/>
          <w:szCs w:val="17"/>
          <w:color w:val="000000"/>
        </w:rPr>
        <w:t>The total</w:t>
      </w:r>
      <w:r>
        <w:rPr>
          <w:rFonts w:ascii="Times New Roman" w:cs="Times New Roman" w:eastAsia="Times New Roman" w:hAnsi="Times New Roman"/>
          <w:sz w:val="17"/>
          <w:szCs w:val="17"/>
          <w:color w:val="263238"/>
        </w:rPr>
        <w:t xml:space="preserve"> </w:t>
      </w:r>
      <w:r>
        <w:rPr>
          <w:rFonts w:ascii="Times New Roman" w:cs="Times New Roman" w:eastAsia="Times New Roman" w:hAnsi="Times New Roman"/>
          <w:sz w:val="17"/>
          <w:szCs w:val="17"/>
          <w:color w:val="000000"/>
        </w:rPr>
        <w:t>Goodwill of $312.3 million was assigned to the Execution Services segment. Such goodwill is attributable to the expansion of product offerings and expected synergies of the combined workforce, products and technologies of the Company and ITG.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Assumption of Equity Compensation Plan</w:t>
      </w:r>
    </w:p>
    <w:p>
      <w:pPr>
        <w:spacing w:after="0" w:line="230" w:lineRule="exact"/>
        <w:rPr>
          <w:sz w:val="20"/>
          <w:szCs w:val="20"/>
          <w:color w:val="auto"/>
        </w:rPr>
      </w:pPr>
    </w:p>
    <w:p>
      <w:pPr>
        <w:ind w:right="180" w:firstLine="597"/>
        <w:spacing w:after="0" w:line="264" w:lineRule="auto"/>
        <w:rPr>
          <w:sz w:val="20"/>
          <w:szCs w:val="20"/>
          <w:color w:val="auto"/>
        </w:rPr>
      </w:pPr>
      <w:r>
        <w:rPr>
          <w:rFonts w:ascii="Times New Roman" w:cs="Times New Roman" w:eastAsia="Times New Roman" w:hAnsi="Times New Roman"/>
          <w:sz w:val="16"/>
          <w:szCs w:val="16"/>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 a Registration Statement on Form S-8 on the ITG Closing Date to register such shares of Class A Common Stock.</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Tax treatment of the ITG Acquisition</w:t>
      </w:r>
    </w:p>
    <w:p>
      <w:pPr>
        <w:spacing w:after="0" w:line="230" w:lineRule="exact"/>
        <w:rPr>
          <w:sz w:val="20"/>
          <w:szCs w:val="20"/>
          <w:color w:val="auto"/>
        </w:rPr>
      </w:pPr>
    </w:p>
    <w:p>
      <w:pPr>
        <w:ind w:right="560" w:firstLine="597"/>
        <w:spacing w:after="0" w:line="301" w:lineRule="auto"/>
        <w:rPr>
          <w:sz w:val="20"/>
          <w:szCs w:val="20"/>
          <w:color w:val="auto"/>
        </w:rPr>
      </w:pPr>
      <w:r>
        <w:rPr>
          <w:rFonts w:ascii="Times New Roman" w:cs="Times New Roman" w:eastAsia="Times New Roman" w:hAnsi="Times New Roman"/>
          <w:sz w:val="16"/>
          <w:szCs w:val="16"/>
          <w:color w:val="auto"/>
        </w:rPr>
        <w:t>The ITG Acquisition is being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61" w:lineRule="exact"/>
        <w:rPr>
          <w:sz w:val="20"/>
          <w:szCs w:val="20"/>
          <w:color w:val="auto"/>
        </w:rPr>
      </w:pPr>
    </w:p>
    <w:p>
      <w:pPr>
        <w:ind w:right="320" w:firstLine="597"/>
        <w:spacing w:after="0" w:line="256" w:lineRule="auto"/>
        <w:rPr>
          <w:sz w:val="20"/>
          <w:szCs w:val="20"/>
          <w:color w:val="auto"/>
        </w:rPr>
      </w:pPr>
      <w:r>
        <w:rPr>
          <w:rFonts w:ascii="Times New Roman" w:cs="Times New Roman" w:eastAsia="Times New Roman" w:hAnsi="Times New Roman"/>
          <w:sz w:val="17"/>
          <w:szCs w:val="17"/>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14 “Income Taxes”.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Sale of MATCHNow</w:t>
      </w:r>
    </w:p>
    <w:p>
      <w:pPr>
        <w:spacing w:after="0" w:line="107"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In May 2020, the Company entered into a Securities Purchase Agreement ("SPA") with Cboe Global Markets, Inc. (“CBOE”) pursuant to which the Company agreed to sell 100% of the outstanding interests in TriAct Canada Marketplace LP and TCM Corp., which operate an equities alternative trading system (“MATCHNow”) in Canada. Pursuant to the terms of the SPA, the Company also agreed to enter into a licensing agreement for the licensing of certain software and intellectual property used in support of MATCHNow.</w:t>
      </w:r>
    </w:p>
    <w:p>
      <w:pPr>
        <w:spacing w:after="0" w:line="199" w:lineRule="exact"/>
        <w:rPr>
          <w:sz w:val="20"/>
          <w:szCs w:val="20"/>
          <w:color w:val="auto"/>
        </w:rPr>
      </w:pPr>
    </w:p>
    <w:p>
      <w:pPr>
        <w:ind w:right="40" w:firstLine="597"/>
        <w:spacing w:after="0" w:line="250" w:lineRule="auto"/>
        <w:rPr>
          <w:sz w:val="20"/>
          <w:szCs w:val="20"/>
          <w:color w:val="auto"/>
        </w:rPr>
      </w:pPr>
      <w:r>
        <w:rPr>
          <w:rFonts w:ascii="Times New Roman" w:cs="Times New Roman" w:eastAsia="Times New Roman" w:hAnsi="Times New Roman"/>
          <w:sz w:val="17"/>
          <w:szCs w:val="17"/>
          <w:color w:val="auto"/>
        </w:rPr>
        <w:t>On August 4, 2020 (the "MATCHNow Closing Date"), the Company completed the sale of MATCHNow to CBOE for total gross proceeds of $60.6 million in cash, with additional contingent consideration of up to approximately $23.0 million. The Company incurred one-time transaction costs including professional fees related to the sale of $2.5 million, which were recorded in Transaction advisory fees and expenses on the Condensed Consolidated Statement of Comprehensive Income. The Company recognized a gain on sale of $56.2 million, which was recorded in Other, net on the Condensed Consolidated Statement of Comprehensive Income for the three and nine months ended September 30, 2020.</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summary of the carrying value of MATCHNow and gain on sale of MATCHNow is as follows:</w:t>
      </w:r>
    </w:p>
    <w:p>
      <w:pPr>
        <w:spacing w:after="0" w:line="26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5" w:lineRule="exact"/>
        <w:rPr>
          <w:sz w:val="20"/>
          <w:szCs w:val="20"/>
          <w:color w:val="auto"/>
        </w:rPr>
      </w:pPr>
    </w:p>
    <w:tbl>
      <w:tblPr>
        <w:tblLayout w:type="fixed"/>
        <w:tblInd w:w="2240" w:type="dxa"/>
        <w:tblCellMar>
          <w:top w:w="0" w:type="dxa"/>
          <w:left w:w="0" w:type="dxa"/>
          <w:bottom w:w="0" w:type="dxa"/>
          <w:right w:w="0" w:type="dxa"/>
        </w:tblCellMar>
      </w:tblPr>
      <w:tr>
        <w:trPr>
          <w:trHeight w:val="197"/>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sale proceeds received</w:t>
            </w: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60,592</w:t>
            </w:r>
          </w:p>
        </w:tc>
      </w:tr>
      <w:tr>
        <w:trPr>
          <w:trHeight w:val="19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Total carrying value of MATCHNow as of MATCHNow Closing Date</w:t>
            </w:r>
          </w:p>
        </w:tc>
        <w:tc>
          <w:tcPr>
            <w:tcW w:w="9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(1,940)</w:t>
            </w:r>
          </w:p>
        </w:tc>
      </w:tr>
      <w:tr>
        <w:trPr>
          <w:trHeight w:val="194"/>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sale of MATCHNow</w:t>
            </w:r>
          </w:p>
        </w:tc>
        <w:tc>
          <w:tcPr>
            <w:tcW w:w="940" w:type="dxa"/>
            <w:vAlign w:val="bottom"/>
            <w:shd w:val="clear" w:color="auto" w:fill="CCEEFF"/>
          </w:tcPr>
          <w:p>
            <w:pPr>
              <w:spacing w:after="0"/>
              <w:rPr>
                <w:sz w:val="16"/>
                <w:szCs w:val="16"/>
                <w:color w:val="auto"/>
              </w:rPr>
            </w:pPr>
          </w:p>
        </w:tc>
        <w:tc>
          <w:tcPr>
            <w:tcW w:w="13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58,652</w:t>
            </w:r>
          </w:p>
        </w:tc>
      </w:tr>
      <w:tr>
        <w:trPr>
          <w:trHeight w:val="196"/>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Transaction costs</w:t>
            </w:r>
          </w:p>
        </w:tc>
        <w:tc>
          <w:tcPr>
            <w:tcW w:w="9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5"/>
                <w:szCs w:val="15"/>
                <w:color w:val="auto"/>
              </w:rPr>
              <w:t>(2,453)</w:t>
            </w:r>
          </w:p>
        </w:tc>
      </w:tr>
      <w:tr>
        <w:trPr>
          <w:trHeight w:val="219"/>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sale of MATCHNow, net of transaction costs</w:t>
            </w:r>
          </w:p>
        </w:tc>
        <w:tc>
          <w:tcPr>
            <w:tcW w:w="94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5"/>
                <w:szCs w:val="15"/>
                <w:color w:val="auto"/>
              </w:rPr>
              <w:t>56,199</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firstLine="597"/>
        <w:spacing w:after="0" w:line="241" w:lineRule="auto"/>
        <w:rPr>
          <w:sz w:val="20"/>
          <w:szCs w:val="20"/>
          <w:color w:val="auto"/>
        </w:rPr>
      </w:pPr>
      <w:r>
        <w:rPr>
          <w:rFonts w:ascii="Times New Roman" w:cs="Times New Roman" w:eastAsia="Times New Roman" w:hAnsi="Times New Roman"/>
          <w:sz w:val="17"/>
          <w:szCs w:val="17"/>
          <w:color w:val="auto"/>
        </w:rPr>
        <w:t>Contingent consideration will be earned based on the future performance of MATCHNow following the Closing Date. Deferred payments will be assessed quarterly until December 31, 2022 and recorded in Other, net on the Condensed Consolidated Statement of Comprehensive Income when the contingency is resolved and payments become payable by CBOE.</w:t>
      </w:r>
    </w:p>
    <w:p>
      <w:pPr>
        <w:spacing w:after="0" w:line="7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In addition, the Company entered into a Transition Services Agreement ("TSA") with CBOE, pursuant to which the Company agreed to provide certain telecom and general and administrative services for a defined period. Income from performing services under the TSA will be recorded in Other, net on the Condensed Consolidated Statement of Comprehensive Income.</w:t>
      </w:r>
    </w:p>
    <w:p>
      <w:pPr>
        <w:spacing w:after="0" w:line="71"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With the licensing of certain software and intellectual property associated with MATCHNow, the Company performed an assessment of impairment of long-lived intangible assets acquired in connection with the ITG acquisition, of which MATCHNow technology was a component. No impairment was recognized for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Earnings per Share</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below table contains a reconciliation of net income (loss) before noncontrolling interest to net income (loss) available for common stockholders: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7"/>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7"/>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252,515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(5,828)</w:t>
            </w: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1,123,272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(88,610)</w:t>
            </w:r>
          </w:p>
        </w:tc>
        <w:tc>
          <w:tcPr>
            <w:tcW w:w="0" w:type="dxa"/>
            <w:vAlign w:val="bottom"/>
          </w:tcPr>
          <w:p>
            <w:pPr>
              <w:spacing w:after="0"/>
              <w:rPr>
                <w:sz w:val="1"/>
                <w:szCs w:val="1"/>
                <w:color w:val="auto"/>
              </w:rPr>
            </w:pPr>
          </w:p>
        </w:tc>
      </w:tr>
      <w:tr>
        <w:trPr>
          <w:trHeight w:val="173"/>
        </w:trPr>
        <w:tc>
          <w:tcPr>
            <w:tcW w:w="59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52,807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200,044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(14,322)</w:t>
            </w:r>
          </w:p>
        </w:tc>
        <w:tc>
          <w:tcPr>
            <w:tcW w:w="0" w:type="dxa"/>
            <w:vAlign w:val="bottom"/>
          </w:tcPr>
          <w:p>
            <w:pPr>
              <w:spacing w:after="0"/>
              <w:rPr>
                <w:sz w:val="1"/>
                <w:szCs w:val="1"/>
                <w:color w:val="auto"/>
              </w:rPr>
            </w:pPr>
          </w:p>
        </w:tc>
      </w:tr>
      <w:tr>
        <w:trPr>
          <w:trHeight w:val="168"/>
        </w:trPr>
        <w:tc>
          <w:tcPr>
            <w:tcW w:w="5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923,228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(74,288)</w:t>
            </w: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33,412</w:t>
            </w:r>
          </w:p>
        </w:tc>
        <w:tc>
          <w:tcPr>
            <w:tcW w:w="0" w:type="dxa"/>
            <w:vAlign w:val="bottom"/>
          </w:tcPr>
          <w:p>
            <w:pPr>
              <w:spacing w:after="0"/>
              <w:rPr>
                <w:sz w:val="1"/>
                <w:szCs w:val="1"/>
                <w:color w:val="auto"/>
              </w:rPr>
            </w:pPr>
          </w:p>
        </w:tc>
      </w:tr>
      <w:tr>
        <w:trPr>
          <w:trHeight w:val="199"/>
        </w:trPr>
        <w:tc>
          <w:tcPr>
            <w:tcW w:w="340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available for common stockholders</w:t>
            </w: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(4,312)</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536,917</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(40,876)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4"/>
            <w:vMerge w:val="restart"/>
          </w:tcPr>
          <w:p>
            <w:pPr>
              <w:ind w:left="60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980" w:type="dxa"/>
            <w:vAlign w:val="bottom"/>
            <w:gridSpan w:val="4"/>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7"/>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for share or per share data)</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7"/>
        </w:trPr>
        <w:tc>
          <w:tcPr>
            <w:tcW w:w="58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 (loss) available for common stockholders</w:t>
            </w:r>
          </w:p>
        </w:tc>
        <w:tc>
          <w:tcPr>
            <w:tcW w:w="1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116,709</w:t>
            </w:r>
          </w:p>
        </w:tc>
        <w:tc>
          <w:tcPr>
            <w:tcW w:w="10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536,917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(40,876)</w:t>
            </w:r>
          </w:p>
        </w:tc>
        <w:tc>
          <w:tcPr>
            <w:tcW w:w="0" w:type="dxa"/>
            <w:vAlign w:val="bottom"/>
          </w:tcPr>
          <w:p>
            <w:pPr>
              <w:spacing w:after="0"/>
              <w:rPr>
                <w:sz w:val="1"/>
                <w:szCs w:val="1"/>
                <w:color w:val="auto"/>
              </w:rPr>
            </w:pPr>
          </w:p>
        </w:tc>
      </w:tr>
      <w:tr>
        <w:trPr>
          <w:trHeight w:val="175"/>
        </w:trPr>
        <w:tc>
          <w:tcPr>
            <w:tcW w:w="5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Dividends and undistributed earnings allocated to participating securities</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(14,210)</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0" w:type="dxa"/>
            <w:vAlign w:val="bottom"/>
          </w:tcPr>
          <w:p>
            <w:pPr>
              <w:spacing w:after="0"/>
              <w:rPr>
                <w:sz w:val="1"/>
                <w:szCs w:val="1"/>
                <w:color w:val="auto"/>
              </w:rPr>
            </w:pPr>
          </w:p>
        </w:tc>
      </w:tr>
      <w:tr>
        <w:trPr>
          <w:trHeight w:val="104"/>
        </w:trPr>
        <w:tc>
          <w:tcPr>
            <w:tcW w:w="5980" w:type="dxa"/>
            <w:vAlign w:val="bottom"/>
            <w:gridSpan w:val="4"/>
          </w:tcPr>
          <w:p>
            <w:pPr>
              <w:ind w:left="20"/>
              <w:spacing w:after="0" w:line="105" w:lineRule="exact"/>
              <w:rPr>
                <w:sz w:val="20"/>
                <w:szCs w:val="20"/>
                <w:color w:val="auto"/>
              </w:rPr>
            </w:pPr>
            <w:r>
              <w:rPr>
                <w:rFonts w:ascii="Times New Roman" w:cs="Times New Roman" w:eastAsia="Times New Roman" w:hAnsi="Times New Roman"/>
                <w:sz w:val="12"/>
                <w:szCs w:val="12"/>
                <w:color w:val="auto"/>
              </w:rPr>
              <w:t>Net income (loss) available for common stockholders, net of dividends and undistributed earnings allocated to</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113,292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(4,773)</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522,707</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(42,244)</w:t>
            </w:r>
          </w:p>
        </w:tc>
        <w:tc>
          <w:tcPr>
            <w:tcW w:w="0" w:type="dxa"/>
            <w:vAlign w:val="bottom"/>
          </w:tcPr>
          <w:p>
            <w:pPr>
              <w:spacing w:after="0"/>
              <w:rPr>
                <w:sz w:val="1"/>
                <w:szCs w:val="1"/>
                <w:color w:val="auto"/>
              </w:rPr>
            </w:pPr>
          </w:p>
        </w:tc>
      </w:tr>
      <w:tr>
        <w:trPr>
          <w:trHeight w:val="173"/>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participating securities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122,686,931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117,548,769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121,328,895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112,602,934</w:t>
            </w:r>
          </w:p>
        </w:tc>
        <w:tc>
          <w:tcPr>
            <w:tcW w:w="0" w:type="dxa"/>
            <w:vAlign w:val="bottom"/>
          </w:tcPr>
          <w:p>
            <w:pPr>
              <w:spacing w:after="0"/>
              <w:rPr>
                <w:sz w:val="1"/>
                <w:szCs w:val="1"/>
                <w:color w:val="auto"/>
              </w:rPr>
            </w:pPr>
          </w:p>
        </w:tc>
      </w:tr>
      <w:tr>
        <w:trPr>
          <w:trHeight w:val="199"/>
        </w:trPr>
        <w:tc>
          <w:tcPr>
            <w:tcW w:w="3400" w:type="dxa"/>
            <w:vAlign w:val="bottom"/>
            <w:tcBorders>
              <w:bottom w:val="single" w:sz="8" w:color="CCEEFF"/>
            </w:tcBorders>
          </w:tcPr>
          <w:p>
            <w:pPr>
              <w:spacing w:after="0"/>
              <w:rPr>
                <w:sz w:val="17"/>
                <w:szCs w:val="17"/>
                <w:color w:val="auto"/>
              </w:rPr>
            </w:pPr>
          </w:p>
        </w:tc>
        <w:tc>
          <w:tcPr>
            <w:tcW w:w="256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9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earnings (loss) per share</w:t>
            </w:r>
          </w:p>
        </w:tc>
        <w:tc>
          <w:tcPr>
            <w:tcW w:w="18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40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2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80" w:type="dxa"/>
            <w:vAlign w:val="bottom"/>
            <w:gridSpan w:val="7"/>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for share or per share data)</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7"/>
        </w:trPr>
        <w:tc>
          <w:tcPr>
            <w:tcW w:w="59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98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3"/>
                <w:szCs w:val="13"/>
                <w:color w:val="auto"/>
              </w:rPr>
              <w:t>Net income (loss) available for common stockholders, net of dividends and undistributed earnings allocated to</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113,292</w:t>
            </w:r>
          </w:p>
        </w:tc>
        <w:tc>
          <w:tcPr>
            <w:tcW w:w="3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(4,773)</w:t>
            </w:r>
          </w:p>
        </w:tc>
        <w:tc>
          <w:tcPr>
            <w:tcW w:w="40" w:type="dxa"/>
            <w:vAlign w:val="bottom"/>
          </w:tcPr>
          <w:p>
            <w:pPr>
              <w:spacing w:after="0"/>
              <w:rPr>
                <w:sz w:val="10"/>
                <w:szCs w:val="10"/>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522,707</w:t>
            </w:r>
          </w:p>
        </w:tc>
        <w:tc>
          <w:tcPr>
            <w:tcW w:w="36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(42,244)</w:t>
            </w:r>
          </w:p>
        </w:tc>
        <w:tc>
          <w:tcPr>
            <w:tcW w:w="0" w:type="dxa"/>
            <w:vAlign w:val="bottom"/>
          </w:tcPr>
          <w:p>
            <w:pPr>
              <w:spacing w:after="0"/>
              <w:rPr>
                <w:sz w:val="1"/>
                <w:szCs w:val="1"/>
                <w:color w:val="auto"/>
              </w:rPr>
            </w:pPr>
          </w:p>
        </w:tc>
      </w:tr>
      <w:tr>
        <w:trPr>
          <w:trHeight w:val="173"/>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participating securities</w:t>
            </w:r>
          </w:p>
        </w:tc>
        <w:tc>
          <w:tcPr>
            <w:tcW w:w="18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Weighted average shares of common stock 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Issued and 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122,686,931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117,548,769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121,328,895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112,602,934</w:t>
            </w:r>
          </w:p>
        </w:tc>
        <w:tc>
          <w:tcPr>
            <w:tcW w:w="0" w:type="dxa"/>
            <w:vAlign w:val="bottom"/>
          </w:tcPr>
          <w:p>
            <w:pPr>
              <w:spacing w:after="0"/>
              <w:rPr>
                <w:sz w:val="1"/>
                <w:szCs w:val="1"/>
                <w:color w:val="auto"/>
              </w:rPr>
            </w:pPr>
          </w:p>
        </w:tc>
      </w:tr>
      <w:tr>
        <w:trPr>
          <w:trHeight w:val="125"/>
        </w:trPr>
        <w:tc>
          <w:tcPr>
            <w:tcW w:w="5980" w:type="dxa"/>
            <w:vAlign w:val="bottom"/>
            <w:gridSpan w:val="4"/>
            <w:shd w:val="clear" w:color="auto" w:fill="CCEEFF"/>
          </w:tcPr>
          <w:p>
            <w:pPr>
              <w:ind w:left="300"/>
              <w:spacing w:after="0" w:line="126" w:lineRule="exact"/>
              <w:rPr>
                <w:sz w:val="20"/>
                <w:szCs w:val="20"/>
                <w:color w:val="auto"/>
              </w:rPr>
            </w:pPr>
            <w:r>
              <w:rPr>
                <w:rFonts w:ascii="Times New Roman" w:cs="Times New Roman" w:eastAsia="Times New Roman" w:hAnsi="Times New Roman"/>
                <w:sz w:val="13"/>
                <w:szCs w:val="13"/>
                <w:color w:val="auto"/>
              </w:rPr>
              <w:t>Issuable pursuant to Amended and Restated 2015 Management Incentive Plan, Amended and Restated</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80" w:type="dxa"/>
            <w:vAlign w:val="bottom"/>
            <w:gridSpan w:val="4"/>
            <w:shd w:val="clear" w:color="auto" w:fill="CCEEFF"/>
          </w:tcPr>
          <w:p>
            <w:pPr>
              <w:ind w:left="300"/>
              <w:spacing w:after="0" w:line="124" w:lineRule="exact"/>
              <w:rPr>
                <w:sz w:val="20"/>
                <w:szCs w:val="20"/>
                <w:color w:val="auto"/>
              </w:rPr>
            </w:pPr>
            <w:r>
              <w:rPr>
                <w:rFonts w:ascii="Times New Roman" w:cs="Times New Roman" w:eastAsia="Times New Roman" w:hAnsi="Times New Roman"/>
                <w:sz w:val="13"/>
                <w:szCs w:val="13"/>
                <w:color w:val="auto"/>
              </w:rPr>
              <w:t>Investment Technology Group, Inc. 2007 Omnibus Equity Compensation Plan, and Warrants issued in</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1,085,074</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610,944</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598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connection with the Founder Member Loan (1)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123,772,005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117,548,769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121,939,839</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112,602,934</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9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Diluted earnings (loss) per share</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0.92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00" w:right="220" w:hanging="300"/>
        <w:spacing w:after="0" w:line="257" w:lineRule="auto"/>
        <w:tabs>
          <w:tab w:leader="none" w:pos="293"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dilutive impact excludes from the computation of earnings (loss) per share for the three and nine months ended September 30, 2019, respectively, 205,683 and 574,047 unexercised stock options and 221,837 and 264,866 restricted stock units issuable pursuant to the Amended and Restated Investment Technology Group, Inc. 2007 Omnibus Equity Compensation Plan because the inclusion of these instruments would have been anti-dilutive.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Tax Receivable Agreements</w:t>
      </w:r>
    </w:p>
    <w:p>
      <w:pPr>
        <w:spacing w:after="0" w:line="331" w:lineRule="exact"/>
        <w:rPr>
          <w:sz w:val="20"/>
          <w:szCs w:val="20"/>
          <w:color w:val="auto"/>
        </w:rPr>
      </w:pPr>
    </w:p>
    <w:p>
      <w:pPr>
        <w:ind w:right="100" w:firstLine="597"/>
        <w:spacing w:after="0" w:line="249" w:lineRule="auto"/>
        <w:rPr>
          <w:sz w:val="20"/>
          <w:szCs w:val="20"/>
          <w:color w:val="auto"/>
        </w:rPr>
      </w:pPr>
      <w:r>
        <w:rPr>
          <w:rFonts w:ascii="Times New Roman" w:cs="Times New Roman" w:eastAsia="Times New Roman" w:hAnsi="Times New Roman"/>
          <w:sz w:val="17"/>
          <w:szCs w:val="17"/>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 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7"/>
          <w:szCs w:val="17"/>
          <w:color w:val="auto"/>
        </w:rPr>
        <w:t>each Exchange, management estimates the Company’s cumulative TRA obligations to be reported on the Condensed Consolidated Statement of Financial Condition, which amounted to $256.0 million and $269.3 million as of September 30, 2020 and December 31, 2019, respectively.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its second payment of $12.4 million in September 2018, and its third payment of $13.3 million in March 2020.</w:t>
      </w:r>
    </w:p>
    <w:p>
      <w:pPr>
        <w:spacing w:after="0" w:line="205" w:lineRule="exact"/>
        <w:rPr>
          <w:sz w:val="20"/>
          <w:szCs w:val="20"/>
          <w:color w:val="auto"/>
        </w:rPr>
      </w:pPr>
    </w:p>
    <w:p>
      <w:pPr>
        <w:ind w:firstLine="630"/>
        <w:spacing w:after="0" w:line="247" w:lineRule="auto"/>
        <w:rPr>
          <w:sz w:val="20"/>
          <w:szCs w:val="20"/>
          <w:color w:val="auto"/>
        </w:rPr>
      </w:pPr>
      <w:r>
        <w:rPr>
          <w:rFonts w:ascii="Times New Roman" w:cs="Times New Roman" w:eastAsia="Times New Roman" w:hAnsi="Times New Roman"/>
          <w:sz w:val="17"/>
          <w:szCs w:val="17"/>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$3.3 million to $20.7 million per year over the next 15 years.</w:t>
      </w:r>
    </w:p>
    <w:p>
      <w:pPr>
        <w:spacing w:after="0" w:line="203" w:lineRule="exact"/>
        <w:rPr>
          <w:sz w:val="20"/>
          <w:szCs w:val="20"/>
          <w:color w:val="auto"/>
        </w:rPr>
      </w:pPr>
    </w:p>
    <w:p>
      <w:pPr>
        <w:ind w:right="120" w:firstLine="597"/>
        <w:spacing w:after="0" w:line="252" w:lineRule="auto"/>
        <w:rPr>
          <w:sz w:val="20"/>
          <w:szCs w:val="20"/>
          <w:color w:val="auto"/>
        </w:rPr>
      </w:pPr>
      <w:r>
        <w:rPr>
          <w:rFonts w:ascii="Times New Roman" w:cs="Times New Roman" w:eastAsia="Times New Roman" w:hAnsi="Times New Roman"/>
          <w:sz w:val="17"/>
          <w:szCs w:val="17"/>
          <w:color w:val="auto"/>
        </w:rPr>
        <w:t>In connection with the employee exchanges and May 2018 Secondary Offering between the Company and TJMT Holdings LLC and the other selling stockholders, both as described in Note 18 “Capital Structure”, the Company recorded an additional deferred tax asset of $78.7 million and a payment liability pursuant to the tax receivable agreements of $79.7 million, with the $1.0 million difference recorded as a decrease to additional paid-in capital during the year ended December 31, 2018.</w:t>
      </w:r>
    </w:p>
    <w:p>
      <w:pPr>
        <w:spacing w:after="0" w:line="199"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In connection with the employee exchanges and May 2019 Secondary Offering between the Company and TJMT Holdings LLC and the other selling stockholders, both as described in Note 18 “Capital Structure”, the Company recorded an additional deferred tax asset of $49.1 million and payment liability pursuant to the tax receivable agreements of $54.9 million, with the $5.8 million difference recorded as a decrease to additional paid-in capital during the year ended December 31, 2019.</w:t>
      </w:r>
    </w:p>
    <w:p>
      <w:pPr>
        <w:spacing w:after="0" w:line="199"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At September 30, 2020 and December 31, 2019, the Company’s remaining deferred tax assets that relate to the matters described above were approximately $184.2 million and $197.6 million, respectively, and the Company’s liabilities over the next 15 years pursuant to the tax receivable agreements were approximately $256.0 million and $269.3 million, respectively. The amounts recorded as of September 30, 2020 are based on best estimates available at the respective dates and may be subject to change after the filing of the Company’s U.S. federal and state income tax returns for the years in which tax savings were realized.</w:t>
      </w:r>
    </w:p>
    <w:p>
      <w:pPr>
        <w:spacing w:after="0" w:line="199" w:lineRule="exact"/>
        <w:rPr>
          <w:sz w:val="20"/>
          <w:szCs w:val="20"/>
          <w:color w:val="auto"/>
        </w:rPr>
      </w:pPr>
    </w:p>
    <w:p>
      <w:pPr>
        <w:ind w:right="40" w:firstLine="597"/>
        <w:spacing w:after="0" w:line="249" w:lineRule="auto"/>
        <w:rPr>
          <w:sz w:val="20"/>
          <w:szCs w:val="20"/>
          <w:color w:val="auto"/>
        </w:rPr>
      </w:pPr>
      <w:r>
        <w:rPr>
          <w:rFonts w:ascii="Times New Roman" w:cs="Times New Roman" w:eastAsia="Times New Roman" w:hAnsi="Times New Roman"/>
          <w:sz w:val="17"/>
          <w:szCs w:val="17"/>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Goodwill and Intangible Assets</w:t>
      </w:r>
    </w:p>
    <w:p>
      <w:pPr>
        <w:spacing w:after="0" w:line="232" w:lineRule="exact"/>
        <w:rPr>
          <w:sz w:val="20"/>
          <w:szCs w:val="20"/>
          <w:color w:val="auto"/>
        </w:rPr>
      </w:pPr>
    </w:p>
    <w:p>
      <w:pPr>
        <w:ind w:right="140" w:firstLine="597"/>
        <w:spacing w:after="0" w:line="256" w:lineRule="auto"/>
        <w:rPr>
          <w:sz w:val="20"/>
          <w:szCs w:val="20"/>
          <w:color w:val="auto"/>
        </w:rPr>
      </w:pPr>
      <w:r>
        <w:rPr>
          <w:rFonts w:ascii="Times New Roman" w:cs="Times New Roman" w:eastAsia="Times New Roman" w:hAnsi="Times New Roman"/>
          <w:sz w:val="17"/>
          <w:szCs w:val="17"/>
          <w:color w:val="auto"/>
        </w:rPr>
        <w:t>The Company has two operating segments: (i) Market Making; (ii) Execution Services; and one non-operating segment: Corporate. As of September 30, 2020 and December 31, 2019, the Company’s total amount of goodwill recorded was $1,148.9 million. No goodwill impairment was recognized during the three and nine months ended September 30, 2020 or 2019.</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September 30, 2020 and December 31, 2019:</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5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5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period-end</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755,292</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393,634</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1,148,926</w:t>
            </w:r>
          </w:p>
        </w:tc>
      </w:tr>
    </w:tbl>
    <w:p>
      <w:pPr>
        <w:spacing w:after="0" w:line="307" w:lineRule="exact"/>
        <w:rPr>
          <w:sz w:val="20"/>
          <w:szCs w:val="20"/>
          <w:color w:val="auto"/>
        </w:rPr>
      </w:pPr>
    </w:p>
    <w:p>
      <w:pPr>
        <w:ind w:right="740" w:firstLine="597"/>
        <w:spacing w:after="0" w:line="269" w:lineRule="auto"/>
        <w:rPr>
          <w:sz w:val="20"/>
          <w:szCs w:val="20"/>
          <w:color w:val="auto"/>
        </w:rPr>
      </w:pPr>
      <w:r>
        <w:rPr>
          <w:rFonts w:ascii="Times New Roman" w:cs="Times New Roman" w:eastAsia="Times New Roman" w:hAnsi="Times New Roman"/>
          <w:sz w:val="17"/>
          <w:szCs w:val="17"/>
          <w:color w:val="auto"/>
        </w:rPr>
        <w:t>As of September 30, 2020 and December 31, 2019, the Company's total amount of intangible assets recorded was $473.3 million and $529.6 million, respectively. Acquired intangible assets consisted of the following as of September 30, 2020 and December 31, 2019:</w:t>
      </w:r>
    </w:p>
    <w:p>
      <w:pPr>
        <w:spacing w:after="0" w:line="91" w:lineRule="exact"/>
        <w:rPr>
          <w:sz w:val="20"/>
          <w:szCs w:val="20"/>
          <w:color w:val="auto"/>
        </w:rPr>
      </w:pPr>
    </w:p>
    <w:tbl>
      <w:tblPr>
        <w:tblLayout w:type="fixed"/>
        <w:tblInd w:w="240" w:type="dxa"/>
        <w:tblCellMar>
          <w:top w:w="0" w:type="dxa"/>
          <w:left w:w="0" w:type="dxa"/>
          <w:bottom w:w="0" w:type="dxa"/>
          <w:right w:w="0" w:type="dxa"/>
        </w:tblCellMar>
      </w:tblPr>
      <w:tr>
        <w:trPr>
          <w:trHeight w:val="179"/>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As of September 30, 2020</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74"/>
              <w:spacing w:after="0" w:line="122"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180" w:type="dxa"/>
            <w:vAlign w:val="bottom"/>
            <w:gridSpan w:val="3"/>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486,600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(82,338)</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404,262</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380" w:type="dxa"/>
            <w:vAlign w:val="bottom"/>
            <w:tcBorders>
              <w:top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3"/>
                <w:szCs w:val="13"/>
                <w:color w:val="auto"/>
                <w:w w:val="91"/>
              </w:rPr>
              <w:t>12</w:t>
            </w: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(76,838)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59,162</w:t>
            </w:r>
          </w:p>
        </w:tc>
        <w:tc>
          <w:tcPr>
            <w:tcW w:w="5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1"/>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380" w:type="dxa"/>
            <w:vAlign w:val="bottom"/>
          </w:tcPr>
          <w:p>
            <w:pPr>
              <w:jc w:val="center"/>
              <w:ind w:right="7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Favorable occupancy leases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520" w:type="dxa"/>
            <w:vAlign w:val="bottom"/>
            <w:gridSpan w:val="2"/>
            <w:shd w:val="clear" w:color="auto" w:fill="CCEEFF"/>
          </w:tcPr>
          <w:p>
            <w:pPr>
              <w:jc w:val="center"/>
              <w:ind w:left="194"/>
              <w:spacing w:after="0"/>
              <w:rPr>
                <w:sz w:val="20"/>
                <w:szCs w:val="20"/>
                <w:color w:val="auto"/>
              </w:rPr>
            </w:pPr>
            <w:r>
              <w:rPr>
                <w:rFonts w:ascii="Times New Roman" w:cs="Times New Roman" w:eastAsia="Times New Roman" w:hAnsi="Times New Roman"/>
                <w:sz w:val="13"/>
                <w:szCs w:val="13"/>
                <w:color w:val="auto"/>
                <w:w w:val="91"/>
              </w:rPr>
              <w:t>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38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3"/>
                <w:szCs w:val="13"/>
                <w:color w:val="auto"/>
                <w:w w:val="91"/>
              </w:rPr>
              <w:t>15</w:t>
            </w: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Exchange memberships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4,739</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Indefinite</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ETF issuer relationships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ETF buyer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638,734</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(165,417)</w:t>
            </w: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473,317</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tbl>
      <w:tblPr>
        <w:tblLayout w:type="fixed"/>
        <w:tblInd w:w="240" w:type="dxa"/>
        <w:tblCellMar>
          <w:top w:w="0" w:type="dxa"/>
          <w:left w:w="0" w:type="dxa"/>
          <w:bottom w:w="0" w:type="dxa"/>
          <w:right w:w="0" w:type="dxa"/>
        </w:tblCellMar>
      </w:tblPr>
      <w:tr>
        <w:trPr>
          <w:trHeight w:val="179"/>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As of December 31, 2019</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4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spacing w:after="0"/>
              <w:rPr>
                <w:sz w:val="10"/>
                <w:szCs w:val="10"/>
                <w:color w:val="auto"/>
              </w:rPr>
            </w:pPr>
          </w:p>
        </w:tc>
        <w:tc>
          <w:tcPr>
            <w:tcW w:w="122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74"/>
              <w:spacing w:after="0" w:line="122"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5180" w:type="dxa"/>
            <w:vAlign w:val="bottom"/>
            <w:gridSpan w:val="3"/>
            <w:vMerge w:val="continue"/>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0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486,600</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(46,456)</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440,144</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center"/>
              <w:ind w:left="54"/>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400" w:type="dxa"/>
            <w:vAlign w:val="bottom"/>
            <w:tcBorders>
              <w:top w:val="single" w:sz="8" w:color="auto"/>
            </w:tcBorders>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1"/>
              </w:rPr>
              <w:t>12</w:t>
            </w: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Technology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77,797</w:t>
            </w:r>
          </w:p>
        </w:tc>
        <w:tc>
          <w:tcPr>
            <w:tcW w:w="5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1"/>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4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Purchased technology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center"/>
              <w:ind w:left="214"/>
              <w:spacing w:after="0"/>
              <w:rPr>
                <w:sz w:val="20"/>
                <w:szCs w:val="20"/>
                <w:color w:val="auto"/>
              </w:rPr>
            </w:pPr>
            <w:r>
              <w:rPr>
                <w:rFonts w:ascii="Times New Roman" w:cs="Times New Roman" w:eastAsia="Times New Roman" w:hAnsi="Times New Roman"/>
                <w:sz w:val="13"/>
                <w:szCs w:val="13"/>
                <w:color w:val="auto"/>
                <w:w w:val="98"/>
              </w:rPr>
              <w:t>1.4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40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3"/>
                <w:szCs w:val="13"/>
                <w:color w:val="auto"/>
                <w:w w:val="98"/>
              </w:rPr>
              <w:t>2.5</w:t>
            </w: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Favorable occupancy leases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5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1"/>
              </w:rPr>
              <w:t>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to</w:t>
            </w:r>
          </w:p>
        </w:tc>
        <w:tc>
          <w:tcPr>
            <w:tcW w:w="4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auto"/>
                <w:w w:val="91"/>
              </w:rPr>
              <w:t>15</w:t>
            </w: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 memberships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Indefinite</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ETF issuer relationships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ETF buyer relationships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748,877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529,638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$18.3 million and $18.9 million for the three months ended September 30, 2020 and 2019, respectively, and $56.2 million and $50.4 million for the nine months ended September 30, 2020 and 2019, respectively. This is included in Amortization of purchased intangibles and acquired capitalized software in the accompanying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remaining current year and five subsequent years:</w:t>
      </w:r>
    </w:p>
    <w:p>
      <w:pPr>
        <w:spacing w:after="0" w:line="259" w:lineRule="exact"/>
        <w:rPr>
          <w:sz w:val="20"/>
          <w:szCs w:val="20"/>
          <w:color w:val="auto"/>
        </w:rPr>
      </w:pPr>
    </w:p>
    <w:tbl>
      <w:tblPr>
        <w:tblLayout w:type="fixed"/>
        <w:tblInd w:w="5380" w:type="dxa"/>
        <w:tblCellMar>
          <w:top w:w="0" w:type="dxa"/>
          <w:left w:w="0" w:type="dxa"/>
          <w:bottom w:w="0" w:type="dxa"/>
          <w:right w:w="0" w:type="dxa"/>
        </w:tblCellMar>
      </w:tblPr>
      <w:tr>
        <w:trPr>
          <w:trHeight w:val="17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5"/>
                <w:szCs w:val="15"/>
                <w:color w:val="auto"/>
              </w:rPr>
            </w:pPr>
          </w:p>
        </w:tc>
        <w:tc>
          <w:tcPr>
            <w:tcW w:w="150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September 30, 2020</w:t>
            </w:r>
          </w:p>
        </w:tc>
      </w:tr>
      <w:tr>
        <w:trPr>
          <w:trHeight w:val="172"/>
        </w:trPr>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18,076</w:t>
            </w: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69,676</w:t>
            </w:r>
          </w:p>
        </w:tc>
      </w:tr>
      <w:tr>
        <w:trPr>
          <w:trHeight w:val="17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64,852</w:t>
            </w: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63,960</w:t>
            </w:r>
          </w:p>
        </w:tc>
      </w:tr>
      <w:tr>
        <w:trPr>
          <w:trHeight w:val="17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50,845</w:t>
            </w:r>
          </w:p>
        </w:tc>
      </w:tr>
      <w:tr>
        <w:trPr>
          <w:trHeight w:val="172"/>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47,879</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Receivables from/Payables to Broker-Dealers and Clearing Organizations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is a summary of receivables from and payables to brokers-dealers and clearing organizations at September 30, 2020 and December 31, 2019:</w:t>
      </w:r>
    </w:p>
    <w:p>
      <w:pPr>
        <w:spacing w:after="0" w:line="246"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20" w:type="dxa"/>
            <w:vAlign w:val="bottom"/>
          </w:tcPr>
          <w:p>
            <w:pPr>
              <w:spacing w:after="0"/>
              <w:rPr>
                <w:sz w:val="15"/>
                <w:szCs w:val="15"/>
                <w:color w:val="auto"/>
              </w:rPr>
            </w:pPr>
          </w:p>
        </w:tc>
        <w:tc>
          <w:tcPr>
            <w:tcW w:w="15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2"/>
        </w:trPr>
        <w:tc>
          <w:tcPr>
            <w:tcW w:w="6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Due from prime brokers</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643,089</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418,059</w:t>
            </w:r>
          </w:p>
        </w:tc>
      </w:tr>
      <w:tr>
        <w:trPr>
          <w:trHeight w:val="175"/>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Deposits with clearing organizations</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386,460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231,977</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equity with futures commission merchants</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267,748</w:t>
            </w:r>
          </w:p>
        </w:tc>
      </w:tr>
      <w:tr>
        <w:trPr>
          <w:trHeight w:val="175"/>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Unsettled trades with clearing organizations</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392,349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214,618</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failed to deliver</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178,324</w:t>
            </w:r>
          </w:p>
        </w:tc>
      </w:tr>
      <w:tr>
        <w:trPr>
          <w:trHeight w:val="17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Commissions and fees</w:t>
            </w:r>
          </w:p>
        </w:tc>
        <w:tc>
          <w:tcPr>
            <w:tcW w:w="2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7,858</w:t>
            </w:r>
          </w:p>
        </w:tc>
      </w:tr>
      <w:tr>
        <w:trPr>
          <w:trHeight w:val="168"/>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receivables from broker-dealers and clearing organizations</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1,881,881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1,318,584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4"/>
        </w:trPr>
        <w:tc>
          <w:tcPr>
            <w:tcW w:w="6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74"/>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Due to prime brokers</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511,524</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equity with futures commission merchants</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50,950</w:t>
            </w:r>
          </w:p>
        </w:tc>
      </w:tr>
      <w:tr>
        <w:trPr>
          <w:trHeight w:val="175"/>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Unsettled trades with clearing organizations</w:t>
            </w: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118,286</w:t>
            </w:r>
          </w:p>
        </w:tc>
      </w:tr>
      <w:tr>
        <w:trPr>
          <w:trHeight w:val="173"/>
        </w:trPr>
        <w:tc>
          <w:tcPr>
            <w:tcW w:w="7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failed to receive</w:t>
            </w: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144,494</w:t>
            </w:r>
          </w:p>
        </w:tc>
      </w:tr>
      <w:tr>
        <w:trPr>
          <w:trHeight w:val="17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Commissions and fees</w:t>
            </w:r>
          </w:p>
        </w:tc>
        <w:tc>
          <w:tcPr>
            <w:tcW w:w="2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r>
      <w:tr>
        <w:trPr>
          <w:trHeight w:val="168"/>
        </w:trPr>
        <w:tc>
          <w:tcPr>
            <w:tcW w:w="70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payables to broker-dealers and clearing organizations</w:t>
            </w:r>
          </w:p>
        </w:tc>
        <w:tc>
          <w:tcPr>
            <w:tcW w:w="2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675,032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826,750</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10 “Borrowings”) of approximately $163.6 million and $134.3 million as of September 30, 2020 and December 31, 2019,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Collateralized Transactions</w:t>
      </w:r>
    </w:p>
    <w:p>
      <w:pPr>
        <w:spacing w:after="0" w:line="232" w:lineRule="exact"/>
        <w:rPr>
          <w:sz w:val="20"/>
          <w:szCs w:val="20"/>
          <w:color w:val="auto"/>
        </w:rPr>
      </w:pPr>
    </w:p>
    <w:p>
      <w:pPr>
        <w:ind w:right="260" w:firstLine="597"/>
        <w:spacing w:after="0" w:line="25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2020 and December 31, 2019, substantially all of the securities received as collateral have been repledged.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fair value of the collateralized transactions at September 30, 2020 and December 31, 2019 are summarized as follows:</w:t>
      </w:r>
    </w:p>
    <w:p>
      <w:pPr>
        <w:spacing w:after="0" w:line="35"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80" w:type="dxa"/>
            <w:vAlign w:val="bottom"/>
          </w:tcPr>
          <w:p>
            <w:pPr>
              <w:spacing w:after="0"/>
              <w:rPr>
                <w:sz w:val="15"/>
                <w:szCs w:val="15"/>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2"/>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received as collateral:</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73"/>
        </w:trPr>
        <w:tc>
          <w:tcPr>
            <w:tcW w:w="7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Securities borrowed</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1,288,866</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1,881,005</w:t>
            </w:r>
          </w:p>
        </w:tc>
      </w:tr>
      <w:tr>
        <w:trPr>
          <w:trHeight w:val="174"/>
        </w:trPr>
        <w:tc>
          <w:tcPr>
            <w:tcW w:w="7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18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142,922</w:t>
            </w:r>
          </w:p>
        </w:tc>
      </w:tr>
      <w:tr>
        <w:trPr>
          <w:trHeight w:val="167"/>
        </w:trPr>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1,306,263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2,023,927</w:t>
            </w: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In the normal course of business, the Company pledges qualified securities with clearing organizations to satisfy daily margin and clearing fund requirements.</w:t>
      </w:r>
    </w:p>
    <w:p>
      <w:pPr>
        <w:spacing w:after="0" w:line="239" w:lineRule="exact"/>
        <w:rPr>
          <w:sz w:val="20"/>
          <w:szCs w:val="20"/>
          <w:color w:val="auto"/>
        </w:rPr>
      </w:pPr>
    </w:p>
    <w:p>
      <w:pPr>
        <w:ind w:right="320" w:firstLine="597"/>
        <w:spacing w:after="0" w:line="269"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September 30, 2020 and December 31, 2019 consisted of the following:</w:t>
      </w:r>
    </w:p>
    <w:p>
      <w:pPr>
        <w:spacing w:after="0" w:line="216" w:lineRule="exact"/>
        <w:rPr>
          <w:sz w:val="20"/>
          <w:szCs w:val="20"/>
          <w:color w:val="auto"/>
        </w:rPr>
      </w:pPr>
    </w:p>
    <w:tbl>
      <w:tblPr>
        <w:tblLayout w:type="fixed"/>
        <w:tblInd w:w="140" w:type="dxa"/>
        <w:tblCellMar>
          <w:top w:w="0" w:type="dxa"/>
          <w:left w:w="0" w:type="dxa"/>
          <w:bottom w:w="0" w:type="dxa"/>
          <w:right w:w="0" w:type="dxa"/>
        </w:tblCellMar>
      </w:tblPr>
      <w:tr>
        <w:trPr>
          <w:trHeight w:val="179"/>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80" w:type="dxa"/>
            <w:vAlign w:val="bottom"/>
          </w:tcPr>
          <w:p>
            <w:pPr>
              <w:spacing w:after="0"/>
              <w:rPr>
                <w:sz w:val="15"/>
                <w:szCs w:val="15"/>
                <w:color w:val="auto"/>
              </w:rPr>
            </w:pP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2"/>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Equities</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599,350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654,366</w:t>
            </w:r>
          </w:p>
        </w:tc>
      </w:tr>
      <w:tr>
        <w:trPr>
          <w:trHeight w:val="173"/>
        </w:trPr>
        <w:tc>
          <w:tcPr>
            <w:tcW w:w="7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Exchange traded notes</w:t>
            </w: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42,590</w:t>
            </w:r>
          </w:p>
        </w:tc>
      </w:tr>
      <w:tr>
        <w:trPr>
          <w:trHeight w:val="192"/>
        </w:trPr>
        <w:tc>
          <w:tcPr>
            <w:tcW w:w="7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609,050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696,956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Borrowings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summarizes the Company's short-term borrowing balances outstanding, net of related debt issuance costs, with each described in further detail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19"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Borrowing Outstanding</w:t>
            </w:r>
          </w:p>
        </w:tc>
        <w:tc>
          <w:tcPr>
            <w:tcW w:w="120" w:type="dxa"/>
            <w:vAlign w:val="bottom"/>
          </w:tcPr>
          <w:p>
            <w:pPr>
              <w:spacing w:after="0"/>
              <w:rPr>
                <w:sz w:val="10"/>
                <w:szCs w:val="10"/>
                <w:color w:val="auto"/>
              </w:rPr>
            </w:pPr>
          </w:p>
        </w:tc>
        <w:tc>
          <w:tcPr>
            <w:tcW w:w="15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Deferred Debt Issuance</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Short-term Borrowings, net</w:t>
            </w:r>
          </w:p>
        </w:tc>
        <w:tc>
          <w:tcPr>
            <w:tcW w:w="0" w:type="dxa"/>
            <w:vAlign w:val="bottom"/>
          </w:tcPr>
          <w:p>
            <w:pPr>
              <w:spacing w:after="0"/>
              <w:rPr>
                <w:sz w:val="1"/>
                <w:szCs w:val="1"/>
                <w:color w:val="auto"/>
              </w:rPr>
            </w:pPr>
          </w:p>
        </w:tc>
      </w:tr>
      <w:tr>
        <w:trPr>
          <w:trHeight w:val="174"/>
        </w:trPr>
        <w:tc>
          <w:tcPr>
            <w:tcW w:w="4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Broker-dealer credit facilities</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77,019</w:t>
            </w:r>
          </w:p>
        </w:tc>
        <w:tc>
          <w:tcPr>
            <w:tcW w:w="0" w:type="dxa"/>
            <w:vAlign w:val="bottom"/>
          </w:tcPr>
          <w:p>
            <w:pPr>
              <w:spacing w:after="0"/>
              <w:rPr>
                <w:sz w:val="1"/>
                <w:szCs w:val="1"/>
                <w:color w:val="auto"/>
              </w:rPr>
            </w:pPr>
          </w:p>
        </w:tc>
      </w:tr>
      <w:tr>
        <w:trPr>
          <w:trHeight w:val="17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Short-term bank loans</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46,974</w:t>
            </w:r>
          </w:p>
        </w:tc>
        <w:tc>
          <w:tcPr>
            <w:tcW w:w="0" w:type="dxa"/>
            <w:vAlign w:val="bottom"/>
          </w:tcPr>
          <w:p>
            <w:pPr>
              <w:spacing w:after="0"/>
              <w:rPr>
                <w:sz w:val="1"/>
                <w:szCs w:val="1"/>
                <w:color w:val="auto"/>
              </w:rPr>
            </w:pPr>
          </w:p>
        </w:tc>
      </w:tr>
      <w:tr>
        <w:trPr>
          <w:trHeight w:val="192"/>
        </w:trPr>
        <w:tc>
          <w:tcPr>
            <w:tcW w:w="44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123,993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tbl>
      <w:tblPr>
        <w:tblLayout w:type="fixed"/>
        <w:tblInd w:w="860" w:type="dxa"/>
        <w:tblCellMar>
          <w:top w:w="0" w:type="dxa"/>
          <w:left w:w="0" w:type="dxa"/>
          <w:bottom w:w="0" w:type="dxa"/>
          <w:right w:w="0" w:type="dxa"/>
        </w:tblCellMar>
      </w:tblPr>
      <w:tr>
        <w:trPr>
          <w:trHeight w:val="179"/>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Borrowing Outstanding</w:t>
            </w:r>
          </w:p>
        </w:tc>
        <w:tc>
          <w:tcPr>
            <w:tcW w:w="120" w:type="dxa"/>
            <w:vAlign w:val="bottom"/>
          </w:tcPr>
          <w:p>
            <w:pPr>
              <w:spacing w:after="0"/>
              <w:rPr>
                <w:sz w:val="10"/>
                <w:szCs w:val="10"/>
                <w:color w:val="auto"/>
              </w:rPr>
            </w:pPr>
          </w:p>
        </w:tc>
        <w:tc>
          <w:tcPr>
            <w:tcW w:w="15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rPr>
              <w:t>Deferred Debt Issuance</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Short-term Borrowings, net</w:t>
            </w:r>
          </w:p>
        </w:tc>
        <w:tc>
          <w:tcPr>
            <w:tcW w:w="0" w:type="dxa"/>
            <w:vAlign w:val="bottom"/>
          </w:tcPr>
          <w:p>
            <w:pPr>
              <w:spacing w:after="0"/>
              <w:rPr>
                <w:sz w:val="1"/>
                <w:szCs w:val="1"/>
                <w:color w:val="auto"/>
              </w:rPr>
            </w:pPr>
          </w:p>
        </w:tc>
      </w:tr>
      <w:tr>
        <w:trPr>
          <w:trHeight w:val="174"/>
        </w:trPr>
        <w:tc>
          <w:tcPr>
            <w:tcW w:w="4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Broker-dealer credit facilities</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27,900</w:t>
            </w:r>
          </w:p>
        </w:tc>
        <w:tc>
          <w:tcPr>
            <w:tcW w:w="0" w:type="dxa"/>
            <w:vAlign w:val="bottom"/>
          </w:tcPr>
          <w:p>
            <w:pPr>
              <w:spacing w:after="0"/>
              <w:rPr>
                <w:sz w:val="1"/>
                <w:szCs w:val="1"/>
                <w:color w:val="auto"/>
              </w:rPr>
            </w:pPr>
          </w:p>
        </w:tc>
      </w:tr>
      <w:tr>
        <w:trPr>
          <w:trHeight w:val="17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Short-term bank loans</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45,586</w:t>
            </w:r>
          </w:p>
        </w:tc>
        <w:tc>
          <w:tcPr>
            <w:tcW w:w="0" w:type="dxa"/>
            <w:vAlign w:val="bottom"/>
          </w:tcPr>
          <w:p>
            <w:pPr>
              <w:spacing w:after="0"/>
              <w:rPr>
                <w:sz w:val="1"/>
                <w:szCs w:val="1"/>
                <w:color w:val="auto"/>
              </w:rPr>
            </w:pPr>
          </w:p>
        </w:tc>
      </w:tr>
      <w:tr>
        <w:trPr>
          <w:trHeight w:val="192"/>
        </w:trPr>
        <w:tc>
          <w:tcPr>
            <w:tcW w:w="44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30"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$300 million, which was subsequently increased to $400 million in April 2020, and is collateralized by the trading and deposit account of one of the Company’s broker-dealer subsidiaries maintained at the financial institution.</w:t>
      </w:r>
    </w:p>
    <w:p>
      <w:pPr>
        <w:spacing w:after="0" w:line="199"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color w:val="auto"/>
        </w:rPr>
        <w:t>On November 3, 2017, the Company entered into the second credit facility (the “Committed Facility”) with the same financial institution which was subsequently amended and restated March 1, 2019 to increase the borrowing limit to $600 million and subsequently amended to adjust sublimits and certain other terms, including most recently on July 29, 2020.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bears interest at the adjusted LIBOR or base rate plus 1.25% per annum. Following the July 29, 2020 amendment,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right="80" w:firstLine="597"/>
        <w:spacing w:after="0" w:line="280" w:lineRule="auto"/>
        <w:rPr>
          <w:sz w:val="20"/>
          <w:szCs w:val="20"/>
          <w:color w:val="auto"/>
        </w:rPr>
      </w:pPr>
      <w:r>
        <w:rPr>
          <w:rFonts w:ascii="Times New Roman" w:cs="Times New Roman" w:eastAsia="Times New Roman" w:hAnsi="Times New Roman"/>
          <w:sz w:val="16"/>
          <w:szCs w:val="16"/>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77"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On March 20, 2020, VAL,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Terms of the warrant are set forth in further detail in Note 18 “Capital Structure”. The foregoing description of the Founder Member Loan Facility does not purport to be complete and is qualified in its entirety by reference to the complete text of the Founder Member Loan Facility, which is filed as an exhibit to the Company's 2020 quarterly report on Form 10-Q for the period ended March 31, 2020 filed with Securities and Exchange Commission on May 11, 2020.</w:t>
      </w:r>
    </w:p>
    <w:p>
      <w:pPr>
        <w:spacing w:after="0" w:line="203" w:lineRule="exact"/>
        <w:rPr>
          <w:sz w:val="20"/>
          <w:szCs w:val="20"/>
          <w:color w:val="auto"/>
        </w:rPr>
      </w:pPr>
    </w:p>
    <w:p>
      <w:pPr>
        <w:ind w:right="440" w:firstLine="597"/>
        <w:spacing w:after="0" w:line="269" w:lineRule="auto"/>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 These balances are included within Short-term borrowings on the Condensed Consolidated Statement of Financial Condition.</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At September 30, 2020</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Financing Available</w:t>
            </w: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Borrowing Outstanding</w:t>
            </w:r>
          </w:p>
        </w:tc>
        <w:tc>
          <w:tcPr>
            <w:tcW w:w="15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Deferred Debt Issuance</w:t>
            </w:r>
          </w:p>
        </w:tc>
        <w:tc>
          <w:tcPr>
            <w:tcW w:w="160" w:type="dxa"/>
            <w:vAlign w:val="bottom"/>
          </w:tcPr>
          <w:p>
            <w:pPr>
              <w:spacing w:after="0"/>
              <w:rPr>
                <w:sz w:val="10"/>
                <w:szCs w:val="10"/>
                <w:color w:val="auto"/>
              </w:rPr>
            </w:pPr>
          </w:p>
        </w:tc>
        <w:tc>
          <w:tcPr>
            <w:tcW w:w="1280" w:type="dxa"/>
            <w:vAlign w:val="bottom"/>
          </w:tcPr>
          <w:p>
            <w:pPr>
              <w:jc w:val="right"/>
              <w:ind w:right="314"/>
              <w:spacing w:after="0" w:line="122"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4"/>
        </w:trPr>
        <w:tc>
          <w:tcPr>
            <w:tcW w:w="36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Borrowings, net</w:t>
            </w:r>
          </w:p>
        </w:tc>
        <w:tc>
          <w:tcPr>
            <w:tcW w:w="0" w:type="dxa"/>
            <w:vAlign w:val="bottom"/>
          </w:tcPr>
          <w:p>
            <w:pPr>
              <w:spacing w:after="0"/>
              <w:rPr>
                <w:sz w:val="1"/>
                <w:szCs w:val="1"/>
                <w:color w:val="auto"/>
              </w:rPr>
            </w:pPr>
          </w:p>
        </w:tc>
      </w:tr>
      <w:tr>
        <w:trPr>
          <w:trHeight w:val="167"/>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Broker-dealer credit facilities:</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10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77,019</w:t>
            </w:r>
          </w:p>
        </w:tc>
        <w:tc>
          <w:tcPr>
            <w:tcW w:w="0" w:type="dxa"/>
            <w:vAlign w:val="bottom"/>
          </w:tcPr>
          <w:p>
            <w:pPr>
              <w:spacing w:after="0"/>
              <w:rPr>
                <w:sz w:val="1"/>
                <w:szCs w:val="1"/>
                <w:color w:val="auto"/>
              </w:rPr>
            </w:pPr>
          </w:p>
        </w:tc>
      </w:tr>
      <w:tr>
        <w:trPr>
          <w:trHeight w:val="175"/>
        </w:trPr>
        <w:tc>
          <w:tcPr>
            <w:tcW w:w="3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Committed facility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78,000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77,019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At December 31, 2019</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2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Financing Available</w:t>
            </w: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Borrowing Outstanding</w:t>
            </w:r>
          </w:p>
        </w:tc>
        <w:tc>
          <w:tcPr>
            <w:tcW w:w="15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rPr>
              <w:t>Deferred Debt Issuance</w:t>
            </w:r>
          </w:p>
        </w:tc>
        <w:tc>
          <w:tcPr>
            <w:tcW w:w="160" w:type="dxa"/>
            <w:vAlign w:val="bottom"/>
          </w:tcPr>
          <w:p>
            <w:pPr>
              <w:spacing w:after="0"/>
              <w:rPr>
                <w:sz w:val="10"/>
                <w:szCs w:val="10"/>
                <w:color w:val="auto"/>
              </w:rPr>
            </w:pPr>
          </w:p>
        </w:tc>
        <w:tc>
          <w:tcPr>
            <w:tcW w:w="1280" w:type="dxa"/>
            <w:vAlign w:val="bottom"/>
          </w:tcPr>
          <w:p>
            <w:pPr>
              <w:jc w:val="right"/>
              <w:ind w:right="314"/>
              <w:spacing w:after="0" w:line="122"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4"/>
        </w:trPr>
        <w:tc>
          <w:tcPr>
            <w:tcW w:w="368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60" w:type="dxa"/>
            <w:vAlign w:val="bottom"/>
          </w:tcPr>
          <w:p>
            <w:pPr>
              <w:spacing w:after="0"/>
              <w:rPr>
                <w:sz w:val="15"/>
                <w:szCs w:val="15"/>
                <w:color w:val="auto"/>
              </w:rPr>
            </w:pP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Borrowings, net</w:t>
            </w:r>
          </w:p>
        </w:tc>
        <w:tc>
          <w:tcPr>
            <w:tcW w:w="0" w:type="dxa"/>
            <w:vAlign w:val="bottom"/>
          </w:tcPr>
          <w:p>
            <w:pPr>
              <w:spacing w:after="0"/>
              <w:rPr>
                <w:sz w:val="1"/>
                <w:szCs w:val="1"/>
                <w:color w:val="auto"/>
              </w:rPr>
            </w:pPr>
          </w:p>
        </w:tc>
      </w:tr>
      <w:tr>
        <w:trPr>
          <w:trHeight w:val="167"/>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Broker-dealer credit facilities:</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27,900</w:t>
            </w:r>
          </w:p>
        </w:tc>
        <w:tc>
          <w:tcPr>
            <w:tcW w:w="0" w:type="dxa"/>
            <w:vAlign w:val="bottom"/>
          </w:tcPr>
          <w:p>
            <w:pPr>
              <w:spacing w:after="0"/>
              <w:rPr>
                <w:sz w:val="1"/>
                <w:szCs w:val="1"/>
                <w:color w:val="auto"/>
              </w:rPr>
            </w:pPr>
          </w:p>
        </w:tc>
      </w:tr>
      <w:tr>
        <w:trPr>
          <w:trHeight w:val="174"/>
        </w:trPr>
        <w:tc>
          <w:tcPr>
            <w:tcW w:w="3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Committed facility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(2,100)</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27,900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860" w:firstLine="597"/>
        <w:spacing w:after="0" w:line="269"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5"/>
                <w:szCs w:val="15"/>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7"/>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Broker-dealer credit facilities:</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73"/>
        </w:trPr>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Uncommitted facility</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Pr>
          <w:p>
            <w:pPr>
              <w:spacing w:after="0"/>
              <w:rPr>
                <w:sz w:val="15"/>
                <w:szCs w:val="15"/>
                <w:color w:val="auto"/>
              </w:rPr>
            </w:pP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w:t>
            </w:r>
          </w:p>
        </w:tc>
        <w:tc>
          <w:tcPr>
            <w:tcW w:w="10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w:t>
            </w:r>
          </w:p>
        </w:tc>
      </w:tr>
      <w:tr>
        <w:trPr>
          <w:trHeight w:val="175"/>
        </w:trPr>
        <w:tc>
          <w:tcPr>
            <w:tcW w:w="5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Committed facility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173"/>
        </w:trPr>
        <w:tc>
          <w:tcPr>
            <w:tcW w:w="53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Demand Loan</w:t>
            </w:r>
          </w:p>
        </w:tc>
        <w:tc>
          <w:tcPr>
            <w:tcW w:w="2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5"/>
                <w:szCs w:val="15"/>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2"/>
        </w:trPr>
        <w:tc>
          <w:tcPr>
            <w:tcW w:w="5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30" w:lineRule="exact"/>
        <w:rPr>
          <w:sz w:val="20"/>
          <w:szCs w:val="20"/>
          <w:color w:val="auto"/>
        </w:rPr>
      </w:pPr>
    </w:p>
    <w:p>
      <w:pPr>
        <w:ind w:right="40" w:firstLine="597"/>
        <w:spacing w:after="0" w:line="250"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September 30, 2020, there was $47.0 million associated with international settlement activities outstanding under these facilities at a weighted average interest rate of approximately 2.0%. At December 31, 2019, there was $45.6 million associated with international settlement activities outstanding under these facilities at a weighted average interest rate of approximately 4.5%. These short-term bank loan balances are included within Short-term borrowings on the Condensed Consolidated Statement of Financial Condition.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Lien Revolving Facility</w:t>
      </w:r>
    </w:p>
    <w:p>
      <w:pPr>
        <w:spacing w:after="0" w:line="230" w:lineRule="exact"/>
        <w:rPr>
          <w:sz w:val="20"/>
          <w:szCs w:val="20"/>
          <w:color w:val="auto"/>
        </w:rPr>
      </w:pPr>
    </w:p>
    <w:p>
      <w:pPr>
        <w:ind w:right="220" w:firstLine="597"/>
        <w:spacing w:after="0" w:line="256" w:lineRule="auto"/>
        <w:rPr>
          <w:sz w:val="20"/>
          <w:szCs w:val="20"/>
          <w:color w:val="auto"/>
        </w:rPr>
      </w:pPr>
      <w:r>
        <w:rPr>
          <w:rFonts w:ascii="Times New Roman" w:cs="Times New Roman" w:eastAsia="Times New Roman" w:hAnsi="Times New Roman"/>
          <w:sz w:val="17"/>
          <w:szCs w:val="17"/>
          <w:color w:val="auto"/>
        </w:rPr>
        <w:t>The Company's Amended Credit Agreement (as defined below) provides for a $50.0 million senior secured first lien revolving facility. There were no outstanding borrowings under the facility as of September 30, 2020 or December 31, 2019. There was minimal interest expense in relation to this facility for the three months ended September 30, 2020 and $0.4 million for the nine months ended September 30, 2020.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4" w:lineRule="exact"/>
        <w:rPr>
          <w:sz w:val="20"/>
          <w:szCs w:val="20"/>
          <w:color w:val="auto"/>
        </w:rPr>
      </w:pPr>
    </w:p>
    <w:p>
      <w:pPr>
        <w:ind w:right="80" w:firstLine="597"/>
        <w:spacing w:after="0" w:line="24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At September 30, 2020</w:t>
            </w: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80" w:type="dxa"/>
            <w:vAlign w:val="bottom"/>
          </w:tcPr>
          <w:p>
            <w:pPr>
              <w:spacing w:after="0"/>
              <w:rPr>
                <w:sz w:val="10"/>
                <w:szCs w:val="10"/>
                <w:color w:val="auto"/>
              </w:rPr>
            </w:pPr>
          </w:p>
        </w:tc>
        <w:tc>
          <w:tcPr>
            <w:tcW w:w="208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420" w:type="dxa"/>
            <w:vAlign w:val="bottom"/>
          </w:tcPr>
          <w:p>
            <w:pPr>
              <w:spacing w:after="0"/>
              <w:rPr>
                <w:sz w:val="10"/>
                <w:szCs w:val="10"/>
                <w:color w:val="auto"/>
              </w:rPr>
            </w:pPr>
          </w:p>
        </w:tc>
        <w:tc>
          <w:tcPr>
            <w:tcW w:w="1840" w:type="dxa"/>
            <w:vAlign w:val="bottom"/>
          </w:tcPr>
          <w:p>
            <w:pPr>
              <w:jc w:val="right"/>
              <w:ind w:right="774"/>
              <w:spacing w:after="0" w:line="122" w:lineRule="exact"/>
              <w:rPr>
                <w:sz w:val="20"/>
                <w:szCs w:val="20"/>
                <w:color w:val="auto"/>
              </w:rPr>
            </w:pPr>
            <w:r>
              <w:rPr>
                <w:rFonts w:ascii="Times New Roman" w:cs="Times New Roman" w:eastAsia="Times New Roman" w:hAnsi="Times New Roman"/>
                <w:sz w:val="13"/>
                <w:szCs w:val="13"/>
                <w:b w:val="1"/>
                <w:bCs w:val="1"/>
                <w:color w:val="auto"/>
              </w:rPr>
              <w:t>Borrowing</w:t>
            </w:r>
          </w:p>
        </w:tc>
        <w:tc>
          <w:tcPr>
            <w:tcW w:w="0" w:type="dxa"/>
            <w:vAlign w:val="bottom"/>
          </w:tcPr>
          <w:p>
            <w:pPr>
              <w:spacing w:after="0"/>
              <w:rPr>
                <w:sz w:val="1"/>
                <w:szCs w:val="1"/>
                <w:color w:val="auto"/>
              </w:rPr>
            </w:pPr>
          </w:p>
        </w:tc>
      </w:tr>
      <w:tr>
        <w:trPr>
          <w:trHeight w:val="174"/>
        </w:trPr>
        <w:tc>
          <w:tcPr>
            <w:tcW w:w="4220" w:type="dxa"/>
            <w:vAlign w:val="bottom"/>
            <w:gridSpan w:val="2"/>
            <w:vMerge w:val="continue"/>
          </w:tcPr>
          <w:p>
            <w:pPr>
              <w:spacing w:after="0"/>
              <w:rPr>
                <w:sz w:val="15"/>
                <w:szCs w:val="15"/>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280" w:type="dxa"/>
            <w:vAlign w:val="bottom"/>
          </w:tcPr>
          <w:p>
            <w:pPr>
              <w:spacing w:after="0"/>
              <w:rPr>
                <w:sz w:val="15"/>
                <w:szCs w:val="15"/>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420" w:type="dxa"/>
            <w:vAlign w:val="bottom"/>
          </w:tcPr>
          <w:p>
            <w:pPr>
              <w:spacing w:after="0"/>
              <w:rPr>
                <w:sz w:val="15"/>
                <w:szCs w:val="15"/>
                <w:color w:val="auto"/>
              </w:rPr>
            </w:pPr>
          </w:p>
        </w:tc>
        <w:tc>
          <w:tcPr>
            <w:tcW w:w="184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67"/>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Prime Brokerage Credit Facilities:</w:t>
            </w:r>
          </w:p>
        </w:tc>
        <w:tc>
          <w:tcPr>
            <w:tcW w:w="100" w:type="dxa"/>
            <w:vAlign w:val="bottom"/>
            <w:tcBorders>
              <w:top w:val="single" w:sz="8" w:color="CCEEFF"/>
            </w:tcBorders>
            <w:shd w:val="clear" w:color="auto" w:fill="CCEEFF"/>
          </w:tcPr>
          <w:p>
            <w:pPr>
              <w:spacing w:after="0"/>
              <w:rPr>
                <w:sz w:val="14"/>
                <w:szCs w:val="14"/>
                <w:color w:val="auto"/>
              </w:rPr>
            </w:pPr>
          </w:p>
        </w:tc>
        <w:tc>
          <w:tcPr>
            <w:tcW w:w="2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163,592</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163,592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At December 31, 2019</w:t>
            </w: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300" w:type="dxa"/>
            <w:vAlign w:val="bottom"/>
          </w:tcPr>
          <w:p>
            <w:pPr>
              <w:spacing w:after="0"/>
              <w:rPr>
                <w:sz w:val="10"/>
                <w:szCs w:val="10"/>
                <w:color w:val="auto"/>
              </w:rPr>
            </w:pPr>
          </w:p>
        </w:tc>
        <w:tc>
          <w:tcPr>
            <w:tcW w:w="206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420" w:type="dxa"/>
            <w:vAlign w:val="bottom"/>
          </w:tcPr>
          <w:p>
            <w:pPr>
              <w:spacing w:after="0"/>
              <w:rPr>
                <w:sz w:val="10"/>
                <w:szCs w:val="10"/>
                <w:color w:val="auto"/>
              </w:rPr>
            </w:pPr>
          </w:p>
        </w:tc>
        <w:tc>
          <w:tcPr>
            <w:tcW w:w="1840" w:type="dxa"/>
            <w:vAlign w:val="bottom"/>
          </w:tcPr>
          <w:p>
            <w:pPr>
              <w:jc w:val="right"/>
              <w:ind w:right="774"/>
              <w:spacing w:after="0" w:line="122" w:lineRule="exact"/>
              <w:rPr>
                <w:sz w:val="20"/>
                <w:szCs w:val="20"/>
                <w:color w:val="auto"/>
              </w:rPr>
            </w:pPr>
            <w:r>
              <w:rPr>
                <w:rFonts w:ascii="Times New Roman" w:cs="Times New Roman" w:eastAsia="Times New Roman" w:hAnsi="Times New Roman"/>
                <w:sz w:val="13"/>
                <w:szCs w:val="13"/>
                <w:b w:val="1"/>
                <w:bCs w:val="1"/>
                <w:color w:val="auto"/>
              </w:rPr>
              <w:t>Borrowing</w:t>
            </w:r>
          </w:p>
        </w:tc>
        <w:tc>
          <w:tcPr>
            <w:tcW w:w="0" w:type="dxa"/>
            <w:vAlign w:val="bottom"/>
          </w:tcPr>
          <w:p>
            <w:pPr>
              <w:spacing w:after="0"/>
              <w:rPr>
                <w:sz w:val="1"/>
                <w:szCs w:val="1"/>
                <w:color w:val="auto"/>
              </w:rPr>
            </w:pPr>
          </w:p>
        </w:tc>
      </w:tr>
      <w:tr>
        <w:trPr>
          <w:trHeight w:val="174"/>
        </w:trPr>
        <w:tc>
          <w:tcPr>
            <w:tcW w:w="4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Available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Prime Brokerage Credit Facilities: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134,331</w:t>
            </w:r>
          </w:p>
        </w:tc>
        <w:tc>
          <w:tcPr>
            <w:tcW w:w="0" w:type="dxa"/>
            <w:vAlign w:val="bottom"/>
          </w:tcPr>
          <w:p>
            <w:pPr>
              <w:spacing w:after="0"/>
              <w:rPr>
                <w:sz w:val="1"/>
                <w:szCs w:val="1"/>
                <w:color w:val="auto"/>
              </w:rPr>
            </w:pPr>
          </w:p>
        </w:tc>
      </w:tr>
      <w:tr>
        <w:trPr>
          <w:trHeight w:val="200"/>
        </w:trPr>
        <w:tc>
          <w:tcPr>
            <w:tcW w:w="4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134,331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Outstanding borrowings are included with Receivables from/ Payables to broker-dealers and clearing organizations within the Condensed Consolidated Statements of Financial Condition.</w:t>
      </w:r>
    </w:p>
    <w:p>
      <w:pPr>
        <w:spacing w:after="0" w:line="228" w:lineRule="exact"/>
        <w:rPr>
          <w:sz w:val="20"/>
          <w:szCs w:val="20"/>
          <w:color w:val="auto"/>
        </w:rPr>
      </w:pPr>
    </w:p>
    <w:p>
      <w:pPr>
        <w:ind w:right="640" w:firstLine="597"/>
        <w:spacing w:after="0" w:line="269" w:lineRule="auto"/>
        <w:rPr>
          <w:sz w:val="20"/>
          <w:szCs w:val="20"/>
          <w:color w:val="auto"/>
        </w:rPr>
      </w:pPr>
      <w:r>
        <w:rPr>
          <w:rFonts w:ascii="Times New Roman" w:cs="Times New Roman" w:eastAsia="Times New Roman" w:hAnsi="Times New Roman"/>
          <w:sz w:val="17"/>
          <w:szCs w:val="17"/>
          <w:color w:val="auto"/>
        </w:rPr>
        <w:t>Interest expense in relation to the facilities was approximately $1.2 million and $1.6 million for the three months ended September 30, 2020 and 2019, respectively, and $3.8 million and $5.3 million for the nine months ended September 30, 2020 and 2019,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At September 30, 2020</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9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0"/>
                <w:szCs w:val="10"/>
                <w:color w:val="auto"/>
              </w:rPr>
            </w:pPr>
          </w:p>
        </w:tc>
        <w:tc>
          <w:tcPr>
            <w:tcW w:w="114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3"/>
                <w:szCs w:val="13"/>
                <w:b w:val="1"/>
                <w:bCs w:val="1"/>
                <w:color w:val="auto"/>
              </w:rPr>
              <w:t>Deferred Debt</w:t>
            </w:r>
          </w:p>
        </w:tc>
        <w:tc>
          <w:tcPr>
            <w:tcW w:w="180" w:type="dxa"/>
            <w:vAlign w:val="bottom"/>
          </w:tcPr>
          <w:p>
            <w:pPr>
              <w:spacing w:after="0"/>
              <w:rPr>
                <w:sz w:val="10"/>
                <w:szCs w:val="10"/>
                <w:color w:val="auto"/>
              </w:rPr>
            </w:pPr>
          </w:p>
        </w:tc>
        <w:tc>
          <w:tcPr>
            <w:tcW w:w="1220" w:type="dxa"/>
            <w:vAlign w:val="bottom"/>
          </w:tcPr>
          <w:p>
            <w:pPr>
              <w:jc w:val="right"/>
              <w:ind w:right="274"/>
              <w:spacing w:after="0" w:line="12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4"/>
        </w:trPr>
        <w:tc>
          <w:tcPr>
            <w:tcW w:w="3840" w:type="dxa"/>
            <w:vAlign w:val="bottom"/>
            <w:gridSpan w:val="2"/>
            <w:vMerge w:val="continue"/>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Rate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Issuance Cost</w:t>
            </w:r>
          </w:p>
        </w:tc>
        <w:tc>
          <w:tcPr>
            <w:tcW w:w="180" w:type="dxa"/>
            <w:vAlign w:val="bottom"/>
          </w:tcPr>
          <w:p>
            <w:pPr>
              <w:spacing w:after="0"/>
              <w:rPr>
                <w:sz w:val="15"/>
                <w:szCs w:val="15"/>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Borrowings, net</w:t>
            </w:r>
          </w:p>
        </w:tc>
        <w:tc>
          <w:tcPr>
            <w:tcW w:w="0" w:type="dxa"/>
            <w:vAlign w:val="bottom"/>
          </w:tcPr>
          <w:p>
            <w:pPr>
              <w:spacing w:after="0"/>
              <w:rPr>
                <w:sz w:val="1"/>
                <w:szCs w:val="1"/>
                <w:color w:val="auto"/>
              </w:rPr>
            </w:pPr>
          </w:p>
        </w:tc>
      </w:tr>
      <w:tr>
        <w:trPr>
          <w:trHeight w:val="167"/>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borrowings:</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First Lien Term Loan Facility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1,636,512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(27,653)</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1,603,906</w:t>
            </w:r>
          </w:p>
        </w:tc>
        <w:tc>
          <w:tcPr>
            <w:tcW w:w="0" w:type="dxa"/>
            <w:vAlign w:val="bottom"/>
          </w:tcPr>
          <w:p>
            <w:pPr>
              <w:spacing w:after="0"/>
              <w:rPr>
                <w:sz w:val="1"/>
                <w:szCs w:val="1"/>
                <w:color w:val="auto"/>
              </w:rPr>
            </w:pPr>
          </w:p>
        </w:tc>
      </w:tr>
      <w:tr>
        <w:trPr>
          <w:trHeight w:val="17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SBI bonds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32,923</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1,669,694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(27,912)</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1,636,829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At December 31, 2019</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vMerge w:val="restart"/>
          </w:tcPr>
          <w:p>
            <w:pPr>
              <w:spacing w:after="0"/>
              <w:rPr>
                <w:sz w:val="10"/>
                <w:szCs w:val="10"/>
                <w:color w:val="auto"/>
              </w:rPr>
            </w:pPr>
          </w:p>
        </w:tc>
        <w:tc>
          <w:tcPr>
            <w:tcW w:w="13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90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0"/>
                <w:szCs w:val="10"/>
                <w:color w:val="auto"/>
              </w:rPr>
            </w:pPr>
          </w:p>
        </w:tc>
        <w:tc>
          <w:tcPr>
            <w:tcW w:w="11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0"/>
                <w:szCs w:val="10"/>
                <w:color w:val="auto"/>
              </w:rPr>
            </w:pPr>
          </w:p>
        </w:tc>
        <w:tc>
          <w:tcPr>
            <w:tcW w:w="8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3"/>
                <w:szCs w:val="13"/>
                <w:b w:val="1"/>
                <w:bCs w:val="1"/>
                <w:color w:val="auto"/>
              </w:rPr>
              <w:t>Deferred Debt</w:t>
            </w:r>
          </w:p>
        </w:tc>
        <w:tc>
          <w:tcPr>
            <w:tcW w:w="180" w:type="dxa"/>
            <w:vAlign w:val="bottom"/>
          </w:tcPr>
          <w:p>
            <w:pPr>
              <w:spacing w:after="0"/>
              <w:rPr>
                <w:sz w:val="10"/>
                <w:szCs w:val="10"/>
                <w:color w:val="auto"/>
              </w:rPr>
            </w:pPr>
          </w:p>
        </w:tc>
        <w:tc>
          <w:tcPr>
            <w:tcW w:w="1220" w:type="dxa"/>
            <w:vAlign w:val="bottom"/>
          </w:tcPr>
          <w:p>
            <w:pPr>
              <w:jc w:val="right"/>
              <w:ind w:right="274"/>
              <w:spacing w:after="0" w:line="12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4"/>
        </w:trPr>
        <w:tc>
          <w:tcPr>
            <w:tcW w:w="37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Issuance Cost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Borrowings, net</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borrowings: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First Lien Term Loan Facility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1,925,000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(32,513)</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1,885,692</w:t>
            </w:r>
          </w:p>
        </w:tc>
        <w:tc>
          <w:tcPr>
            <w:tcW w:w="0" w:type="dxa"/>
            <w:vAlign w:val="bottom"/>
          </w:tcPr>
          <w:p>
            <w:pPr>
              <w:spacing w:after="0"/>
              <w:rPr>
                <w:sz w:val="1"/>
                <w:szCs w:val="1"/>
                <w:color w:val="auto"/>
              </w:rPr>
            </w:pPr>
          </w:p>
        </w:tc>
      </w:tr>
      <w:tr>
        <w:trPr>
          <w:trHeight w:val="174"/>
        </w:trPr>
        <w:tc>
          <w:tcPr>
            <w:tcW w:w="3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SBI bonds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32,174</w:t>
            </w: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1,957,225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(32,564)</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1,917,866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30"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17"/>
          <w:szCs w:val="17"/>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96" w:lineRule="exact"/>
        <w:rPr>
          <w:sz w:val="20"/>
          <w:szCs w:val="20"/>
          <w:color w:val="auto"/>
        </w:rPr>
      </w:pPr>
    </w:p>
    <w:p>
      <w:pPr>
        <w:ind w:right="20" w:firstLine="597"/>
        <w:spacing w:after="0" w:line="249" w:lineRule="auto"/>
        <w:rPr>
          <w:sz w:val="20"/>
          <w:szCs w:val="20"/>
          <w:color w:val="auto"/>
        </w:rPr>
      </w:pPr>
      <w:r>
        <w:rPr>
          <w:rFonts w:ascii="Times New Roman" w:cs="Times New Roman" w:eastAsia="Times New Roman" w:hAnsi="Times New Roman"/>
          <w:sz w:val="17"/>
          <w:szCs w:val="17"/>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02" w:lineRule="exact"/>
        <w:rPr>
          <w:sz w:val="20"/>
          <w:szCs w:val="20"/>
          <w:color w:val="auto"/>
        </w:rPr>
      </w:pPr>
    </w:p>
    <w:p>
      <w:pPr>
        <w:ind w:right="100" w:firstLine="597"/>
        <w:spacing w:after="0" w:line="247" w:lineRule="auto"/>
        <w:rPr>
          <w:sz w:val="20"/>
          <w:szCs w:val="20"/>
          <w:color w:val="auto"/>
        </w:rPr>
      </w:pPr>
      <w:r>
        <w:rPr>
          <w:rFonts w:ascii="Times New Roman" w:cs="Times New Roman" w:eastAsia="Times New Roman" w:hAnsi="Times New Roman"/>
          <w:sz w:val="17"/>
          <w:szCs w:val="17"/>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paid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207" w:lineRule="exact"/>
        <w:rPr>
          <w:sz w:val="20"/>
          <w:szCs w:val="20"/>
          <w:color w:val="auto"/>
        </w:rPr>
      </w:pPr>
    </w:p>
    <w:p>
      <w:pPr>
        <w:ind w:right="60" w:firstLine="597"/>
        <w:spacing w:after="0" w:line="265" w:lineRule="auto"/>
        <w:rPr>
          <w:sz w:val="20"/>
          <w:szCs w:val="20"/>
          <w:color w:val="auto"/>
        </w:rPr>
      </w:pPr>
      <w:r>
        <w:rPr>
          <w:rFonts w:ascii="Times New Roman" w:cs="Times New Roman" w:eastAsia="Times New Roman" w:hAnsi="Times New Roman"/>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w:t>
      </w:r>
    </w:p>
    <w:p>
      <w:pPr>
        <w:spacing w:after="0" w:line="245" w:lineRule="auto"/>
        <w:tabs>
          <w:tab w:leader="none" w:pos="22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5" w:lineRule="exact"/>
        <w:rPr>
          <w:sz w:val="20"/>
          <w:szCs w:val="20"/>
          <w:color w:val="auto"/>
        </w:rPr>
      </w:pPr>
    </w:p>
    <w:p>
      <w:pPr>
        <w:ind w:firstLine="597"/>
        <w:spacing w:after="0" w:line="254" w:lineRule="auto"/>
        <w:rPr>
          <w:sz w:val="20"/>
          <w:szCs w:val="20"/>
          <w:color w:val="auto"/>
        </w:rPr>
      </w:pPr>
      <w:r>
        <w:rPr>
          <w:rFonts w:ascii="Times New Roman" w:cs="Times New Roman" w:eastAsia="Times New Roman" w:hAnsi="Times New Roman"/>
          <w:sz w:val="17"/>
          <w:szCs w:val="17"/>
          <w:color w:val="auto"/>
        </w:rPr>
        <w:t>On January 29, 2020, the Company entered into a five-year $1,000 million floating-to-fixed interest rate swap agreement. The Company also previously entered into a five-year $525 million floating-to-fixed interest rate swap agreement.</w:t>
      </w:r>
    </w:p>
    <w:p>
      <w:pPr>
        <w:spacing w:after="0" w:line="1"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17"/>
          <w:szCs w:val="17"/>
          <w:color w:val="auto"/>
        </w:rPr>
        <w:t>As these two interest rate swaps meet the criteria to be considered qualifying cash flow hedges under ASC 815,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203"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 VFH’s material non-regulated domestic restricted subsidiaries and secured by substantially all of the assets of VFH and the guarantors, in each case, subject to certain exceptions.</w:t>
      </w:r>
    </w:p>
    <w:p>
      <w:pPr>
        <w:spacing w:after="0" w:line="201" w:lineRule="exact"/>
        <w:rPr>
          <w:sz w:val="20"/>
          <w:szCs w:val="20"/>
          <w:color w:val="auto"/>
        </w:rPr>
      </w:pPr>
    </w:p>
    <w:p>
      <w:pPr>
        <w:ind w:right="120" w:firstLine="597"/>
        <w:spacing w:after="0" w:line="252" w:lineRule="auto"/>
        <w:rPr>
          <w:sz w:val="20"/>
          <w:szCs w:val="20"/>
          <w:color w:val="auto"/>
        </w:rPr>
      </w:pPr>
      <w:r>
        <w:rPr>
          <w:rFonts w:ascii="Times New Roman" w:cs="Times New Roman" w:eastAsia="Times New Roman" w:hAnsi="Times New Roman"/>
          <w:sz w:val="17"/>
          <w:szCs w:val="17"/>
          <w:color w:val="auto"/>
        </w:rPr>
        <w:t>Under the Amended Credit Agreement, term loans will mature on March 1, 2026. The term loans amortize in annual installments equal to 1.0% of the original aggregate principal amount of the term loans. The revolving commitments will terminate on March 1, 2022. During the year ended December 31, 2019, $100.0 million was repaid under the First Lien Term Loan Facility. In August of 2020, an additional $100 million was repaid under this facility. As of September 30, 2020, $1,637 million was outstanding under the First Lien Term Loan Facility.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40" w:firstLine="597"/>
        <w:spacing w:after="0" w:line="252" w:lineRule="auto"/>
        <w:rPr>
          <w:sz w:val="20"/>
          <w:szCs w:val="20"/>
          <w:color w:val="auto"/>
        </w:rPr>
      </w:pPr>
      <w:r>
        <w:rPr>
          <w:rFonts w:ascii="Times New Roman" w:cs="Times New Roman" w:eastAsia="Times New Roman" w:hAnsi="Times New Roman"/>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99" w:lineRule="exact"/>
        <w:rPr>
          <w:sz w:val="20"/>
          <w:szCs w:val="20"/>
          <w:color w:val="auto"/>
        </w:rPr>
      </w:pPr>
    </w:p>
    <w:p>
      <w:pPr>
        <w:ind w:right="200" w:firstLine="597"/>
        <w:spacing w:after="0" w:line="252" w:lineRule="auto"/>
        <w:rPr>
          <w:sz w:val="20"/>
          <w:szCs w:val="20"/>
          <w:color w:val="auto"/>
        </w:rPr>
      </w:pPr>
      <w:r>
        <w:rPr>
          <w:rFonts w:ascii="Times New Roman" w:cs="Times New Roman" w:eastAsia="Times New Roman" w:hAnsi="Times New Roman"/>
          <w:sz w:val="17"/>
          <w:szCs w:val="17"/>
          <w:color w:val="auto"/>
        </w:rPr>
        <w:t>To finance the Acquisition of KCG, on June 30, 2017, Virtu Financial and VFH previously entered into the Fourth Amended and Restated Credit Agreement which, upon the closing of the Acquisition of KCG, provided for an aggregate $1,150.00 million of first lien secured term loans (the “KCG Acquisition Term Loan Facility”). The KCG Acquisition Term Loan Facility was fully terminated following its repayment in full with the proceeds of the First Lien Term Loan Facility described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Second Lien Notes</w:t>
      </w:r>
    </w:p>
    <w:p>
      <w:pPr>
        <w:spacing w:after="0" w:line="230"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99" w:lineRule="exact"/>
        <w:rPr>
          <w:sz w:val="20"/>
          <w:szCs w:val="20"/>
          <w:color w:val="auto"/>
        </w:rPr>
      </w:pPr>
    </w:p>
    <w:p>
      <w:pPr>
        <w:ind w:right="280" w:firstLine="597"/>
        <w:spacing w:after="0" w:line="256" w:lineRule="auto"/>
        <w:rPr>
          <w:sz w:val="20"/>
          <w:szCs w:val="20"/>
          <w:color w:val="auto"/>
        </w:rPr>
      </w:pPr>
      <w:r>
        <w:rPr>
          <w:rFonts w:ascii="Times New Roman" w:cs="Times New Roman" w:eastAsia="Times New Roman" w:hAnsi="Times New Roman"/>
          <w:sz w:val="17"/>
          <w:szCs w:val="17"/>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196" w:lineRule="exact"/>
        <w:rPr>
          <w:sz w:val="20"/>
          <w:szCs w:val="20"/>
          <w:color w:val="auto"/>
        </w:rPr>
      </w:pPr>
    </w:p>
    <w:p>
      <w:pPr>
        <w:ind w:right="20" w:firstLine="597"/>
        <w:spacing w:after="0" w:line="301" w:lineRule="auto"/>
        <w:rPr>
          <w:sz w:val="20"/>
          <w:szCs w:val="20"/>
          <w:color w:val="auto"/>
        </w:rPr>
      </w:pPr>
      <w:r>
        <w:rPr>
          <w:rFonts w:ascii="Times New Roman" w:cs="Times New Roman" w:eastAsia="Times New Roman" w:hAnsi="Times New Roman"/>
          <w:sz w:val="16"/>
          <w:szCs w:val="16"/>
          <w:color w:val="auto"/>
        </w:rPr>
        <w:t>As described above, the Credit Agreement was amended on October 9, 2019, on which date VFH borrowed an additional $525.0 million of incremental first lien term loans, the proceeds of which were used together with cash on hand to redeem the Notes in full. The Indenture was fully terminated following such redemption.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30" w:lineRule="exact"/>
        <w:rPr>
          <w:sz w:val="20"/>
          <w:szCs w:val="20"/>
          <w:color w:val="auto"/>
        </w:rPr>
      </w:pPr>
    </w:p>
    <w:p>
      <w:pPr>
        <w:ind w:right="100" w:firstLine="597"/>
        <w:spacing w:after="0" w:line="247"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($33.2 million) as of September 30, 2020 and ¥3.5 billion ($32.2 million) as of December 31, 2019. The Company recorded a loss of $0.8 million and a gain of $0.1 million during the three months ended September 30, 2020 and 2019, respectively, and a loss of $1.0 million and a loss of $0.5 million during the nine months ended September 30, 2020 and 2019, respectively, due to changes in foreign currency rates.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September 30, 2020, aggregate future required minimum principal payments based on the terms of the long-term borrowings were as follows:</w:t>
      </w:r>
    </w:p>
    <w:p>
      <w:pPr>
        <w:spacing w:after="0" w:line="259" w:lineRule="exact"/>
        <w:rPr>
          <w:sz w:val="20"/>
          <w:szCs w:val="20"/>
          <w:color w:val="auto"/>
        </w:rPr>
      </w:pPr>
    </w:p>
    <w:tbl>
      <w:tblPr>
        <w:tblLayout w:type="fixed"/>
        <w:tblInd w:w="1560" w:type="dxa"/>
        <w:tblCellMar>
          <w:top w:w="0" w:type="dxa"/>
          <w:left w:w="0" w:type="dxa"/>
          <w:bottom w:w="0" w:type="dxa"/>
          <w:right w:w="0" w:type="dxa"/>
        </w:tblCellMar>
      </w:tblPr>
      <w:tr>
        <w:trPr>
          <w:trHeight w:val="17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5"/>
                <w:szCs w:val="15"/>
                <w:color w:val="auto"/>
              </w:rPr>
            </w:pPr>
          </w:p>
        </w:tc>
        <w:tc>
          <w:tcPr>
            <w:tcW w:w="17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September 30, 2020</w:t>
            </w:r>
          </w:p>
        </w:tc>
      </w:tr>
      <w:tr>
        <w:trPr>
          <w:trHeight w:val="172"/>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6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33,182</w:t>
            </w:r>
          </w:p>
        </w:tc>
      </w:tr>
      <w:tr>
        <w:trPr>
          <w:trHeight w:val="17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1,636,512</w:t>
            </w:r>
          </w:p>
        </w:tc>
      </w:tr>
      <w:tr>
        <w:trPr>
          <w:trHeight w:val="193"/>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principal of long-term borrowings</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1,669,694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30" w:lineRule="exact"/>
        <w:rPr>
          <w:sz w:val="20"/>
          <w:szCs w:val="20"/>
          <w:color w:val="auto"/>
        </w:rPr>
      </w:pPr>
    </w:p>
    <w:p>
      <w:pPr>
        <w:ind w:right="60" w:firstLine="597"/>
        <w:spacing w:after="0" w:line="248"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4"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September 30, 2020:</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Counterparty and</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Identical Assets</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142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11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0" w:type="dxa"/>
            <w:vAlign w:val="bottom"/>
          </w:tcPr>
          <w:p>
            <w:pPr>
              <w:spacing w:after="0"/>
              <w:rPr>
                <w:sz w:val="1"/>
                <w:szCs w:val="1"/>
                <w:color w:val="auto"/>
              </w:rPr>
            </w:pPr>
          </w:p>
        </w:tc>
      </w:tr>
      <w:tr>
        <w:trPr>
          <w:trHeight w:val="174"/>
        </w:trPr>
        <w:tc>
          <w:tcPr>
            <w:tcW w:w="4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Financial instruments owned,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547,871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1,153,213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1,701,084</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177,614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213,386</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248,789</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17,937</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(662,412)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13,121</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0" w:type="dxa"/>
            <w:vAlign w:val="bottom"/>
          </w:tcPr>
          <w:p>
            <w:pPr>
              <w:spacing w:after="0"/>
              <w:rPr>
                <w:sz w:val="1"/>
                <w:szCs w:val="1"/>
                <w:color w:val="auto"/>
              </w:rPr>
            </w:pPr>
          </w:p>
        </w:tc>
      </w:tr>
      <w:tr>
        <w:trPr>
          <w:trHeight w:val="192"/>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739,364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2,131,195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(662,412)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2,208,147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Financial instruments owned, pledged as collateral:</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313,457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599,350</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285,903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323,147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609,050</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Assets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 investment</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Exchange stock</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0" w:type="dxa"/>
            <w:vAlign w:val="bottom"/>
          </w:tcPr>
          <w:p>
            <w:pPr>
              <w:spacing w:after="0"/>
              <w:rPr>
                <w:sz w:val="1"/>
                <w:szCs w:val="1"/>
                <w:color w:val="auto"/>
              </w:rPr>
            </w:pPr>
          </w:p>
        </w:tc>
      </w:tr>
      <w:tr>
        <w:trPr>
          <w:trHeight w:val="192"/>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66,805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Financial instruments sold, not yet purchased,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1,034,326.0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1,259,762.0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2,294,088.0</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109,778</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365,871</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(654,672)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14,184</w:t>
            </w:r>
          </w:p>
        </w:tc>
        <w:tc>
          <w:tcPr>
            <w:tcW w:w="0" w:type="dxa"/>
            <w:vAlign w:val="bottom"/>
          </w:tcPr>
          <w:p>
            <w:pPr>
              <w:spacing w:after="0"/>
              <w:rPr>
                <w:sz w:val="1"/>
                <w:szCs w:val="1"/>
                <w:color w:val="auto"/>
              </w:rPr>
            </w:pPr>
          </w:p>
        </w:tc>
      </w:tr>
      <w:tr>
        <w:trPr>
          <w:trHeight w:val="192"/>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1,156,043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2,288,764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(654,672)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2,790,135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Payables to broker dealers and clearing organizations: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Interest rate swap</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2019:</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22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12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Counterparty and</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Identical Assets</w:t>
            </w: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Observable Inputs</w:t>
            </w:r>
          </w:p>
        </w:tc>
        <w:tc>
          <w:tcPr>
            <w:tcW w:w="142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rPr>
              <w:t>Unobservable Inputs</w:t>
            </w:r>
          </w:p>
        </w:tc>
        <w:tc>
          <w:tcPr>
            <w:tcW w:w="120" w:type="dxa"/>
            <w:vAlign w:val="bottom"/>
          </w:tcPr>
          <w:p>
            <w:pPr>
              <w:spacing w:after="0"/>
              <w:rPr>
                <w:sz w:val="10"/>
                <w:szCs w:val="10"/>
                <w:color w:val="auto"/>
              </w:rPr>
            </w:pPr>
          </w:p>
        </w:tc>
        <w:tc>
          <w:tcPr>
            <w:tcW w:w="13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11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 Fair Value</w:t>
            </w:r>
          </w:p>
        </w:tc>
        <w:tc>
          <w:tcPr>
            <w:tcW w:w="0" w:type="dxa"/>
            <w:vAlign w:val="bottom"/>
          </w:tcPr>
          <w:p>
            <w:pPr>
              <w:spacing w:after="0"/>
              <w:rPr>
                <w:sz w:val="1"/>
                <w:szCs w:val="1"/>
                <w:color w:val="auto"/>
              </w:rPr>
            </w:pPr>
          </w:p>
        </w:tc>
      </w:tr>
      <w:tr>
        <w:trPr>
          <w:trHeight w:val="174"/>
        </w:trPr>
        <w:tc>
          <w:tcPr>
            <w:tcW w:w="4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20" w:type="dxa"/>
            <w:vAlign w:val="bottom"/>
          </w:tcPr>
          <w:p>
            <w:pPr>
              <w:spacing w:after="0"/>
              <w:rPr>
                <w:sz w:val="15"/>
                <w:szCs w:val="15"/>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2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 instruments owned, at fair value:</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600,259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1,080,518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1,680,777</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127,537</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171,591</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49,137</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242,552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(211,398)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31,154</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0" w:type="dxa"/>
            <w:vAlign w:val="bottom"/>
          </w:tcPr>
          <w:p>
            <w:pPr>
              <w:spacing w:after="0"/>
              <w:rPr>
                <w:sz w:val="1"/>
                <w:szCs w:val="1"/>
                <w:color w:val="auto"/>
              </w:rPr>
            </w:pPr>
          </w:p>
        </w:tc>
      </w:tr>
      <w:tr>
        <w:trPr>
          <w:trHeight w:val="192"/>
        </w:trPr>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715,730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1,564,402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(211,398)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2,068,734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Financial instruments owned, pledged as collateral:</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4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362,439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291,927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654,366</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42,590</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362,451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334,505</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696,956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44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Other Assets</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investment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46,245</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Exchange stock</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46,245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48,966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instruments sold, not yet purchased, at fair value:</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securities</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1,022,814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1,163,888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2,186,702</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41,804</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244,700</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Exchange traded notes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21,646</w:t>
            </w:r>
          </w:p>
        </w:tc>
        <w:tc>
          <w:tcPr>
            <w:tcW w:w="0" w:type="dxa"/>
            <w:vAlign w:val="bottom"/>
          </w:tcPr>
          <w:p>
            <w:pPr>
              <w:spacing w:after="0"/>
              <w:rPr>
                <w:sz w:val="1"/>
                <w:szCs w:val="1"/>
                <w:color w:val="auto"/>
              </w:rPr>
            </w:pPr>
          </w:p>
        </w:tc>
      </w:tr>
      <w:tr>
        <w:trPr>
          <w:trHeight w:val="173"/>
        </w:trPr>
        <w:tc>
          <w:tcPr>
            <w:tcW w:w="44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(196,535)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5"/>
        </w:trPr>
        <w:tc>
          <w:tcPr>
            <w:tcW w:w="4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1,065,007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1,629,486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3"/>
                <w:szCs w:val="13"/>
                <w:color w:val="auto"/>
              </w:rPr>
              <w:t>(196,535)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2,497,958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Investment</w:t>
      </w:r>
    </w:p>
    <w:p>
      <w:pPr>
        <w:spacing w:after="0" w:line="230"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The Company has a minority investment (the “SBI Investment”) in SBI Japannext Co., Ltd. (“SBI”), a proprietary trading system based in Tokyo. In connection with the SBI Investment, the Company issued the SBI Bonds (as described in Note 10 “Borrowings”) and used the proceeds to partially finance the transaction. The SBI Investment is included within Level 3 of the fair value hierarchy. As of September 30, 2020, the fair value of the SBI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SBI Investment:</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79"/>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740" w:type="dxa"/>
            <w:vAlign w:val="bottom"/>
            <w:gridSpan w:val="2"/>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Significant Unobservable</w:t>
            </w: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Range</w:t>
            </w:r>
          </w:p>
        </w:tc>
        <w:tc>
          <w:tcPr>
            <w:tcW w:w="11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74"/>
        </w:trPr>
        <w:tc>
          <w:tcPr>
            <w:tcW w:w="2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4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580" w:type="dxa"/>
            <w:vAlign w:val="bottom"/>
            <w:gridSpan w:val="3"/>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Discounted cash flow</w:t>
            </w:r>
          </w:p>
        </w:tc>
        <w:tc>
          <w:tcPr>
            <w:tcW w:w="10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revenue growth</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3"/>
                <w:szCs w:val="13"/>
                <w:color w:val="auto"/>
              </w:rPr>
              <w:t>(7.6)% - 20.0%</w:t>
            </w: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- 14.4%</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0" w:type="dxa"/>
            <w:vAlign w:val="bottom"/>
          </w:tcPr>
          <w:p>
            <w:pPr>
              <w:spacing w:after="0"/>
              <w:rPr>
                <w:sz w:val="1"/>
                <w:szCs w:val="1"/>
                <w:color w:val="auto"/>
              </w:rPr>
            </w:pPr>
          </w:p>
        </w:tc>
      </w:tr>
      <w:tr>
        <w:trPr>
          <w:trHeight w:val="125"/>
        </w:trPr>
        <w:tc>
          <w:tcPr>
            <w:tcW w:w="2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Market</w:t>
            </w:r>
          </w:p>
        </w:tc>
        <w:tc>
          <w:tcPr>
            <w:tcW w:w="17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Future enterprise value/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12.9x</w:t>
            </w:r>
          </w:p>
        </w:tc>
        <w:tc>
          <w:tcPr>
            <w:tcW w:w="8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- 22.7x</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16.9x</w:t>
            </w:r>
          </w:p>
        </w:tc>
        <w:tc>
          <w:tcPr>
            <w:tcW w:w="0" w:type="dxa"/>
            <w:vAlign w:val="bottom"/>
          </w:tcPr>
          <w:p>
            <w:pPr>
              <w:spacing w:after="0"/>
              <w:rPr>
                <w:sz w:val="1"/>
                <w:szCs w:val="1"/>
                <w:color w:val="auto"/>
              </w:rPr>
            </w:pPr>
          </w:p>
        </w:tc>
      </w:tr>
      <w:tr>
        <w:trPr>
          <w:trHeight w:val="174"/>
        </w:trPr>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EBIDTA ratio</w:t>
            </w:r>
          </w:p>
        </w:tc>
        <w:tc>
          <w:tcPr>
            <w:tcW w:w="70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Changes in the fair value of the SBI Investment are included within Other, net in the Condensed Consolidated Statements of Comprehensive Income.</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rPr>
              <w:t>Change in Net</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Realized and</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(Losses) on</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June 30,</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Transfers into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still</w:t>
            </w:r>
          </w:p>
        </w:tc>
        <w:tc>
          <w:tcPr>
            <w:tcW w:w="0" w:type="dxa"/>
            <w:vAlign w:val="bottom"/>
          </w:tcPr>
          <w:p>
            <w:pPr>
              <w:spacing w:after="0"/>
              <w:rPr>
                <w:sz w:val="1"/>
                <w:szCs w:val="1"/>
                <w:color w:val="auto"/>
              </w:rPr>
            </w:pPr>
          </w:p>
        </w:tc>
      </w:tr>
      <w:tr>
        <w:trPr>
          <w:trHeight w:val="124"/>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128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held at September</w:t>
            </w:r>
          </w:p>
        </w:tc>
        <w:tc>
          <w:tcPr>
            <w:tcW w:w="0" w:type="dxa"/>
            <w:vAlign w:val="bottom"/>
          </w:tcPr>
          <w:p>
            <w:pPr>
              <w:spacing w:after="0"/>
              <w:rPr>
                <w:sz w:val="1"/>
                <w:szCs w:val="1"/>
                <w:color w:val="auto"/>
              </w:rPr>
            </w:pPr>
          </w:p>
        </w:tc>
      </w:tr>
      <w:tr>
        <w:trPr>
          <w:trHeight w:val="174"/>
        </w:trPr>
        <w:tc>
          <w:tcPr>
            <w:tcW w:w="2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(Losses) (1)</w:t>
            </w:r>
          </w:p>
        </w:tc>
        <w:tc>
          <w:tcPr>
            <w:tcW w:w="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 of) Level 3</w:t>
            </w: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80" w:type="dxa"/>
            <w:vAlign w:val="bottom"/>
          </w:tcPr>
          <w:p>
            <w:pPr>
              <w:spacing w:after="0"/>
              <w:rPr>
                <w:sz w:val="15"/>
                <w:szCs w:val="15"/>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30, 2020</w:t>
            </w:r>
          </w:p>
        </w:tc>
        <w:tc>
          <w:tcPr>
            <w:tcW w:w="0" w:type="dxa"/>
            <w:vAlign w:val="bottom"/>
          </w:tcPr>
          <w:p>
            <w:pPr>
              <w:spacing w:after="0"/>
              <w:rPr>
                <w:sz w:val="1"/>
                <w:szCs w:val="1"/>
                <w:color w:val="auto"/>
              </w:rPr>
            </w:pPr>
          </w:p>
        </w:tc>
      </w:tr>
      <w:tr>
        <w:trPr>
          <w:trHeight w:val="167"/>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51,599</w:t>
            </w:r>
          </w:p>
        </w:tc>
        <w:tc>
          <w:tcPr>
            <w:tcW w:w="8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13,104</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13,104</w:t>
            </w:r>
          </w:p>
        </w:tc>
        <w:tc>
          <w:tcPr>
            <w:tcW w:w="0" w:type="dxa"/>
            <w:vAlign w:val="bottom"/>
          </w:tcPr>
          <w:p>
            <w:pPr>
              <w:spacing w:after="0"/>
              <w:rPr>
                <w:sz w:val="1"/>
                <w:szCs w:val="1"/>
                <w:color w:val="auto"/>
              </w:rPr>
            </w:pPr>
          </w:p>
        </w:tc>
      </w:tr>
      <w:tr>
        <w:trPr>
          <w:trHeight w:val="173"/>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13,104</w:t>
            </w:r>
          </w:p>
        </w:tc>
        <w:tc>
          <w:tcPr>
            <w:tcW w:w="0" w:type="dxa"/>
            <w:vAlign w:val="bottom"/>
          </w:tcPr>
          <w:p>
            <w:pPr>
              <w:spacing w:after="0"/>
              <w:rPr>
                <w:sz w:val="1"/>
                <w:szCs w:val="1"/>
                <w:color w:val="auto"/>
              </w:rPr>
            </w:pPr>
          </w:p>
        </w:tc>
      </w:tr>
    </w:tbl>
    <w:p>
      <w:pPr>
        <w:ind w:left="20" w:right="180" w:hanging="4"/>
        <w:spacing w:after="0" w:line="231" w:lineRule="auto"/>
        <w:tabs>
          <w:tab w:leader="none" w:pos="208"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realized and unrealized gains/(losses) includes gains and losses realized on the SBI Bonds (see Note 10 “Borrowings” for more details) due to fluctuations in currency rates as well as gains and losses recognized on changes in the fair value of the SBI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-173990</wp:posOffset>
            </wp:positionV>
            <wp:extent cx="56337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3720" cy="762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6"/>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rPr>
              <w:t>Change in Net</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Total Realized and</w:t>
            </w: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(Losses) on</w:t>
            </w: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June 30,</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Transfers into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still</w:t>
            </w:r>
          </w:p>
        </w:tc>
        <w:tc>
          <w:tcPr>
            <w:tcW w:w="0" w:type="dxa"/>
            <w:vAlign w:val="bottom"/>
          </w:tcPr>
          <w:p>
            <w:pPr>
              <w:spacing w:after="0"/>
              <w:rPr>
                <w:sz w:val="1"/>
                <w:szCs w:val="1"/>
                <w:color w:val="auto"/>
              </w:rPr>
            </w:pPr>
          </w:p>
        </w:tc>
      </w:tr>
      <w:tr>
        <w:trPr>
          <w:trHeight w:val="124"/>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128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held at September</w:t>
            </w:r>
          </w:p>
        </w:tc>
        <w:tc>
          <w:tcPr>
            <w:tcW w:w="0" w:type="dxa"/>
            <w:vAlign w:val="bottom"/>
          </w:tcPr>
          <w:p>
            <w:pPr>
              <w:spacing w:after="0"/>
              <w:rPr>
                <w:sz w:val="1"/>
                <w:szCs w:val="1"/>
                <w:color w:val="auto"/>
              </w:rPr>
            </w:pPr>
          </w:p>
        </w:tc>
      </w:tr>
      <w:tr>
        <w:trPr>
          <w:trHeight w:val="174"/>
        </w:trPr>
        <w:tc>
          <w:tcPr>
            <w:tcW w:w="23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 of) Level 3</w:t>
            </w: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80" w:type="dxa"/>
            <w:vAlign w:val="bottom"/>
          </w:tcPr>
          <w:p>
            <w:pPr>
              <w:spacing w:after="0"/>
              <w:rPr>
                <w:sz w:val="15"/>
                <w:szCs w:val="15"/>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30, 2019</w:t>
            </w:r>
          </w:p>
        </w:tc>
        <w:tc>
          <w:tcPr>
            <w:tcW w:w="0" w:type="dxa"/>
            <w:vAlign w:val="bottom"/>
          </w:tcPr>
          <w:p>
            <w:pPr>
              <w:spacing w:after="0"/>
              <w:rPr>
                <w:sz w:val="1"/>
                <w:szCs w:val="1"/>
                <w:color w:val="auto"/>
              </w:rPr>
            </w:pPr>
          </w:p>
        </w:tc>
      </w:tr>
      <w:tr>
        <w:trPr>
          <w:trHeight w:val="167"/>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46,351</w:t>
            </w:r>
          </w:p>
        </w:tc>
        <w:tc>
          <w:tcPr>
            <w:tcW w:w="8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46,280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93"/>
        </w:trPr>
        <w:tc>
          <w:tcPr>
            <w:tcW w:w="2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rPr>
              <w:t>Change in Net</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Realized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(Losses) on</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Transfers into</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still</w:t>
            </w:r>
          </w:p>
        </w:tc>
        <w:tc>
          <w:tcPr>
            <w:tcW w:w="0" w:type="dxa"/>
            <w:vAlign w:val="bottom"/>
          </w:tcPr>
          <w:p>
            <w:pPr>
              <w:spacing w:after="0"/>
              <w:rPr>
                <w:sz w:val="1"/>
                <w:szCs w:val="1"/>
                <w:color w:val="auto"/>
              </w:rPr>
            </w:pPr>
          </w:p>
        </w:tc>
      </w:tr>
      <w:tr>
        <w:trPr>
          <w:trHeight w:val="124"/>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130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held at September</w:t>
            </w:r>
          </w:p>
        </w:tc>
        <w:tc>
          <w:tcPr>
            <w:tcW w:w="0" w:type="dxa"/>
            <w:vAlign w:val="bottom"/>
          </w:tcPr>
          <w:p>
            <w:pPr>
              <w:spacing w:after="0"/>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(Losses) (1)</w:t>
            </w:r>
          </w:p>
        </w:tc>
        <w:tc>
          <w:tcPr>
            <w:tcW w:w="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 of) Level 3</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80" w:type="dxa"/>
            <w:vAlign w:val="bottom"/>
          </w:tcPr>
          <w:p>
            <w:pPr>
              <w:spacing w:after="0"/>
              <w:rPr>
                <w:sz w:val="15"/>
                <w:szCs w:val="15"/>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30, 2020</w:t>
            </w:r>
          </w:p>
        </w:tc>
        <w:tc>
          <w:tcPr>
            <w:tcW w:w="0" w:type="dxa"/>
            <w:vAlign w:val="bottom"/>
          </w:tcPr>
          <w:p>
            <w:pPr>
              <w:spacing w:after="0"/>
              <w:rPr>
                <w:sz w:val="1"/>
                <w:szCs w:val="1"/>
                <w:color w:val="auto"/>
              </w:rPr>
            </w:pPr>
          </w:p>
        </w:tc>
      </w:tr>
      <w:tr>
        <w:trPr>
          <w:trHeight w:val="167"/>
        </w:trPr>
        <w:tc>
          <w:tcPr>
            <w:tcW w:w="2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46,245</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18,458</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18,458</w:t>
            </w:r>
          </w:p>
        </w:tc>
        <w:tc>
          <w:tcPr>
            <w:tcW w:w="0" w:type="dxa"/>
            <w:vAlign w:val="bottom"/>
          </w:tcPr>
          <w:p>
            <w:pPr>
              <w:spacing w:after="0"/>
              <w:rPr>
                <w:sz w:val="1"/>
                <w:szCs w:val="1"/>
                <w:color w:val="auto"/>
              </w:rPr>
            </w:pPr>
          </w:p>
        </w:tc>
      </w:tr>
      <w:tr>
        <w:trPr>
          <w:trHeight w:val="168"/>
        </w:trPr>
        <w:tc>
          <w:tcPr>
            <w:tcW w:w="2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46,245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18,458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64,703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18,458</w:t>
            </w:r>
          </w:p>
        </w:tc>
        <w:tc>
          <w:tcPr>
            <w:tcW w:w="0" w:type="dxa"/>
            <w:vAlign w:val="bottom"/>
          </w:tcPr>
          <w:p>
            <w:pPr>
              <w:spacing w:after="0"/>
              <w:rPr>
                <w:sz w:val="1"/>
                <w:szCs w:val="1"/>
                <w:color w:val="auto"/>
              </w:rPr>
            </w:pPr>
          </w:p>
        </w:tc>
      </w:tr>
    </w:tbl>
    <w:p>
      <w:pPr>
        <w:ind w:left="20" w:right="180" w:hanging="4"/>
        <w:spacing w:after="0" w:line="231" w:lineRule="auto"/>
        <w:tabs>
          <w:tab w:leader="none" w:pos="20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realized and unrealized gains/(losses) includes gains and losses realized on the SBI Bonds (see Note 10 “Borrowings” for more details) due to fluctuations in currency rates as well as gains and losses recognized on changes in the fair value of the SBI Investment.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2" w:lineRule="exact"/>
              <w:rPr>
                <w:sz w:val="20"/>
                <w:szCs w:val="20"/>
                <w:color w:val="auto"/>
              </w:rPr>
            </w:pPr>
            <w:r>
              <w:rPr>
                <w:rFonts w:ascii="Times New Roman" w:cs="Times New Roman" w:eastAsia="Times New Roman" w:hAnsi="Times New Roman"/>
                <w:sz w:val="13"/>
                <w:szCs w:val="13"/>
                <w:b w:val="1"/>
                <w:bCs w:val="1"/>
                <w:color w:val="auto"/>
              </w:rPr>
              <w:t>Change in Net</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Realized and</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(Losses) on</w:t>
            </w:r>
          </w:p>
        </w:tc>
        <w:tc>
          <w:tcPr>
            <w:tcW w:w="0" w:type="dxa"/>
            <w:vAlign w:val="bottom"/>
          </w:tcPr>
          <w:p>
            <w:pPr>
              <w:spacing w:after="0"/>
              <w:rPr>
                <w:sz w:val="1"/>
                <w:szCs w:val="1"/>
                <w:color w:val="auto"/>
              </w:rPr>
            </w:pPr>
          </w:p>
        </w:tc>
      </w:tr>
      <w:tr>
        <w:trPr>
          <w:trHeight w:val="124"/>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Transfers into</w:t>
            </w: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Investments still</w:t>
            </w:r>
          </w:p>
        </w:tc>
        <w:tc>
          <w:tcPr>
            <w:tcW w:w="0" w:type="dxa"/>
            <w:vAlign w:val="bottom"/>
          </w:tcPr>
          <w:p>
            <w:pPr>
              <w:spacing w:after="0"/>
              <w:rPr>
                <w:sz w:val="1"/>
                <w:szCs w:val="1"/>
                <w:color w:val="auto"/>
              </w:rPr>
            </w:pPr>
          </w:p>
        </w:tc>
      </w:tr>
      <w:tr>
        <w:trPr>
          <w:trHeight w:val="124"/>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Purchases</w:t>
            </w:r>
          </w:p>
        </w:tc>
        <w:tc>
          <w:tcPr>
            <w:tcW w:w="130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3"/>
                <w:szCs w:val="13"/>
                <w:b w:val="1"/>
                <w:bCs w:val="1"/>
                <w:color w:val="auto"/>
              </w:rPr>
              <w:t>Unrealized Gains /</w:t>
            </w: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center"/>
              <w:ind w:right="14"/>
              <w:spacing w:after="0" w:line="124" w:lineRule="exact"/>
              <w:rPr>
                <w:sz w:val="20"/>
                <w:szCs w:val="20"/>
                <w:color w:val="auto"/>
              </w:rPr>
            </w:pPr>
            <w:r>
              <w:rPr>
                <w:rFonts w:ascii="Times New Roman" w:cs="Times New Roman" w:eastAsia="Times New Roman" w:hAnsi="Times New Roman"/>
                <w:sz w:val="13"/>
                <w:szCs w:val="13"/>
                <w:b w:val="1"/>
                <w:bCs w:val="1"/>
                <w:color w:val="auto"/>
              </w:rPr>
              <w:t>held at September</w:t>
            </w:r>
          </w:p>
        </w:tc>
        <w:tc>
          <w:tcPr>
            <w:tcW w:w="0" w:type="dxa"/>
            <w:vAlign w:val="bottom"/>
          </w:tcPr>
          <w:p>
            <w:pPr>
              <w:spacing w:after="0"/>
              <w:rPr>
                <w:sz w:val="1"/>
                <w:szCs w:val="1"/>
                <w:color w:val="auto"/>
              </w:rPr>
            </w:pPr>
          </w:p>
        </w:tc>
      </w:tr>
      <w:tr>
        <w:trPr>
          <w:trHeight w:val="174"/>
        </w:trPr>
        <w:tc>
          <w:tcPr>
            <w:tcW w:w="2300" w:type="dxa"/>
            <w:vAlign w:val="bottom"/>
            <w:gridSpan w:val="2"/>
            <w:vMerge w:val="continue"/>
          </w:tcPr>
          <w:p>
            <w:pPr>
              <w:spacing w:after="0"/>
              <w:rPr>
                <w:sz w:val="15"/>
                <w:szCs w:val="15"/>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 of) Level 3</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80" w:type="dxa"/>
            <w:vAlign w:val="bottom"/>
          </w:tcPr>
          <w:p>
            <w:pPr>
              <w:spacing w:after="0"/>
              <w:rPr>
                <w:sz w:val="15"/>
                <w:szCs w:val="15"/>
                <w:color w:val="auto"/>
              </w:rPr>
            </w:pPr>
          </w:p>
        </w:tc>
        <w:tc>
          <w:tcPr>
            <w:tcW w:w="11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30, 2019</w:t>
            </w:r>
          </w:p>
        </w:tc>
        <w:tc>
          <w:tcPr>
            <w:tcW w:w="0" w:type="dxa"/>
            <w:vAlign w:val="bottom"/>
          </w:tcPr>
          <w:p>
            <w:pPr>
              <w:spacing w:after="0"/>
              <w:rPr>
                <w:sz w:val="1"/>
                <w:szCs w:val="1"/>
                <w:color w:val="auto"/>
              </w:rPr>
            </w:pPr>
          </w:p>
        </w:tc>
      </w:tr>
      <w:tr>
        <w:trPr>
          <w:trHeight w:val="167"/>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investment</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0" w:type="dxa"/>
            <w:vAlign w:val="bottom"/>
          </w:tcPr>
          <w:p>
            <w:pPr>
              <w:spacing w:after="0"/>
              <w:rPr>
                <w:sz w:val="1"/>
                <w:szCs w:val="1"/>
                <w:color w:val="auto"/>
              </w:rPr>
            </w:pPr>
          </w:p>
        </w:tc>
      </w:tr>
      <w:tr>
        <w:trPr>
          <w:trHeight w:val="167"/>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45,856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46,280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30" w:lineRule="exact"/>
        <w:rPr>
          <w:sz w:val="20"/>
          <w:szCs w:val="20"/>
          <w:color w:val="auto"/>
        </w:rPr>
      </w:pPr>
    </w:p>
    <w:p>
      <w:pPr>
        <w:ind w:right="60" w:firstLine="597"/>
        <w:spacing w:after="0" w:line="250"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September 30, 2020:</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24"/>
                <w:szCs w:val="24"/>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74"/>
              <w:spacing w:after="0" w:line="124"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40" w:type="dxa"/>
            <w:vAlign w:val="bottom"/>
          </w:tcPr>
          <w:p>
            <w:pPr>
              <w:spacing w:after="0"/>
              <w:rPr>
                <w:sz w:val="15"/>
                <w:szCs w:val="15"/>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94"/>
        </w:trPr>
        <w:tc>
          <w:tcPr>
            <w:tcW w:w="4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8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72"/>
        </w:trPr>
        <w:tc>
          <w:tcPr>
            <w:tcW w:w="4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Cash restricted or segregated under regulations and other</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98,285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1,325,843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1,325,843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1,325,843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from broker-dealers and clearing organizations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1,881,881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1,881,881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481,664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1,400,217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176,939</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176,939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176,939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4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4,068,038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4,068,038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1,147,626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2,920,412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124,974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borrowings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1,636,829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1,663,556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Payables to broker-dealers and clearing organizations (1)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675,032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Payables to customers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141,980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3,750,618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3,778,326</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3,780,130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 Payables to broker-dealers and clearing organizations includes interest rate swap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-89535</wp:posOffset>
            </wp:positionV>
            <wp:extent cx="7063740" cy="1104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63740" cy="110490"/>
                    </a:xfrm>
                    <a:prstGeom prst="rect">
                      <a:avLst/>
                    </a:prstGeom>
                    <a:noFill/>
                  </pic:spPr>
                </pic:pic>
              </a:graphicData>
            </a:graphic>
          </wp:anchor>
        </w:drawing>
      </w:r>
    </w:p>
    <w:p>
      <w:pPr>
        <w:spacing w:after="0" w:line="3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2019:</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24"/>
                <w:szCs w:val="2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Significant Other</w:t>
            </w:r>
          </w:p>
        </w:tc>
        <w:tc>
          <w:tcPr>
            <w:tcW w:w="140" w:type="dxa"/>
            <w:vAlign w:val="bottom"/>
          </w:tcPr>
          <w:p>
            <w:pPr>
              <w:spacing w:after="0"/>
              <w:rPr>
                <w:sz w:val="24"/>
                <w:szCs w:val="24"/>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Significant</w:t>
            </w: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Active Markets for</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74"/>
              <w:spacing w:after="0" w:line="124"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Observable Inputs</w:t>
            </w:r>
          </w:p>
        </w:tc>
        <w:tc>
          <w:tcPr>
            <w:tcW w:w="140" w:type="dxa"/>
            <w:vAlign w:val="bottom"/>
          </w:tcPr>
          <w:p>
            <w:pPr>
              <w:spacing w:after="0"/>
              <w:rPr>
                <w:sz w:val="15"/>
                <w:szCs w:val="15"/>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Inputs</w:t>
            </w:r>
          </w:p>
        </w:tc>
        <w:tc>
          <w:tcPr>
            <w:tcW w:w="0" w:type="dxa"/>
            <w:vAlign w:val="bottom"/>
          </w:tcPr>
          <w:p>
            <w:pPr>
              <w:spacing w:after="0"/>
              <w:rPr>
                <w:sz w:val="1"/>
                <w:szCs w:val="1"/>
                <w:color w:val="auto"/>
              </w:rPr>
            </w:pPr>
          </w:p>
        </w:tc>
      </w:tr>
      <w:tr>
        <w:trPr>
          <w:trHeight w:val="194"/>
        </w:trPr>
        <w:tc>
          <w:tcPr>
            <w:tcW w:w="4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8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Pr>
          <w:p>
            <w:pPr>
              <w:spacing w:after="0"/>
              <w:rPr>
                <w:sz w:val="16"/>
                <w:szCs w:val="16"/>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0" w:type="dxa"/>
            <w:vAlign w:val="bottom"/>
          </w:tcPr>
          <w:p>
            <w:pPr>
              <w:spacing w:after="0"/>
              <w:rPr>
                <w:sz w:val="1"/>
                <w:szCs w:val="1"/>
                <w:color w:val="auto"/>
              </w:rPr>
            </w:pPr>
          </w:p>
        </w:tc>
      </w:tr>
      <w:tr>
        <w:trPr>
          <w:trHeight w:val="172"/>
        </w:trPr>
        <w:tc>
          <w:tcPr>
            <w:tcW w:w="4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732,164</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732,164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732,164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restricted or segregated under regulations and other</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41,116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Receivables from broker-dealers and clearing organizations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1,318,584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1,318,584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40,842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1,277,742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4,163,659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4,163,659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814,122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3,349,537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borrowings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1,917,866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1,966,850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1,966,850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4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Payables to broker dealer and clearing organizations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826,750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826,750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49,514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777,236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4,758,943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4,810,027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49,514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4,760,513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30"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September 30, 2020 and December 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Gross Amounts Not Offset in the Condensed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Amounts of Assets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gridSpan w:val="6"/>
          </w:tcPr>
          <w:p>
            <w:pPr>
              <w:jc w:val="center"/>
              <w:ind w:right="32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 Financial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4"/>
          </w:tcPr>
          <w:p>
            <w:pPr>
              <w:jc w:val="center"/>
              <w:ind w:left="754"/>
              <w:spacing w:after="0" w:line="124" w:lineRule="exact"/>
              <w:rPr>
                <w:sz w:val="20"/>
                <w:szCs w:val="20"/>
                <w:color w:val="auto"/>
              </w:rPr>
            </w:pPr>
            <w:r>
              <w:rPr>
                <w:rFonts w:ascii="Times New Roman" w:cs="Times New Roman" w:eastAsia="Times New Roman" w:hAnsi="Times New Roman"/>
                <w:sz w:val="13"/>
                <w:szCs w:val="13"/>
                <w:b w:val="1"/>
                <w:bCs w:val="1"/>
                <w:color w:val="auto"/>
              </w:rPr>
              <w:t>Condition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3"/>
            <w:vMerge w:val="restart"/>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Gross Amounts Offset in</w:t>
            </w:r>
          </w:p>
        </w:tc>
        <w:tc>
          <w:tcPr>
            <w:tcW w:w="100" w:type="dxa"/>
            <w:vAlign w:val="bottom"/>
          </w:tcPr>
          <w:p>
            <w:pPr>
              <w:spacing w:after="0"/>
              <w:rPr>
                <w:sz w:val="4"/>
                <w:szCs w:val="4"/>
                <w:color w:val="auto"/>
              </w:rPr>
            </w:pPr>
          </w:p>
        </w:tc>
        <w:tc>
          <w:tcPr>
            <w:tcW w:w="1520" w:type="dxa"/>
            <w:vAlign w:val="bottom"/>
            <w:gridSpan w:val="3"/>
            <w:vMerge w:val="restart"/>
          </w:tcPr>
          <w:p>
            <w:pPr>
              <w:jc w:val="center"/>
              <w:ind w:right="200"/>
              <w:spacing w:after="0" w:line="112"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Amounts of</w:t>
            </w:r>
          </w:p>
        </w:tc>
        <w:tc>
          <w:tcPr>
            <w:tcW w:w="140" w:type="dxa"/>
            <w:vAlign w:val="bottom"/>
          </w:tcPr>
          <w:p>
            <w:pPr>
              <w:spacing w:after="0"/>
              <w:rPr>
                <w:sz w:val="10"/>
                <w:szCs w:val="10"/>
                <w:color w:val="auto"/>
              </w:rPr>
            </w:pPr>
          </w:p>
        </w:tc>
        <w:tc>
          <w:tcPr>
            <w:tcW w:w="15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the Condensed</w:t>
            </w:r>
          </w:p>
        </w:tc>
        <w:tc>
          <w:tcPr>
            <w:tcW w:w="1620" w:type="dxa"/>
            <w:vAlign w:val="bottom"/>
            <w:gridSpan w:val="4"/>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Condensed Consolidated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w:t>
            </w:r>
          </w:p>
        </w:tc>
        <w:tc>
          <w:tcPr>
            <w:tcW w:w="100" w:type="dxa"/>
            <w:vAlign w:val="bottom"/>
          </w:tcPr>
          <w:p>
            <w:pPr>
              <w:spacing w:after="0"/>
              <w:rPr>
                <w:sz w:val="10"/>
                <w:szCs w:val="10"/>
                <w:color w:val="auto"/>
              </w:rPr>
            </w:pPr>
          </w:p>
        </w:tc>
        <w:tc>
          <w:tcPr>
            <w:tcW w:w="1520" w:type="dxa"/>
            <w:vAlign w:val="bottom"/>
            <w:gridSpan w:val="3"/>
          </w:tcPr>
          <w:p>
            <w:pPr>
              <w:jc w:val="center"/>
              <w:ind w:right="200"/>
              <w:spacing w:after="0" w:line="124" w:lineRule="exact"/>
              <w:rPr>
                <w:sz w:val="20"/>
                <w:szCs w:val="20"/>
                <w:color w:val="auto"/>
              </w:rPr>
            </w:pPr>
            <w:r>
              <w:rPr>
                <w:rFonts w:ascii="Times New Roman" w:cs="Times New Roman" w:eastAsia="Times New Roman" w:hAnsi="Times New Roman"/>
                <w:sz w:val="13"/>
                <w:szCs w:val="13"/>
                <w:b w:val="1"/>
                <w:bCs w:val="1"/>
                <w:color w:val="auto"/>
              </w:rPr>
              <w:t>Statement of Financial</w:t>
            </w:r>
          </w:p>
        </w:tc>
        <w:tc>
          <w:tcPr>
            <w:tcW w:w="2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 Instruments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3"/>
                <w:szCs w:val="13"/>
                <w:b w:val="1"/>
                <w:bCs w:val="1"/>
                <w:color w:val="auto"/>
              </w:rPr>
              <w:t>Netting/ Cash</w:t>
            </w:r>
          </w:p>
        </w:tc>
        <w:tc>
          <w:tcPr>
            <w:tcW w:w="140" w:type="dxa"/>
            <w:vAlign w:val="bottom"/>
          </w:tcPr>
          <w:p>
            <w:pPr>
              <w:spacing w:after="0"/>
              <w:rPr>
                <w:sz w:val="10"/>
                <w:szCs w:val="10"/>
                <w:color w:val="auto"/>
              </w:rPr>
            </w:pPr>
          </w:p>
        </w:tc>
        <w:tc>
          <w:tcPr>
            <w:tcW w:w="920" w:type="dxa"/>
            <w:vAlign w:val="bottom"/>
            <w:vMerge w:val="restart"/>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Recognized Assets</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Financial Condition</w:t>
            </w:r>
          </w:p>
        </w:tc>
        <w:tc>
          <w:tcPr>
            <w:tcW w:w="100" w:type="dxa"/>
            <w:vAlign w:val="bottom"/>
          </w:tcPr>
          <w:p>
            <w:pPr>
              <w:spacing w:after="0"/>
              <w:rPr>
                <w:sz w:val="15"/>
                <w:szCs w:val="15"/>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Condition</w:t>
            </w:r>
          </w:p>
        </w:tc>
        <w:tc>
          <w:tcPr>
            <w:tcW w:w="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Offsetting of Financial Assets: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1,325,843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1,325,843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(1,288,866)</w:t>
            </w:r>
          </w:p>
        </w:tc>
        <w:tc>
          <w:tcPr>
            <w:tcW w:w="100" w:type="dxa"/>
            <w:vAlign w:val="bottom"/>
          </w:tcPr>
          <w:p>
            <w:pPr>
              <w:spacing w:after="0"/>
              <w:rPr>
                <w:sz w:val="15"/>
                <w:szCs w:val="15"/>
                <w:color w:val="auto"/>
              </w:rPr>
            </w:pPr>
          </w:p>
        </w:tc>
        <w:tc>
          <w:tcPr>
            <w:tcW w:w="24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28,355</w:t>
            </w:r>
          </w:p>
        </w:tc>
        <w:tc>
          <w:tcPr>
            <w:tcW w:w="0" w:type="dxa"/>
            <w:vAlign w:val="bottom"/>
          </w:tcPr>
          <w:p>
            <w:pPr>
              <w:spacing w:after="0"/>
              <w:rPr>
                <w:sz w:val="1"/>
                <w:szCs w:val="1"/>
                <w:color w:val="auto"/>
              </w:rPr>
            </w:pPr>
          </w:p>
        </w:tc>
      </w:tr>
      <w:tr>
        <w:trPr>
          <w:trHeight w:val="125"/>
        </w:trPr>
        <w:tc>
          <w:tcPr>
            <w:tcW w:w="2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3"/>
                <w:szCs w:val="13"/>
                <w:color w:val="auto"/>
              </w:rPr>
              <w:t>Securities purchased under agreements to</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17,413</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4"/>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675,533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(662,412)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13,121</w:t>
            </w:r>
          </w:p>
        </w:tc>
        <w:tc>
          <w:tcPr>
            <w:tcW w:w="0" w:type="dxa"/>
            <w:vAlign w:val="bottom"/>
          </w:tcPr>
          <w:p>
            <w:pPr>
              <w:spacing w:after="0"/>
              <w:rPr>
                <w:sz w:val="1"/>
                <w:szCs w:val="1"/>
                <w:color w:val="auto"/>
              </w:rPr>
            </w:pPr>
          </w:p>
        </w:tc>
      </w:tr>
      <w:tr>
        <w:trPr>
          <w:trHeight w:val="173"/>
        </w:trPr>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2,032,619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(662,412)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1,370,207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Gross Amounts Not Offset in the Condensed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Net Amounts of Liabilities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gridSpan w:val="6"/>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 Financial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4"/>
          </w:tcPr>
          <w:p>
            <w:pPr>
              <w:jc w:val="center"/>
              <w:ind w:left="754"/>
              <w:spacing w:after="0" w:line="124" w:lineRule="exact"/>
              <w:rPr>
                <w:sz w:val="20"/>
                <w:szCs w:val="20"/>
                <w:color w:val="auto"/>
              </w:rPr>
            </w:pPr>
            <w:r>
              <w:rPr>
                <w:rFonts w:ascii="Times New Roman" w:cs="Times New Roman" w:eastAsia="Times New Roman" w:hAnsi="Times New Roman"/>
                <w:sz w:val="13"/>
                <w:szCs w:val="13"/>
                <w:b w:val="1"/>
                <w:bCs w:val="1"/>
                <w:color w:val="auto"/>
              </w:rPr>
              <w:t>Condition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gridSpan w:val="3"/>
            <w:vMerge w:val="restart"/>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Gross Amounts Offset in</w:t>
            </w:r>
          </w:p>
        </w:tc>
        <w:tc>
          <w:tcPr>
            <w:tcW w:w="100" w:type="dxa"/>
            <w:vAlign w:val="bottom"/>
          </w:tcPr>
          <w:p>
            <w:pPr>
              <w:spacing w:after="0"/>
              <w:rPr>
                <w:sz w:val="4"/>
                <w:szCs w:val="4"/>
                <w:color w:val="auto"/>
              </w:rPr>
            </w:pPr>
          </w:p>
        </w:tc>
        <w:tc>
          <w:tcPr>
            <w:tcW w:w="1520" w:type="dxa"/>
            <w:vAlign w:val="bottom"/>
            <w:gridSpan w:val="3"/>
            <w:vMerge w:val="restart"/>
          </w:tcPr>
          <w:p>
            <w:pPr>
              <w:jc w:val="center"/>
              <w:ind w:right="180"/>
              <w:spacing w:after="0" w:line="112" w:lineRule="exact"/>
              <w:rPr>
                <w:sz w:val="20"/>
                <w:szCs w:val="20"/>
                <w:color w:val="auto"/>
              </w:rPr>
            </w:pPr>
            <w:r>
              <w:rPr>
                <w:rFonts w:ascii="Times New Roman" w:cs="Times New Roman" w:eastAsia="Times New Roman" w:hAnsi="Times New Roman"/>
                <w:sz w:val="12"/>
                <w:szCs w:val="12"/>
                <w:b w:val="1"/>
                <w:bCs w:val="1"/>
                <w:color w:val="auto"/>
              </w:rPr>
              <w:t>Presented in the</w:t>
            </w:r>
          </w:p>
        </w:tc>
        <w:tc>
          <w:tcPr>
            <w:tcW w:w="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Amounts of</w:t>
            </w:r>
          </w:p>
        </w:tc>
        <w:tc>
          <w:tcPr>
            <w:tcW w:w="140" w:type="dxa"/>
            <w:vAlign w:val="bottom"/>
          </w:tcPr>
          <w:p>
            <w:pPr>
              <w:spacing w:after="0"/>
              <w:rPr>
                <w:sz w:val="10"/>
                <w:szCs w:val="10"/>
                <w:color w:val="auto"/>
              </w:rPr>
            </w:pPr>
          </w:p>
        </w:tc>
        <w:tc>
          <w:tcPr>
            <w:tcW w:w="15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the Condensed</w:t>
            </w:r>
          </w:p>
        </w:tc>
        <w:tc>
          <w:tcPr>
            <w:tcW w:w="1620" w:type="dxa"/>
            <w:vAlign w:val="bottom"/>
            <w:gridSpan w:val="4"/>
          </w:tcPr>
          <w:p>
            <w:pPr>
              <w:jc w:val="center"/>
              <w:ind w:right="80"/>
              <w:spacing w:after="0" w:line="124" w:lineRule="exact"/>
              <w:rPr>
                <w:sz w:val="20"/>
                <w:szCs w:val="20"/>
                <w:color w:val="auto"/>
              </w:rPr>
            </w:pPr>
            <w:r>
              <w:rPr>
                <w:rFonts w:ascii="Times New Roman" w:cs="Times New Roman" w:eastAsia="Times New Roman" w:hAnsi="Times New Roman"/>
                <w:sz w:val="13"/>
                <w:szCs w:val="13"/>
                <w:b w:val="1"/>
                <w:bCs w:val="1"/>
                <w:color w:val="auto"/>
              </w:rPr>
              <w:t>Condensed Consolidated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64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w:t>
            </w:r>
          </w:p>
        </w:tc>
        <w:tc>
          <w:tcPr>
            <w:tcW w:w="100" w:type="dxa"/>
            <w:vAlign w:val="bottom"/>
          </w:tcPr>
          <w:p>
            <w:pPr>
              <w:spacing w:after="0"/>
              <w:rPr>
                <w:sz w:val="10"/>
                <w:szCs w:val="10"/>
                <w:color w:val="auto"/>
              </w:rPr>
            </w:pPr>
          </w:p>
        </w:tc>
        <w:tc>
          <w:tcPr>
            <w:tcW w:w="152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3"/>
                <w:szCs w:val="13"/>
                <w:b w:val="1"/>
                <w:bCs w:val="1"/>
                <w:color w:val="auto"/>
              </w:rPr>
              <w:t>Statement of Financial</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3"/>
                <w:szCs w:val="13"/>
                <w:b w:val="1"/>
                <w:bCs w:val="1"/>
                <w:color w:val="auto"/>
              </w:rPr>
              <w:t>Netting/ Cash</w:t>
            </w:r>
          </w:p>
        </w:tc>
        <w:tc>
          <w:tcPr>
            <w:tcW w:w="140" w:type="dxa"/>
            <w:vAlign w:val="bottom"/>
          </w:tcPr>
          <w:p>
            <w:pPr>
              <w:spacing w:after="0"/>
              <w:rPr>
                <w:sz w:val="10"/>
                <w:szCs w:val="10"/>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Liabilities</w:t>
            </w:r>
          </w:p>
        </w:tc>
        <w:tc>
          <w:tcPr>
            <w:tcW w:w="14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Financial Condition</w:t>
            </w:r>
          </w:p>
        </w:tc>
        <w:tc>
          <w:tcPr>
            <w:tcW w:w="100" w:type="dxa"/>
            <w:vAlign w:val="bottom"/>
          </w:tcPr>
          <w:p>
            <w:pPr>
              <w:spacing w:after="0"/>
              <w:rPr>
                <w:sz w:val="15"/>
                <w:szCs w:val="15"/>
                <w:color w:val="auto"/>
              </w:rPr>
            </w:pPr>
          </w:p>
        </w:tc>
        <w:tc>
          <w:tcPr>
            <w:tcW w:w="15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Condition</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Offsetting of Financial Liabilities: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(688,932)</w:t>
            </w:r>
          </w:p>
        </w:tc>
        <w:tc>
          <w:tcPr>
            <w:tcW w:w="100" w:type="dxa"/>
            <w:vAlign w:val="bottom"/>
          </w:tcPr>
          <w:p>
            <w:pPr>
              <w:spacing w:after="0"/>
              <w:rPr>
                <w:sz w:val="15"/>
                <w:szCs w:val="15"/>
                <w:color w:val="auto"/>
              </w:rPr>
            </w:pPr>
          </w:p>
        </w:tc>
        <w:tc>
          <w:tcPr>
            <w:tcW w:w="24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8,235</w:t>
            </w:r>
          </w:p>
        </w:tc>
        <w:tc>
          <w:tcPr>
            <w:tcW w:w="0" w:type="dxa"/>
            <w:vAlign w:val="bottom"/>
          </w:tcPr>
          <w:p>
            <w:pPr>
              <w:spacing w:after="0"/>
              <w:rPr>
                <w:sz w:val="1"/>
                <w:szCs w:val="1"/>
                <w:color w:val="auto"/>
              </w:rPr>
            </w:pPr>
          </w:p>
        </w:tc>
      </w:tr>
      <w:tr>
        <w:trPr>
          <w:trHeight w:val="125"/>
        </w:trPr>
        <w:tc>
          <w:tcPr>
            <w:tcW w:w="2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3"/>
                <w:szCs w:val="13"/>
                <w:color w:val="auto"/>
              </w:rPr>
              <w:t>Securities sold under agreements to</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00" w:type="dxa"/>
            <w:vAlign w:val="bottom"/>
            <w:gridSpan w:val="2"/>
            <w:vMerge w:val="restart"/>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(466,835)</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4"/>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20" w:type="dxa"/>
            <w:vAlign w:val="bottom"/>
            <w:gridSpan w:val="2"/>
          </w:tcPr>
          <w:p>
            <w:pPr>
              <w:ind w:left="120"/>
              <w:spacing w:after="0" w:line="124" w:lineRule="exact"/>
              <w:rPr>
                <w:sz w:val="20"/>
                <w:szCs w:val="20"/>
                <w:color w:val="auto"/>
              </w:rPr>
            </w:pPr>
            <w:r>
              <w:rPr>
                <w:rFonts w:ascii="Times New Roman" w:cs="Times New Roman" w:eastAsia="Times New Roman" w:hAnsi="Times New Roman"/>
                <w:sz w:val="13"/>
                <w:szCs w:val="13"/>
                <w:color w:val="auto"/>
              </w:rPr>
              <w:t>Payable to broker-dealers and clearing</w:t>
            </w: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organizations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Interest rate swaps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liabilities,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654,666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(654,672)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0" w:type="dxa"/>
            <w:vAlign w:val="bottom"/>
          </w:tcPr>
          <w:p>
            <w:pPr>
              <w:spacing w:after="0"/>
              <w:rPr>
                <w:sz w:val="1"/>
                <w:szCs w:val="1"/>
                <w:color w:val="auto"/>
              </w:rPr>
            </w:pPr>
          </w:p>
        </w:tc>
      </w:tr>
      <w:tr>
        <w:trPr>
          <w:trHeight w:val="193"/>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1,910,989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(654,672)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1,256,317</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(1,155,767)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Gross Amounts Not Offset in the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60" w:type="dxa"/>
            <w:vAlign w:val="bottom"/>
            <w:gridSpan w:val="5"/>
          </w:tcPr>
          <w:p>
            <w:pPr>
              <w:jc w:val="center"/>
              <w:ind w:right="26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 Financial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20" w:type="dxa"/>
            <w:vAlign w:val="bottom"/>
          </w:tcPr>
          <w:p>
            <w:pPr>
              <w:spacing w:after="0"/>
              <w:rPr>
                <w:sz w:val="15"/>
                <w:szCs w:val="15"/>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Amounts of Assets</w:t>
            </w: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774"/>
              <w:spacing w:after="0"/>
              <w:rPr>
                <w:sz w:val="20"/>
                <w:szCs w:val="20"/>
                <w:color w:val="auto"/>
              </w:rPr>
            </w:pPr>
            <w:r>
              <w:rPr>
                <w:rFonts w:ascii="Times New Roman" w:cs="Times New Roman" w:eastAsia="Times New Roman" w:hAnsi="Times New Roman"/>
                <w:sz w:val="13"/>
                <w:szCs w:val="13"/>
                <w:b w:val="1"/>
                <w:bCs w:val="1"/>
                <w:color w:val="auto"/>
              </w:rPr>
              <w:t>Condition</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Amounts of</w:t>
            </w:r>
          </w:p>
        </w:tc>
        <w:tc>
          <w:tcPr>
            <w:tcW w:w="16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3"/>
                <w:szCs w:val="13"/>
                <w:b w:val="1"/>
                <w:bCs w:val="1"/>
                <w:color w:val="auto"/>
              </w:rPr>
              <w:t>Offset in the Consolidated</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80" w:type="dxa"/>
            <w:vAlign w:val="bottom"/>
          </w:tcPr>
          <w:p>
            <w:pPr>
              <w:spacing w:after="0"/>
              <w:rPr>
                <w:sz w:val="10"/>
                <w:szCs w:val="10"/>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rPr>
              <w:t>Statement of Financial</w:t>
            </w:r>
          </w:p>
        </w:tc>
        <w:tc>
          <w:tcPr>
            <w:tcW w:w="16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w:t>
            </w: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3"/>
                <w:szCs w:val="13"/>
                <w:b w:val="1"/>
                <w:bCs w:val="1"/>
                <w:color w:val="auto"/>
              </w:rPr>
              <w:t>Netting/ Cash</w:t>
            </w:r>
          </w:p>
        </w:tc>
        <w:tc>
          <w:tcPr>
            <w:tcW w:w="140" w:type="dxa"/>
            <w:vAlign w:val="bottom"/>
          </w:tcPr>
          <w:p>
            <w:pPr>
              <w:spacing w:after="0"/>
              <w:rPr>
                <w:sz w:val="10"/>
                <w:szCs w:val="10"/>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Condition</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Financial Condition</w:t>
            </w: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Offsetting of Financial Assets: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1,928,763</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1,928,763</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(1,881,005)</w:t>
            </w:r>
          </w:p>
        </w:tc>
        <w:tc>
          <w:tcPr>
            <w:tcW w:w="10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(15,280)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32,478</w:t>
            </w:r>
          </w:p>
        </w:tc>
        <w:tc>
          <w:tcPr>
            <w:tcW w:w="0" w:type="dxa"/>
            <w:vAlign w:val="bottom"/>
          </w:tcPr>
          <w:p>
            <w:pPr>
              <w:spacing w:after="0"/>
              <w:rPr>
                <w:sz w:val="1"/>
                <w:szCs w:val="1"/>
                <w:color w:val="auto"/>
              </w:rPr>
            </w:pPr>
          </w:p>
        </w:tc>
      </w:tr>
      <w:tr>
        <w:trPr>
          <w:trHeight w:val="125"/>
        </w:trPr>
        <w:tc>
          <w:tcPr>
            <w:tcW w:w="2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3"/>
                <w:szCs w:val="13"/>
                <w:color w:val="auto"/>
              </w:rPr>
              <w:t>Securities purchased under agreements to</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143,032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(142,922)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0" w:type="dxa"/>
            <w:vAlign w:val="bottom"/>
          </w:tcPr>
          <w:p>
            <w:pPr>
              <w:spacing w:after="0"/>
              <w:rPr>
                <w:sz w:val="1"/>
                <w:szCs w:val="1"/>
                <w:color w:val="auto"/>
              </w:rPr>
            </w:pPr>
          </w:p>
        </w:tc>
      </w:tr>
      <w:tr>
        <w:trPr>
          <w:trHeight w:val="174"/>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242,552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(211,398)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31,154</w:t>
            </w:r>
          </w:p>
        </w:tc>
        <w:tc>
          <w:tcPr>
            <w:tcW w:w="0" w:type="dxa"/>
            <w:vAlign w:val="bottom"/>
          </w:tcPr>
          <w:p>
            <w:pPr>
              <w:spacing w:after="0"/>
              <w:rPr>
                <w:sz w:val="1"/>
                <w:szCs w:val="1"/>
                <w:color w:val="auto"/>
              </w:rPr>
            </w:pPr>
          </w:p>
        </w:tc>
      </w:tr>
      <w:tr>
        <w:trPr>
          <w:trHeight w:val="173"/>
        </w:trPr>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3"/>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2,322,885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(211,398)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(2,032,464)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(15,280)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Gross Amounts Not Offset in the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60" w:type="dxa"/>
            <w:vAlign w:val="bottom"/>
            <w:gridSpan w:val="5"/>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Gross Amounts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Amounts of Liabilities</w:t>
            </w: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Financial Condition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Amounts of</w:t>
            </w:r>
          </w:p>
        </w:tc>
        <w:tc>
          <w:tcPr>
            <w:tcW w:w="16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3"/>
                <w:szCs w:val="13"/>
                <w:b w:val="1"/>
                <w:bCs w:val="1"/>
                <w:color w:val="auto"/>
              </w:rPr>
              <w:t>Offset in the Consolidated</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rPr>
              <w:t>Presented in the</w:t>
            </w:r>
          </w:p>
        </w:tc>
        <w:tc>
          <w:tcPr>
            <w:tcW w:w="180" w:type="dxa"/>
            <w:vAlign w:val="bottom"/>
          </w:tcPr>
          <w:p>
            <w:pPr>
              <w:spacing w:after="0"/>
              <w:rPr>
                <w:sz w:val="10"/>
                <w:szCs w:val="10"/>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Financial</w:t>
            </w:r>
          </w:p>
        </w:tc>
        <w:tc>
          <w:tcPr>
            <w:tcW w:w="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3"/>
                <w:szCs w:val="13"/>
                <w:b w:val="1"/>
                <w:bCs w:val="1"/>
                <w:color w:val="auto"/>
              </w:rPr>
              <w:t>Statement of Financial</w:t>
            </w:r>
          </w:p>
        </w:tc>
        <w:tc>
          <w:tcPr>
            <w:tcW w:w="164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Consolidated Statement of</w:t>
            </w: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3"/>
                <w:szCs w:val="13"/>
                <w:b w:val="1"/>
                <w:bCs w:val="1"/>
                <w:color w:val="auto"/>
              </w:rPr>
              <w:t>Netting/ Cash</w:t>
            </w:r>
          </w:p>
        </w:tc>
        <w:tc>
          <w:tcPr>
            <w:tcW w:w="140" w:type="dxa"/>
            <w:vAlign w:val="bottom"/>
          </w:tcPr>
          <w:p>
            <w:pPr>
              <w:spacing w:after="0"/>
              <w:rPr>
                <w:sz w:val="10"/>
                <w:szCs w:val="10"/>
                <w:color w:val="auto"/>
              </w:rPr>
            </w:pPr>
          </w:p>
        </w:tc>
        <w:tc>
          <w:tcPr>
            <w:tcW w:w="92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74"/>
        </w:trPr>
        <w:tc>
          <w:tcPr>
            <w:tcW w:w="2720" w:type="dxa"/>
            <w:vAlign w:val="bottom"/>
            <w:gridSpan w:val="2"/>
            <w:vMerge w:val="continue"/>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Liabilities</w:t>
            </w:r>
          </w:p>
        </w:tc>
        <w:tc>
          <w:tcPr>
            <w:tcW w:w="10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Condition</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Financial Condition</w:t>
            </w: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24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Offsetting of Financial Liabilities:</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(1,552,146)</w:t>
            </w:r>
          </w:p>
        </w:tc>
        <w:tc>
          <w:tcPr>
            <w:tcW w:w="10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(15,281)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32,672</w:t>
            </w:r>
          </w:p>
        </w:tc>
        <w:tc>
          <w:tcPr>
            <w:tcW w:w="0" w:type="dxa"/>
            <w:vAlign w:val="bottom"/>
          </w:tcPr>
          <w:p>
            <w:pPr>
              <w:spacing w:after="0"/>
              <w:rPr>
                <w:sz w:val="1"/>
                <w:szCs w:val="1"/>
                <w:color w:val="auto"/>
              </w:rPr>
            </w:pPr>
          </w:p>
        </w:tc>
      </w:tr>
      <w:tr>
        <w:trPr>
          <w:trHeight w:val="125"/>
        </w:trPr>
        <w:tc>
          <w:tcPr>
            <w:tcW w:w="272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3"/>
                <w:szCs w:val="13"/>
                <w:color w:val="auto"/>
              </w:rPr>
              <w:t>Securities sold under agreements to</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40" w:type="dxa"/>
            <w:vAlign w:val="bottom"/>
            <w:gridSpan w:val="2"/>
            <w:vMerge w:val="restart"/>
            <w:shd w:val="clear" w:color="auto" w:fill="CCEEFF"/>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(340,718)</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4"/>
        </w:trPr>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liabilities,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Currency forwards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(196,535)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73"/>
        </w:trPr>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2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2,140,482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(196,535)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1,943,947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(1,895,951)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(15,281)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32,715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720"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Remaining Contractual Maturity</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0"/>
                <w:szCs w:val="10"/>
                <w:color w:val="auto"/>
              </w:rPr>
            </w:pPr>
          </w:p>
        </w:tc>
        <w:tc>
          <w:tcPr>
            <w:tcW w:w="1340" w:type="dxa"/>
            <w:vAlign w:val="bottom"/>
            <w:gridSpan w:val="2"/>
          </w:tcPr>
          <w:p>
            <w:pPr>
              <w:jc w:val="center"/>
              <w:ind w:right="300"/>
              <w:spacing w:after="0" w:line="117" w:lineRule="exact"/>
              <w:rPr>
                <w:sz w:val="20"/>
                <w:szCs w:val="20"/>
                <w:color w:val="auto"/>
              </w:rPr>
            </w:pPr>
            <w:r>
              <w:rPr>
                <w:rFonts w:ascii="Times New Roman" w:cs="Times New Roman" w:eastAsia="Times New Roman" w:hAnsi="Times New Roman"/>
                <w:sz w:val="13"/>
                <w:szCs w:val="13"/>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Less than 30 days</w:t>
            </w:r>
          </w:p>
        </w:tc>
        <w:tc>
          <w:tcPr>
            <w:tcW w:w="60" w:type="dxa"/>
            <w:vAlign w:val="bottom"/>
          </w:tcPr>
          <w:p>
            <w:pPr>
              <w:spacing w:after="0"/>
              <w:rPr>
                <w:sz w:val="10"/>
                <w:szCs w:val="10"/>
                <w:color w:val="auto"/>
              </w:rPr>
            </w:pPr>
          </w:p>
        </w:tc>
        <w:tc>
          <w:tcPr>
            <w:tcW w:w="1060" w:type="dxa"/>
            <w:vAlign w:val="bottom"/>
          </w:tcPr>
          <w:p>
            <w:pPr>
              <w:jc w:val="right"/>
              <w:ind w:right="314"/>
              <w:spacing w:after="0" w:line="117" w:lineRule="exact"/>
              <w:rPr>
                <w:sz w:val="20"/>
                <w:szCs w:val="20"/>
                <w:color w:val="auto"/>
              </w:rPr>
            </w:pPr>
            <w:r>
              <w:rPr>
                <w:rFonts w:ascii="Times New Roman" w:cs="Times New Roman" w:eastAsia="Times New Roman" w:hAnsi="Times New Roman"/>
                <w:sz w:val="13"/>
                <w:szCs w:val="13"/>
                <w:b w:val="1"/>
                <w:bCs w:val="1"/>
                <w:color w:val="auto"/>
              </w:rPr>
              <w:t>30-60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right"/>
              <w:ind w:right="314"/>
              <w:spacing w:after="0" w:line="117" w:lineRule="exact"/>
              <w:rPr>
                <w:sz w:val="20"/>
                <w:szCs w:val="20"/>
                <w:color w:val="auto"/>
              </w:rPr>
            </w:pPr>
            <w:r>
              <w:rPr>
                <w:rFonts w:ascii="Times New Roman" w:cs="Times New Roman" w:eastAsia="Times New Roman" w:hAnsi="Times New Roman"/>
                <w:sz w:val="13"/>
                <w:szCs w:val="13"/>
                <w:b w:val="1"/>
                <w:bCs w:val="1"/>
                <w:color w:val="auto"/>
              </w:rPr>
              <w:t>61-90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3"/>
                <w:szCs w:val="13"/>
                <w:b w:val="1"/>
                <w:bCs w:val="1"/>
                <w:color w:val="auto"/>
              </w:rPr>
              <w:t>Greater than 90</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Continuous</w:t>
            </w:r>
          </w:p>
        </w:tc>
        <w:tc>
          <w:tcPr>
            <w:tcW w:w="12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36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days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0" w:type="dxa"/>
            <w:vAlign w:val="bottom"/>
          </w:tcPr>
          <w:p>
            <w:pPr>
              <w:spacing w:after="0"/>
              <w:rPr>
                <w:sz w:val="1"/>
                <w:szCs w:val="1"/>
                <w:color w:val="auto"/>
              </w:rPr>
            </w:pPr>
          </w:p>
        </w:tc>
      </w:tr>
      <w:tr>
        <w:trPr>
          <w:trHeight w:val="173"/>
        </w:trPr>
        <w:tc>
          <w:tcPr>
            <w:tcW w:w="35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91,995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91,995</w:t>
            </w:r>
          </w:p>
        </w:tc>
        <w:tc>
          <w:tcPr>
            <w:tcW w:w="0" w:type="dxa"/>
            <w:vAlign w:val="bottom"/>
          </w:tcPr>
          <w:p>
            <w:pPr>
              <w:spacing w:after="0"/>
              <w:rPr>
                <w:sz w:val="1"/>
                <w:szCs w:val="1"/>
                <w:color w:val="auto"/>
              </w:rPr>
            </w:pPr>
          </w:p>
        </w:tc>
      </w:tr>
      <w:tr>
        <w:trPr>
          <w:trHeight w:val="193"/>
        </w:trPr>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141,995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466,995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Securities loaned: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tcPr>
          <w:p>
            <w:pPr>
              <w:spacing w:after="0"/>
              <w:rPr>
                <w:sz w:val="15"/>
                <w:szCs w:val="15"/>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0" w:type="dxa"/>
            <w:vAlign w:val="bottom"/>
          </w:tcPr>
          <w:p>
            <w:pPr>
              <w:spacing w:after="0"/>
              <w:rPr>
                <w:sz w:val="1"/>
                <w:szCs w:val="1"/>
                <w:color w:val="auto"/>
              </w:rPr>
            </w:pPr>
          </w:p>
        </w:tc>
      </w:tr>
      <w:tr>
        <w:trPr>
          <w:trHeight w:val="193"/>
        </w:trPr>
        <w:tc>
          <w:tcPr>
            <w:tcW w:w="3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705,789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705,789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Remaining Contractual Maturity</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Overnight and</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Less than 30 days</w:t>
            </w:r>
          </w:p>
        </w:tc>
        <w:tc>
          <w:tcPr>
            <w:tcW w:w="80" w:type="dxa"/>
            <w:vAlign w:val="bottom"/>
          </w:tcPr>
          <w:p>
            <w:pPr>
              <w:spacing w:after="0"/>
              <w:rPr>
                <w:sz w:val="10"/>
                <w:szCs w:val="10"/>
                <w:color w:val="auto"/>
              </w:rPr>
            </w:pPr>
          </w:p>
        </w:tc>
        <w:tc>
          <w:tcPr>
            <w:tcW w:w="1040" w:type="dxa"/>
            <w:vAlign w:val="bottom"/>
          </w:tcPr>
          <w:p>
            <w:pPr>
              <w:jc w:val="right"/>
              <w:ind w:right="314"/>
              <w:spacing w:after="0" w:line="117" w:lineRule="exact"/>
              <w:rPr>
                <w:sz w:val="20"/>
                <w:szCs w:val="20"/>
                <w:color w:val="auto"/>
              </w:rPr>
            </w:pPr>
            <w:r>
              <w:rPr>
                <w:rFonts w:ascii="Times New Roman" w:cs="Times New Roman" w:eastAsia="Times New Roman" w:hAnsi="Times New Roman"/>
                <w:sz w:val="13"/>
                <w:szCs w:val="13"/>
                <w:b w:val="1"/>
                <w:bCs w:val="1"/>
                <w:color w:val="auto"/>
              </w:rPr>
              <w:t>30-60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jc w:val="right"/>
              <w:ind w:right="294"/>
              <w:spacing w:after="0" w:line="117" w:lineRule="exact"/>
              <w:rPr>
                <w:sz w:val="20"/>
                <w:szCs w:val="20"/>
                <w:color w:val="auto"/>
              </w:rPr>
            </w:pPr>
            <w:r>
              <w:rPr>
                <w:rFonts w:ascii="Times New Roman" w:cs="Times New Roman" w:eastAsia="Times New Roman" w:hAnsi="Times New Roman"/>
                <w:sz w:val="13"/>
                <w:szCs w:val="13"/>
                <w:b w:val="1"/>
                <w:bCs w:val="1"/>
                <w:color w:val="auto"/>
              </w:rPr>
              <w:t>61-90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Greater than 90</w:t>
            </w:r>
          </w:p>
        </w:tc>
        <w:tc>
          <w:tcPr>
            <w:tcW w:w="260" w:type="dxa"/>
            <w:vAlign w:val="bottom"/>
          </w:tcPr>
          <w:p>
            <w:pPr>
              <w:spacing w:after="0"/>
              <w:rPr>
                <w:sz w:val="10"/>
                <w:szCs w:val="10"/>
                <w:color w:val="auto"/>
              </w:rPr>
            </w:pPr>
          </w:p>
        </w:tc>
        <w:tc>
          <w:tcPr>
            <w:tcW w:w="880" w:type="dxa"/>
            <w:vAlign w:val="bottom"/>
            <w:vMerge w:val="restart"/>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Continuous</w:t>
            </w:r>
          </w:p>
        </w:tc>
        <w:tc>
          <w:tcPr>
            <w:tcW w:w="12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36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days</w:t>
            </w: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0" w:type="dxa"/>
            <w:vAlign w:val="bottom"/>
          </w:tcPr>
          <w:p>
            <w:pPr>
              <w:spacing w:after="0"/>
              <w:rPr>
                <w:sz w:val="1"/>
                <w:szCs w:val="1"/>
                <w:color w:val="auto"/>
              </w:rPr>
            </w:pPr>
          </w:p>
        </w:tc>
      </w:tr>
      <w:tr>
        <w:trPr>
          <w:trHeight w:val="17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U.S. and Non-U.S. government obligations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65,742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65,742</w:t>
            </w:r>
          </w:p>
        </w:tc>
        <w:tc>
          <w:tcPr>
            <w:tcW w:w="0" w:type="dxa"/>
            <w:vAlign w:val="bottom"/>
          </w:tcPr>
          <w:p>
            <w:pPr>
              <w:spacing w:after="0"/>
              <w:rPr>
                <w:sz w:val="1"/>
                <w:szCs w:val="1"/>
                <w:color w:val="auto"/>
              </w:rPr>
            </w:pPr>
          </w:p>
        </w:tc>
      </w:tr>
      <w:tr>
        <w:trPr>
          <w:trHeight w:val="193"/>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65,742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340,742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loaned: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Equity securities</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0" w:type="dxa"/>
            <w:vAlign w:val="bottom"/>
          </w:tcPr>
          <w:p>
            <w:pPr>
              <w:spacing w:after="0"/>
              <w:rPr>
                <w:sz w:val="1"/>
                <w:szCs w:val="1"/>
                <w:color w:val="auto"/>
              </w:rPr>
            </w:pPr>
          </w:p>
        </w:tc>
      </w:tr>
      <w:tr>
        <w:trPr>
          <w:trHeight w:val="193"/>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1,600,099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Derivative Instruments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September 30, 2020 and December 31,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00" w:type="dxa"/>
            <w:vAlign w:val="bottom"/>
          </w:tcPr>
          <w:p>
            <w:pPr>
              <w:spacing w:after="0"/>
              <w:rPr>
                <w:sz w:val="15"/>
                <w:szCs w:val="15"/>
                <w:color w:val="auto"/>
              </w:rPr>
            </w:pPr>
          </w:p>
        </w:tc>
        <w:tc>
          <w:tcPr>
            <w:tcW w:w="230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0" w:type="dxa"/>
            <w:vAlign w:val="bottom"/>
          </w:tcPr>
          <w:p>
            <w:pPr>
              <w:spacing w:after="0"/>
              <w:rPr>
                <w:sz w:val="1"/>
                <w:szCs w:val="1"/>
                <w:color w:val="auto"/>
              </w:rPr>
            </w:pPr>
          </w:p>
        </w:tc>
      </w:tr>
      <w:tr>
        <w:trPr>
          <w:trHeight w:val="172"/>
        </w:trPr>
        <w:tc>
          <w:tcPr>
            <w:tcW w:w="29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Assets</w:t>
            </w: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Statements Location</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0" w:type="dxa"/>
            <w:vAlign w:val="bottom"/>
          </w:tcPr>
          <w:p>
            <w:pPr>
              <w:spacing w:after="0"/>
              <w:rPr>
                <w:sz w:val="1"/>
                <w:szCs w:val="1"/>
                <w:color w:val="auto"/>
              </w:rPr>
            </w:pPr>
          </w:p>
        </w:tc>
      </w:tr>
      <w:tr>
        <w:trPr>
          <w:trHeight w:val="117"/>
        </w:trPr>
        <w:tc>
          <w:tcPr>
            <w:tcW w:w="284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Derivative instruments not designated as hedging</w:t>
            </w:r>
          </w:p>
        </w:tc>
        <w:tc>
          <w:tcPr>
            <w:tcW w:w="100" w:type="dxa"/>
            <w:vAlign w:val="bottom"/>
          </w:tcPr>
          <w:p>
            <w:pPr>
              <w:spacing w:after="0"/>
              <w:rPr>
                <w:sz w:val="10"/>
                <w:szCs w:val="10"/>
                <w:color w:val="auto"/>
              </w:rPr>
            </w:pPr>
          </w:p>
        </w:tc>
        <w:tc>
          <w:tcPr>
            <w:tcW w:w="3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4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rPr>
              <w:t>Equities futures</w:t>
            </w:r>
          </w:p>
        </w:tc>
        <w:tc>
          <w:tcPr>
            <w:tcW w:w="3160" w:type="dxa"/>
            <w:vAlign w:val="bottom"/>
            <w:gridSpan w:val="2"/>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rPr>
              <w:t>Receivables from broker-dealers and clearing</w:t>
            </w:r>
          </w:p>
        </w:tc>
        <w:tc>
          <w:tcPr>
            <w:tcW w:w="1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1,038,860</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4,502,017</w:t>
            </w: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organizations</w:t>
            </w:r>
          </w:p>
        </w:tc>
        <w:tc>
          <w:tcPr>
            <w:tcW w:w="18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Commodity futures</w:t>
            </w:r>
          </w:p>
        </w:tc>
        <w:tc>
          <w:tcPr>
            <w:tcW w:w="3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Receivables from broker-dealers and clearing</w:t>
            </w: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483,476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8,293,464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40,656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7,758,974</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organizations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9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Currency futures</w:t>
            </w:r>
          </w:p>
        </w:tc>
        <w:tc>
          <w:tcPr>
            <w:tcW w:w="31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Receivables from broker-dealers and clearing</w:t>
            </w:r>
          </w:p>
        </w:tc>
        <w:tc>
          <w:tcPr>
            <w:tcW w:w="1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1,601,070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(2,860)</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1,116,246</w:t>
            </w:r>
          </w:p>
        </w:tc>
        <w:tc>
          <w:tcPr>
            <w:tcW w:w="0" w:type="dxa"/>
            <w:vAlign w:val="bottom"/>
          </w:tcPr>
          <w:p>
            <w:pPr>
              <w:spacing w:after="0"/>
              <w:rPr>
                <w:sz w:val="1"/>
                <w:szCs w:val="1"/>
                <w:color w:val="auto"/>
              </w:rPr>
            </w:pPr>
          </w:p>
        </w:tc>
      </w:tr>
      <w:tr>
        <w:trPr>
          <w:trHeight w:val="174"/>
        </w:trPr>
        <w:tc>
          <w:tcPr>
            <w:tcW w:w="2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organizations</w:t>
            </w:r>
          </w:p>
        </w:tc>
        <w:tc>
          <w:tcPr>
            <w:tcW w:w="18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Fixed income futures</w:t>
            </w:r>
          </w:p>
        </w:tc>
        <w:tc>
          <w:tcPr>
            <w:tcW w:w="3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Receivables from broker-dealers and clearing</w:t>
            </w: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666,668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155,697</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organizations</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instruments owned</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814,419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442,808</w:t>
            </w:r>
          </w:p>
        </w:tc>
        <w:tc>
          <w:tcPr>
            <w:tcW w:w="0" w:type="dxa"/>
            <w:vAlign w:val="bottom"/>
          </w:tcPr>
          <w:p>
            <w:pPr>
              <w:spacing w:after="0"/>
              <w:rPr>
                <w:sz w:val="1"/>
                <w:szCs w:val="1"/>
                <w:color w:val="auto"/>
              </w:rPr>
            </w:pPr>
          </w:p>
        </w:tc>
      </w:tr>
      <w:tr>
        <w:trPr>
          <w:trHeight w:val="17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Currency forwards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 instruments owned</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675,533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30,360,772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242,552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24,369,818</w:t>
            </w:r>
          </w:p>
        </w:tc>
        <w:tc>
          <w:tcPr>
            <w:tcW w:w="0" w:type="dxa"/>
            <w:vAlign w:val="bottom"/>
          </w:tcPr>
          <w:p>
            <w:pPr>
              <w:spacing w:after="0"/>
              <w:rPr>
                <w:sz w:val="1"/>
                <w:szCs w:val="1"/>
                <w:color w:val="auto"/>
              </w:rPr>
            </w:pPr>
          </w:p>
        </w:tc>
      </w:tr>
      <w:tr>
        <w:trPr>
          <w:trHeight w:val="17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525,000</w:t>
            </w: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Liabilities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Statements Location</w:t>
            </w: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Notional</w:t>
            </w:r>
          </w:p>
        </w:tc>
      </w:tr>
      <w:tr>
        <w:trPr>
          <w:trHeight w:val="117"/>
        </w:trPr>
        <w:tc>
          <w:tcPr>
            <w:tcW w:w="2840" w:type="dxa"/>
            <w:vAlign w:val="bottom"/>
            <w:tcBorders>
              <w:top w:val="single" w:sz="8" w:color="auto"/>
            </w:tcBorders>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Derivative instruments not designated as hedging</w:t>
            </w:r>
          </w:p>
        </w:tc>
        <w:tc>
          <w:tcPr>
            <w:tcW w:w="100" w:type="dxa"/>
            <w:vAlign w:val="bottom"/>
          </w:tcPr>
          <w:p>
            <w:pPr>
              <w:spacing w:after="0"/>
              <w:rPr>
                <w:sz w:val="10"/>
                <w:szCs w:val="10"/>
                <w:color w:val="auto"/>
              </w:rPr>
            </w:pPr>
          </w:p>
        </w:tc>
        <w:tc>
          <w:tcPr>
            <w:tcW w:w="3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7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Equities futures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83,803</w:t>
            </w:r>
          </w:p>
        </w:tc>
      </w:tr>
      <w:tr>
        <w:trPr>
          <w:trHeight w:val="17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Commodity futures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(45,175)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3,604,979</w:t>
            </w:r>
          </w:p>
        </w:tc>
      </w:tr>
      <w:tr>
        <w:trPr>
          <w:trHeight w:val="17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futures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2,199,582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6,594,991</w:t>
            </w:r>
          </w:p>
        </w:tc>
      </w:tr>
      <w:tr>
        <w:trPr>
          <w:trHeight w:val="17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 futures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190,938</w:t>
            </w:r>
          </w:p>
        </w:tc>
      </w:tr>
      <w:tr>
        <w:trPr>
          <w:trHeight w:val="175"/>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instruments sold, not yet purchased</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806,832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436,422</w:t>
            </w:r>
          </w:p>
        </w:tc>
      </w:tr>
      <w:tr>
        <w:trPr>
          <w:trHeight w:val="17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Currency forwards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Financial instruments sold, not yet purchased</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654,666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30,350,339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24,346,818</w:t>
            </w:r>
          </w:p>
        </w:tc>
      </w:tr>
      <w:tr>
        <w:trPr>
          <w:trHeight w:val="200"/>
        </w:trPr>
        <w:tc>
          <w:tcPr>
            <w:tcW w:w="2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24"/>
        </w:trPr>
        <w:tc>
          <w:tcPr>
            <w:tcW w:w="29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Derivative instruments designated as hedging</w:t>
            </w: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74"/>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4"/>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Payables to broker-dealers and clearing organizations</w:t>
            </w: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307" w:lineRule="exact"/>
        <w:rPr>
          <w:sz w:val="20"/>
          <w:szCs w:val="20"/>
          <w:color w:val="auto"/>
        </w:rPr>
      </w:pPr>
    </w:p>
    <w:p>
      <w:pPr>
        <w:ind w:right="460" w:firstLine="597"/>
        <w:spacing w:after="0" w:line="269"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right="160" w:firstLine="597"/>
        <w:spacing w:after="0" w:line="25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and nine months ended September 30, 2020 and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0" w:type="dxa"/>
            <w:vAlign w:val="bottom"/>
          </w:tcPr>
          <w:p>
            <w:pPr>
              <w:spacing w:after="0"/>
              <w:rPr>
                <w:sz w:val="15"/>
                <w:szCs w:val="15"/>
                <w:color w:val="auto"/>
              </w:rPr>
            </w:pPr>
          </w:p>
        </w:tc>
        <w:tc>
          <w:tcPr>
            <w:tcW w:w="240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Statements Location</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17"/>
        </w:trPr>
        <w:tc>
          <w:tcPr>
            <w:tcW w:w="2780" w:type="dxa"/>
            <w:vAlign w:val="bottom"/>
            <w:tcBorders>
              <w:top w:val="single" w:sz="8" w:color="auto"/>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r>
      <w:tr>
        <w:trPr>
          <w:trHeight w:val="17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hedging instruments:</w:t>
            </w:r>
          </w:p>
        </w:tc>
        <w:tc>
          <w:tcPr>
            <w:tcW w:w="3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Futures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(12,262)</w:t>
            </w:r>
          </w:p>
        </w:tc>
        <w:tc>
          <w:tcPr>
            <w:tcW w:w="100" w:type="dxa"/>
            <w:vAlign w:val="bottom"/>
          </w:tcPr>
          <w:p>
            <w:pPr>
              <w:spacing w:after="0"/>
              <w:rPr>
                <w:sz w:val="15"/>
                <w:szCs w:val="15"/>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(109,912)</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11,440</w:t>
            </w:r>
          </w:p>
        </w:tc>
        <w:tc>
          <w:tcPr>
            <w:tcW w:w="10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45,698</w:t>
            </w:r>
          </w:p>
        </w:tc>
      </w:tr>
      <w:tr>
        <w:trPr>
          <w:trHeight w:val="175"/>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forwards</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(6,304)</w:t>
            </w:r>
          </w:p>
        </w:tc>
      </w:tr>
      <w:tr>
        <w:trPr>
          <w:trHeight w:val="17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Options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61,643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w:t>
            </w:r>
          </w:p>
        </w:tc>
      </w:tr>
      <w:tr>
        <w:trPr>
          <w:trHeight w:val="17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 on term loan</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net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84,129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(79,909)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326,710</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35,657</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5"/>
        </w:trPr>
        <w:tc>
          <w:tcPr>
            <w:tcW w:w="2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24"/>
        </w:trPr>
        <w:tc>
          <w:tcPr>
            <w:tcW w:w="28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Derivative instruments designated as hedging</w:t>
            </w:r>
          </w:p>
        </w:tc>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7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w:t>
            </w: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4"/>
        </w:trPr>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rate swaps (1)</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(64,425)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right="80"/>
        <w:spacing w:after="0" w:line="257" w:lineRule="auto"/>
        <w:tabs>
          <w:tab w:leader="none" w:pos="18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January 29, 2020, the Company entered into a five-year $1,000 million floating-to-fixed interest rate swap agreement. The Company also previously entered into a five-year $525 million floating-to-fixed interest rate swap agreement in the fourth quarter of 2019. These two interest rate swaps met the criteria to be considered qualifying cash flow hedges under ASC 815, and as such, the mark-to-market gains (losses) on the instruments were recorded within Other comprehensive income on the Condensed Consolidated Statement of Comprehensive Income for the three and nine months ended September 30, 2020.</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Revenues from Contracts with Customers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228" w:lineRule="exact"/>
        <w:rPr>
          <w:sz w:val="20"/>
          <w:szCs w:val="20"/>
          <w:color w:val="auto"/>
        </w:rPr>
      </w:pPr>
    </w:p>
    <w:p>
      <w:pPr>
        <w:ind w:right="200" w:firstLine="597"/>
        <w:spacing w:after="0" w:line="258" w:lineRule="auto"/>
        <w:rPr>
          <w:sz w:val="20"/>
          <w:szCs w:val="20"/>
          <w:color w:val="auto"/>
        </w:rPr>
      </w:pPr>
      <w:r>
        <w:rPr>
          <w:rFonts w:ascii="Times New Roman" w:cs="Times New Roman" w:eastAsia="Times New Roman" w:hAnsi="Times New Roman"/>
          <w:sz w:val="17"/>
          <w:szCs w:val="17"/>
          <w:color w:val="auto"/>
        </w:rPr>
        <w:t xml:space="preserve">The Company adopted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w:t>
      </w:r>
    </w:p>
    <w:p>
      <w:pPr>
        <w:spacing w:after="0" w:line="191" w:lineRule="exact"/>
        <w:rPr>
          <w:sz w:val="20"/>
          <w:szCs w:val="20"/>
          <w:color w:val="auto"/>
        </w:rPr>
      </w:pPr>
    </w:p>
    <w:p>
      <w:pPr>
        <w:ind w:right="20" w:firstLine="597"/>
        <w:spacing w:after="0" w:line="270" w:lineRule="auto"/>
        <w:rPr>
          <w:sz w:val="20"/>
          <w:szCs w:val="20"/>
          <w:color w:val="auto"/>
        </w:rPr>
      </w:pPr>
      <w:r>
        <w:rPr>
          <w:rFonts w:ascii="Times New Roman" w:cs="Times New Roman" w:eastAsia="Times New Roman" w:hAnsi="Times New Roman"/>
          <w:sz w:val="16"/>
          <w:szCs w:val="16"/>
          <w:i w:val="1"/>
          <w:iCs w:val="1"/>
          <w:color w:val="auto"/>
        </w:rPr>
        <w:t>Commissions, net</w:t>
      </w:r>
      <w:r>
        <w:rPr>
          <w:rFonts w:ascii="Times New Roman" w:cs="Times New Roman" w:eastAsia="Times New Roman" w:hAnsi="Times New Roman"/>
          <w:sz w:val="16"/>
          <w:szCs w:val="16"/>
          <w:color w:val="auto"/>
        </w:rPr>
        <w:t>. The Company earns commission revenue by acting as an agent on behalf of customers. The Company’s performance obligations consist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Condensed Consolidated Statements of Comprehensive Income.</w:t>
      </w:r>
    </w:p>
    <w:p>
      <w:pPr>
        <w:spacing w:after="0" w:line="185" w:lineRule="exact"/>
        <w:rPr>
          <w:sz w:val="20"/>
          <w:szCs w:val="20"/>
          <w:color w:val="auto"/>
        </w:rPr>
      </w:pPr>
    </w:p>
    <w:p>
      <w:pPr>
        <w:ind w:right="260" w:firstLine="597"/>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Workflow technology. </w:t>
      </w:r>
      <w:r>
        <w:rPr>
          <w:rFonts w:ascii="Times New Roman" w:cs="Times New Roman" w:eastAsia="Times New Roman" w:hAnsi="Times New Roman"/>
          <w:sz w:val="17"/>
          <w:szCs w:val="17"/>
          <w:color w:val="auto"/>
        </w:rPr>
        <w:t>Through its front-end workflow solutions and network capabilities, the Company provides order and trade execution management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order routing services.</w:t>
      </w:r>
    </w:p>
    <w:p>
      <w:pPr>
        <w:spacing w:after="0" w:line="183"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99" w:lineRule="exact"/>
        <w:rPr>
          <w:sz w:val="20"/>
          <w:szCs w:val="20"/>
          <w:color w:val="auto"/>
        </w:rPr>
      </w:pPr>
    </w:p>
    <w:p>
      <w:pPr>
        <w:ind w:right="360" w:firstLine="597"/>
        <w:spacing w:after="0" w:line="301" w:lineRule="auto"/>
        <w:rPr>
          <w:sz w:val="20"/>
          <w:szCs w:val="20"/>
          <w:color w:val="auto"/>
        </w:rPr>
      </w:pPr>
      <w:r>
        <w:rPr>
          <w:rFonts w:ascii="Times New Roman" w:cs="Times New Roman" w:eastAsia="Times New Roman" w:hAnsi="Times New Roman"/>
          <w:sz w:val="16"/>
          <w:szCs w:val="16"/>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161"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2"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Analytics. </w:t>
      </w:r>
      <w:r>
        <w:rPr>
          <w:rFonts w:ascii="Times New Roman" w:cs="Times New Roman" w:eastAsia="Times New Roman" w:hAnsi="Times New Roman"/>
          <w:sz w:val="17"/>
          <w:szCs w:val="17"/>
          <w:color w:val="auto"/>
        </w:rPr>
        <w:t>The Company provides customers with analytics products and services, including trading and portfolio analytics tools. The Company provides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4" w:lineRule="exact"/>
        <w:rPr>
          <w:sz w:val="20"/>
          <w:szCs w:val="20"/>
          <w:color w:val="auto"/>
        </w:rPr>
      </w:pPr>
    </w:p>
    <w:p>
      <w:pPr>
        <w:ind w:right="60" w:firstLine="597"/>
        <w:spacing w:after="0" w:line="301" w:lineRule="auto"/>
        <w:rPr>
          <w:sz w:val="20"/>
          <w:szCs w:val="20"/>
          <w:color w:val="auto"/>
        </w:rPr>
      </w:pPr>
      <w:r>
        <w:rPr>
          <w:rFonts w:ascii="Times New Roman" w:cs="Times New Roman" w:eastAsia="Times New Roman" w:hAnsi="Times New Roman"/>
          <w:sz w:val="16"/>
          <w:szCs w:val="16"/>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36" w:lineRule="exact"/>
        <w:rPr>
          <w:sz w:val="20"/>
          <w:szCs w:val="20"/>
          <w:color w:val="auto"/>
        </w:rPr>
      </w:pPr>
    </w:p>
    <w:p>
      <w:pPr>
        <w:ind w:left="1200" w:right="160" w:hanging="603"/>
        <w:spacing w:after="0" w:line="254" w:lineRule="auto"/>
        <w:tabs>
          <w:tab w:leader="none" w:pos="11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spacing w:after="0" w:line="1" w:lineRule="exact"/>
        <w:rPr>
          <w:rFonts w:ascii="Times New Roman" w:cs="Times New Roman" w:eastAsia="Times New Roman" w:hAnsi="Times New Roman"/>
          <w:sz w:val="17"/>
          <w:szCs w:val="17"/>
          <w:color w:val="auto"/>
        </w:rPr>
      </w:pPr>
    </w:p>
    <w:p>
      <w:pPr>
        <w:ind w:left="1180" w:hanging="583"/>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211" w:lineRule="exact"/>
        <w:rPr>
          <w:sz w:val="20"/>
          <w:szCs w:val="20"/>
          <w:color w:val="auto"/>
        </w:rPr>
      </w:pPr>
    </w:p>
    <w:p>
      <w:pPr>
        <w:ind w:right="360" w:firstLine="597"/>
        <w:spacing w:after="0" w:line="25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30" w:lineRule="exact"/>
        <w:rPr>
          <w:sz w:val="20"/>
          <w:szCs w:val="20"/>
          <w:color w:val="auto"/>
        </w:rPr>
      </w:pPr>
    </w:p>
    <w:p>
      <w:pPr>
        <w:ind w:right="500"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the services described above, by timing of revenue recognition, reconciled to the Company’s segments, for the three and nine months ended September 30, 2020 and 2019:</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76"/>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2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4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Revenues from contracts with customers:</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74"/>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Commissions, net</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9,391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100,851</w:t>
            </w:r>
          </w:p>
        </w:tc>
      </w:tr>
      <w:tr>
        <w:trPr>
          <w:trHeight w:val="17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Workflow technology</w:t>
            </w:r>
          </w:p>
        </w:tc>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23,044</w:t>
            </w:r>
          </w:p>
        </w:tc>
      </w:tr>
      <w:tr>
        <w:trPr>
          <w:trHeight w:val="175"/>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Analytics</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9,958</w:t>
            </w:r>
          </w:p>
        </w:tc>
      </w:tr>
      <w:tr>
        <w:trPr>
          <w:trHeight w:val="16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9,391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124,462</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133,853</w:t>
            </w:r>
          </w:p>
        </w:tc>
      </w:tr>
      <w:tr>
        <w:trPr>
          <w:trHeight w:val="250"/>
        </w:trPr>
        <w:tc>
          <w:tcPr>
            <w:tcW w:w="4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173"/>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sources of revenue</w:t>
            </w:r>
          </w:p>
        </w:tc>
        <w:tc>
          <w:tcPr>
            <w:tcW w:w="160" w:type="dxa"/>
            <w:vAlign w:val="bottom"/>
          </w:tcPr>
          <w:p>
            <w:pPr>
              <w:spacing w:after="0"/>
              <w:rPr>
                <w:sz w:val="15"/>
                <w:szCs w:val="15"/>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465,207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522,259</w:t>
            </w:r>
          </w:p>
        </w:tc>
      </w:tr>
      <w:tr>
        <w:trPr>
          <w:trHeight w:val="250"/>
        </w:trPr>
        <w:tc>
          <w:tcPr>
            <w:tcW w:w="4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r>
      <w:tr>
        <w:trPr>
          <w:trHeight w:val="167"/>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474,598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182,680</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656,112</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Timing of revenue recognition:</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4"/>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Services transferred at a point in time</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474,598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164,018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637,450</w:t>
            </w:r>
          </w:p>
        </w:tc>
      </w:tr>
      <w:tr>
        <w:trPr>
          <w:trHeight w:val="17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Services transferred over time</w:t>
            </w:r>
          </w:p>
        </w:tc>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18,662</w:t>
            </w:r>
          </w:p>
        </w:tc>
      </w:tr>
      <w:tr>
        <w:trPr>
          <w:trHeight w:val="193"/>
        </w:trPr>
        <w:tc>
          <w:tcPr>
            <w:tcW w:w="41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revenues</w:t>
            </w: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474,598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182,680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656,112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21590</wp:posOffset>
            </wp:positionV>
            <wp:extent cx="25603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0320" cy="7620"/>
                    </a:xfrm>
                    <a:prstGeom prst="rect">
                      <a:avLst/>
                    </a:prstGeom>
                    <a:noFill/>
                  </pic:spPr>
                </pic:pic>
              </a:graphicData>
            </a:graphic>
          </wp:anchor>
        </w:drawing>
      </w:r>
    </w:p>
    <w:p>
      <w:pPr>
        <w:spacing w:after="0" w:line="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Revenues from contracts with customers: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Commissions, net</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Workflow technology</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Analytics</w:t>
      </w:r>
    </w:p>
    <w:p>
      <w:pPr>
        <w:spacing w:after="0" w:line="37"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3"/>
          <w:szCs w:val="13"/>
          <w:color w:val="auto"/>
        </w:rPr>
        <w:t>Total revenue from contracts with customers</w:t>
      </w:r>
    </w:p>
    <w:p>
      <w:pPr>
        <w:spacing w:after="0" w:line="2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Other sources of revenue</w:t>
      </w:r>
    </w:p>
    <w:p>
      <w:pPr>
        <w:spacing w:after="0" w:line="3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Total revenues</w:t>
      </w: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Timing of revenue recognition:</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at a point in time</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over time</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Total revenues</w:t>
      </w:r>
    </w:p>
    <w:p>
      <w:pPr>
        <w:spacing w:after="0" w:line="3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Revenues from contracts with customers:</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Commissions, net</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Workflow technology</w:t>
      </w:r>
    </w:p>
    <w:p>
      <w:pPr>
        <w:spacing w:after="0" w:line="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Analytics</w:t>
      </w:r>
    </w:p>
    <w:p>
      <w:pPr>
        <w:spacing w:after="0" w:line="3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Total revenue from contracts with customers</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Other sources of revenue</w:t>
      </w:r>
    </w:p>
    <w:p>
      <w:pPr>
        <w:spacing w:after="0" w:line="3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Total revenues</w:t>
      </w: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Timing of revenue recognition:</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at a point in time</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over time</w:t>
      </w:r>
    </w:p>
    <w:p>
      <w:pPr>
        <w:spacing w:after="0" w:line="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Revenues from contracts with customers:</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Commissions, net</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Workflow technology</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Analytics</w:t>
      </w:r>
    </w:p>
    <w:p>
      <w:pPr>
        <w:spacing w:after="0" w:line="37"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3"/>
          <w:szCs w:val="13"/>
          <w:color w:val="auto"/>
        </w:rPr>
        <w:t>Total revenue from contracts with customers</w:t>
      </w:r>
    </w:p>
    <w:p>
      <w:pPr>
        <w:spacing w:after="0" w:line="2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Other sources of revenue</w:t>
      </w:r>
    </w:p>
    <w:p>
      <w:pPr>
        <w:spacing w:after="0" w:line="3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Total revenues</w:t>
      </w: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3"/>
          <w:szCs w:val="13"/>
          <w:b w:val="1"/>
          <w:bCs w:val="1"/>
          <w:color w:val="auto"/>
        </w:rPr>
        <w:t>Timing of revenue recognition:</w:t>
      </w:r>
    </w:p>
    <w:p>
      <w:pPr>
        <w:spacing w:after="0" w:line="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at a point in time</w:t>
      </w:r>
    </w:p>
    <w:p>
      <w:pPr>
        <w:spacing w:after="0" w:line="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3"/>
          <w:szCs w:val="13"/>
          <w:color w:val="auto"/>
        </w:rPr>
        <w:t>Services transferred over time</w:t>
      </w:r>
    </w:p>
    <w:p>
      <w:pPr>
        <w:spacing w:after="0" w:line="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3"/>
          <w:szCs w:val="13"/>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31"/>
        </w:trPr>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7,252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98,365</w:t>
            </w:r>
          </w:p>
        </w:tc>
        <w:tc>
          <w:tcPr>
            <w:tcW w:w="12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105,617</w:t>
            </w:r>
          </w:p>
        </w:tc>
      </w:tr>
      <w:tr>
        <w:trPr>
          <w:trHeight w:val="174"/>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24,041</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9,969</w:t>
            </w:r>
          </w:p>
        </w:tc>
      </w:tr>
      <w:tr>
        <w:trPr>
          <w:trHeight w:val="170"/>
        </w:trPr>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7,252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132,375</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139,627</w:t>
            </w:r>
          </w:p>
        </w:tc>
      </w:tr>
      <w:tr>
        <w:trPr>
          <w:trHeight w:val="415"/>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242,550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242,713</w:t>
            </w:r>
          </w:p>
        </w:tc>
      </w:tr>
      <w:tr>
        <w:trPr>
          <w:trHeight w:val="259"/>
        </w:trPr>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66"/>
        </w:trPr>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249,802</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382,340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3"/>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249,802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362,835</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19,505</w:t>
            </w:r>
          </w:p>
        </w:tc>
      </w:tr>
      <w:tr>
        <w:trPr>
          <w:trHeight w:val="171"/>
        </w:trPr>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249,802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133,805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382,340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5"/>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2"/>
        </w:trPr>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31"/>
        </w:trPr>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9,526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333,823</w:t>
            </w:r>
          </w:p>
        </w:tc>
        <w:tc>
          <w:tcPr>
            <w:tcW w:w="12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343,349</w:t>
            </w:r>
          </w:p>
        </w:tc>
      </w:tr>
      <w:tr>
        <w:trPr>
          <w:trHeight w:val="174"/>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78,376</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30,608</w:t>
            </w:r>
          </w:p>
        </w:tc>
      </w:tr>
      <w:tr>
        <w:trPr>
          <w:trHeight w:val="170"/>
        </w:trPr>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9,526</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442,807</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452,333</w:t>
            </w:r>
          </w:p>
        </w:tc>
      </w:tr>
      <w:tr>
        <w:trPr>
          <w:trHeight w:val="415"/>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2,054,774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57,814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2,110,302</w:t>
            </w:r>
          </w:p>
        </w:tc>
      </w:tr>
      <w:tr>
        <w:trPr>
          <w:trHeight w:val="259"/>
        </w:trPr>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66"/>
        </w:trPr>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2,064,300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2,562,635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3"/>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2,064,300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444,683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2,506,697</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55,938</w:t>
            </w:r>
          </w:p>
        </w:tc>
      </w:tr>
      <w:tr>
        <w:trPr>
          <w:trHeight w:val="171"/>
        </w:trPr>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2,064,300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500,621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2,562,635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70"/>
        </w:trPr>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2"/>
        </w:trPr>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31"/>
        </w:trPr>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17,213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259,846</w:t>
            </w:r>
          </w:p>
        </w:tc>
        <w:tc>
          <w:tcPr>
            <w:tcW w:w="120" w:type="dxa"/>
            <w:vAlign w:val="bottom"/>
          </w:tcPr>
          <w:p>
            <w:pPr>
              <w:spacing w:after="0"/>
              <w:rPr>
                <w:sz w:val="24"/>
                <w:szCs w:val="24"/>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277,059</w:t>
            </w:r>
          </w:p>
        </w:tc>
      </w:tr>
      <w:tr>
        <w:trPr>
          <w:trHeight w:val="174"/>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58,369</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24,466</w:t>
            </w:r>
          </w:p>
        </w:tc>
      </w:tr>
      <w:tr>
        <w:trPr>
          <w:trHeight w:val="170"/>
        </w:trPr>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17,213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342,681</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359,894</w:t>
            </w:r>
          </w:p>
        </w:tc>
      </w:tr>
      <w:tr>
        <w:trPr>
          <w:trHeight w:val="415"/>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744,863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757,979</w:t>
            </w:r>
          </w:p>
        </w:tc>
      </w:tr>
      <w:tr>
        <w:trPr>
          <w:trHeight w:val="259"/>
        </w:trPr>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66"/>
        </w:trPr>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762,076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1,117,873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53"/>
        </w:trPr>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762,076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311,772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1,071,320</w:t>
            </w:r>
          </w:p>
        </w:tc>
      </w:tr>
      <w:tr>
        <w:trPr>
          <w:trHeight w:val="179"/>
        </w:trPr>
        <w:tc>
          <w:tcPr>
            <w:tcW w:w="16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46,553</w:t>
            </w:r>
          </w:p>
        </w:tc>
      </w:tr>
      <w:tr>
        <w:trPr>
          <w:trHeight w:val="171"/>
        </w:trPr>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762,076</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358,325</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1,117,873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-2625725</wp:posOffset>
            </wp:positionH>
            <wp:positionV relativeFrom="paragraph">
              <wp:posOffset>-6052185</wp:posOffset>
            </wp:positionV>
            <wp:extent cx="6282055" cy="110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-5830570</wp:posOffset>
            </wp:positionV>
            <wp:extent cx="6282055" cy="1104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-5601335</wp:posOffset>
            </wp:positionV>
            <wp:extent cx="6282055" cy="158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82055" cy="1581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-5332730</wp:posOffset>
            </wp:positionV>
            <wp:extent cx="6282055" cy="158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82055" cy="1581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-5040630</wp:posOffset>
            </wp:positionV>
            <wp:extent cx="6282055" cy="158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82055" cy="15811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-4772025</wp:posOffset>
            </wp:positionV>
            <wp:extent cx="6282055" cy="110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-4550410</wp:posOffset>
            </wp:positionV>
            <wp:extent cx="6282055"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82055" cy="1346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-3863340</wp:posOffset>
            </wp:positionV>
            <wp:extent cx="6282055" cy="110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-3641725</wp:posOffset>
            </wp:positionV>
            <wp:extent cx="6282055" cy="118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82055" cy="11874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-3365500</wp:posOffset>
            </wp:positionV>
            <wp:extent cx="6282055" cy="110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-3096895</wp:posOffset>
            </wp:positionV>
            <wp:extent cx="6282055"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82055" cy="1346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-2804160</wp:posOffset>
            </wp:positionV>
            <wp:extent cx="6282055" cy="1104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-2583180</wp:posOffset>
            </wp:positionV>
            <wp:extent cx="6282055" cy="1104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-4092575</wp:posOffset>
            </wp:positionV>
            <wp:extent cx="6282055" cy="118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2055" cy="11874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-1539875</wp:posOffset>
            </wp:positionV>
            <wp:extent cx="6282055" cy="1104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-1318895</wp:posOffset>
            </wp:positionV>
            <wp:extent cx="6282055" cy="1187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82055" cy="11874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-1042670</wp:posOffset>
            </wp:positionV>
            <wp:extent cx="6282055" cy="1104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-773430</wp:posOffset>
            </wp:positionV>
            <wp:extent cx="6282055"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82055" cy="13462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-481330</wp:posOffset>
            </wp:positionV>
            <wp:extent cx="6282055" cy="1104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-260350</wp:posOffset>
            </wp:positionV>
            <wp:extent cx="6282055" cy="1104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82055" cy="110490"/>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-1769110</wp:posOffset>
            </wp:positionV>
            <wp:extent cx="6282055" cy="118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82055" cy="1187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76200</wp:posOffset>
            </wp:positionV>
            <wp:extent cx="714311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2">
            <w:col w:w="4100" w:space="720"/>
            <w:col w:w="5760"/>
          </w:cols>
          <w:pgMar w:left="320" w:top="123" w:right="99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30" w:lineRule="exact"/>
        <w:rPr>
          <w:sz w:val="20"/>
          <w:szCs w:val="20"/>
          <w:color w:val="auto"/>
        </w:rPr>
      </w:pPr>
    </w:p>
    <w:p>
      <w:pPr>
        <w:ind w:right="320" w:firstLine="597"/>
        <w:spacing w:after="0" w:line="269" w:lineRule="auto"/>
        <w:rPr>
          <w:sz w:val="20"/>
          <w:szCs w:val="20"/>
          <w:color w:val="auto"/>
        </w:rPr>
      </w:pPr>
      <w:r>
        <w:rPr>
          <w:rFonts w:ascii="Times New Roman" w:cs="Times New Roman" w:eastAsia="Times New Roman" w:hAnsi="Times New Roman"/>
          <w:sz w:val="17"/>
          <w:szCs w:val="17"/>
          <w:color w:val="auto"/>
        </w:rPr>
        <w:t>As of September 30, 2020, the aggregate amount of the transaction price allocated to the performance obligations relating to technology services, workflow technology, and analytics revenues that are unsatisfied (or partially unsatisfied) was not material.</w:t>
      </w:r>
    </w:p>
    <w:p>
      <w:pPr>
        <w:spacing w:after="0" w:line="184" w:lineRule="exact"/>
        <w:rPr>
          <w:sz w:val="20"/>
          <w:szCs w:val="20"/>
          <w:color w:val="auto"/>
        </w:rPr>
      </w:pPr>
    </w:p>
    <w:p>
      <w:pPr>
        <w:ind w:right="220" w:firstLine="597"/>
        <w:spacing w:after="0" w:line="269" w:lineRule="auto"/>
        <w:rPr>
          <w:sz w:val="20"/>
          <w:szCs w:val="20"/>
          <w:color w:val="auto"/>
        </w:rPr>
      </w:pPr>
      <w:r>
        <w:rPr>
          <w:rFonts w:ascii="Times New Roman" w:cs="Times New Roman" w:eastAsia="Times New Roman" w:hAnsi="Times New Roman"/>
          <w:sz w:val="17"/>
          <w:szCs w:val="17"/>
          <w:color w:val="auto"/>
        </w:rPr>
        <w:t>The Company recognized $0.6 million and $0.3 million of revenue related to performance obligations satisfied in previous period for the three months ended September 30, 2020 and 2019,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30" w:lineRule="exact"/>
        <w:rPr>
          <w:sz w:val="20"/>
          <w:szCs w:val="20"/>
          <w:color w:val="auto"/>
        </w:rPr>
      </w:pPr>
    </w:p>
    <w:p>
      <w:pPr>
        <w:jc w:val="both"/>
        <w:ind w:right="80" w:firstLine="597"/>
        <w:spacing w:after="0" w:line="25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6" w:lineRule="exact"/>
        <w:rPr>
          <w:sz w:val="20"/>
          <w:szCs w:val="20"/>
          <w:color w:val="auto"/>
        </w:rPr>
      </w:pPr>
    </w:p>
    <w:p>
      <w:pPr>
        <w:jc w:val="both"/>
        <w:ind w:right="80" w:firstLine="597"/>
        <w:spacing w:after="0" w:line="269"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$54.0 million and $53.6 million as of September 30, 2020 and December 31, 2019, respectively. The Company did not identify any contract assets. There were no impairment losses on receivables as of September 30, 2020.</w:t>
      </w:r>
    </w:p>
    <w:p>
      <w:pPr>
        <w:spacing w:after="0" w:line="184" w:lineRule="exact"/>
        <w:rPr>
          <w:sz w:val="20"/>
          <w:szCs w:val="20"/>
          <w:color w:val="auto"/>
        </w:rPr>
      </w:pPr>
    </w:p>
    <w:p>
      <w:pPr>
        <w:jc w:val="both"/>
        <w:ind w:right="20" w:firstLine="597"/>
        <w:spacing w:after="0" w:line="252"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$7.6 million and $8.6 million as of September 30, 2020 and December 31, 2019, respectively. The Company recognized revenue of $8.6 million and $8.1 million for the three months ended September 30, 2020 and 2019, respectively, and $23.6 million and $23.1 million for the nine months ended September 30, 2020 and 2019, respectively that had been initially recorded as deferred revenue.</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nine months ended September 30, 2020 and 2019,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provisions for (benefits from) income taxes and effective tax rates were $52.8 million, 20.9%, and $(0.6) million, and 9.9% for the three months ended September 30, 2020 and 2019, respectively, and $200.0 million, 17.8%, and $(14.3) million, and 16.0%, for the nine months ended September 30, 2020 and 2019, respectively. Income tax expense is also affected by the differing effective tax rates in foreign, state and local jurisdictions where certain of the Company’s subsidiaries are subject to corporate taxation.</w:t>
      </w:r>
    </w:p>
    <w:p>
      <w:pPr>
        <w:spacing w:after="0" w:line="207" w:lineRule="exact"/>
        <w:rPr>
          <w:sz w:val="20"/>
          <w:szCs w:val="20"/>
          <w:color w:val="auto"/>
        </w:rPr>
      </w:pPr>
    </w:p>
    <w:p>
      <w:pPr>
        <w:ind w:right="20" w:firstLine="597"/>
        <w:spacing w:after="0" w:line="249"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September 30, 2020 and December 31, 2019 were current income tax receivables of $99.8 million and $39.3 million, respectively. The balances at September 30, 2020 and December 31, 2019 primarily comprised income tax benefits due to the Company from federal, state, local, and foreign tax jurisdictions based on income before taxes. Included in Accounts payable, accrued expenses and other liabilities on the Condensed Consolidated Statements of Financial Condition at September 30, 2020 and December 31, 2019 were current tax liabilities of $33.8 million and $11.5 million, respectively. The balances at September 30, 2020 and December 31, 2019 primarily comprised income taxes owed to federal, state and local, and foreign tax jurisdictions based on income before taxes.</w:t>
      </w:r>
    </w:p>
    <w:p>
      <w:pPr>
        <w:spacing w:after="0" w:line="202" w:lineRule="exact"/>
        <w:rPr>
          <w:sz w:val="20"/>
          <w:szCs w:val="20"/>
          <w:color w:val="auto"/>
        </w:rPr>
      </w:pPr>
    </w:p>
    <w:p>
      <w:pPr>
        <w:ind w:firstLine="597"/>
        <w:spacing w:after="0" w:line="280" w:lineRule="auto"/>
        <w:rPr>
          <w:sz w:val="20"/>
          <w:szCs w:val="20"/>
          <w:color w:val="auto"/>
        </w:rPr>
      </w:pPr>
      <w:r>
        <w:rPr>
          <w:rFonts w:ascii="Times New Roman" w:cs="Times New Roman" w:eastAsia="Times New Roman" w:hAnsi="Times New Roman"/>
          <w:sz w:val="16"/>
          <w:szCs w:val="16"/>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77" w:lineRule="exact"/>
        <w:rPr>
          <w:sz w:val="20"/>
          <w:szCs w:val="20"/>
          <w:color w:val="auto"/>
        </w:rPr>
      </w:pPr>
    </w:p>
    <w:p>
      <w:pPr>
        <w:ind w:right="560" w:firstLine="597"/>
        <w:spacing w:after="0" w:line="269"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7"/>
          <w:szCs w:val="17"/>
          <w:color w:val="auto"/>
        </w:rPr>
        <w:t>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September 30, 2020 and December 31, 2019, the Company had U.S. federal net operating loss carryforwards of $0.0 million and $91.3 million, respectively, and has recorded a deferred tax asset related to these federal net operating carryforwards of $0.0 million and $19.2 million, respectively. The Company did not record a valuation allowance against this deferred tax asset. At September 30, 2020, the Company recorded deferred income taxes related to state and local net operating losses of $3.7 million. These net operating losses will begin to expire in 2031. The Company did not record a valuation allowance against this deferred tax asset.</w:t>
      </w:r>
    </w:p>
    <w:p>
      <w:pPr>
        <w:spacing w:after="0" w:line="202"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color w:val="auto"/>
        </w:rPr>
        <w:t>As a result of the ITG Acquisition, the Company had non-U.S. net operating losses at September 30, 2020 and December 31, 2019 of $75.9 million and $86.3 million, respectively, and recorded a related deferred tax asset of $15.5 million and $17.9 million, respectively. A valuation allowance of $15.2 million and $15.6 million was recorded against this deferred tax asset at September 30, 2020 and December 31, 2019, respectively, as it is more likely than not that a portion of this deferred tax asset will not be realized. As a result of the Acquisition of KCG, the Company had non-U.S. net operating losses at September 30, 2020 and December 31, 2019 of $239.0 million and $239.0 million, respectively, and recorded a related deferred tax asset of $44.9 million and $44.9 million, respectively. A full valuation allowance was also recorded against this deferred tax asset at September 30, 2020 and December 31, 2019 as it is more likely than not that this deferred tax asset will not be realized.</w:t>
      </w:r>
    </w:p>
    <w:p>
      <w:pPr>
        <w:spacing w:after="0" w:line="204" w:lineRule="exact"/>
        <w:rPr>
          <w:sz w:val="20"/>
          <w:szCs w:val="20"/>
          <w:color w:val="auto"/>
        </w:rPr>
      </w:pPr>
    </w:p>
    <w:p>
      <w:pPr>
        <w:ind w:right="120" w:firstLine="597"/>
        <w:spacing w:after="0" w:line="269" w:lineRule="auto"/>
        <w:rPr>
          <w:sz w:val="20"/>
          <w:szCs w:val="20"/>
          <w:color w:val="auto"/>
        </w:rPr>
      </w:pPr>
      <w:r>
        <w:rPr>
          <w:rFonts w:ascii="Times New Roman" w:cs="Times New Roman" w:eastAsia="Times New Roman" w:hAnsi="Times New Roman"/>
          <w:sz w:val="17"/>
          <w:szCs w:val="17"/>
          <w:color w:val="auto"/>
        </w:rPr>
        <w:t>No valuation allowance against the remaining deferred taxes was recorded as of September 30, 2020 and December 31, 2019 because it is more likely than not that these deferred tax assets will be fully realized.</w:t>
      </w:r>
    </w:p>
    <w:p>
      <w:pPr>
        <w:spacing w:after="0" w:line="184" w:lineRule="exact"/>
        <w:rPr>
          <w:sz w:val="20"/>
          <w:szCs w:val="20"/>
          <w:color w:val="auto"/>
        </w:rPr>
      </w:pPr>
    </w:p>
    <w:p>
      <w:pPr>
        <w:ind w:right="120" w:firstLine="597"/>
        <w:spacing w:after="0" w:line="250"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September 30, 2020, the Company’s tax years for 2013 through 2019 and 2010 through 2019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2019.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201" w:lineRule="exact"/>
        <w:rPr>
          <w:sz w:val="20"/>
          <w:szCs w:val="20"/>
          <w:color w:val="auto"/>
        </w:rPr>
      </w:pPr>
    </w:p>
    <w:p>
      <w:pPr>
        <w:jc w:val="both"/>
        <w:ind w:right="120" w:firstLine="597"/>
        <w:spacing w:after="0" w:line="25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 of Comprehensive Income, respectively.</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 had $9.1 million of unrecognized tax benefits as of September 30, 2020, all of which would affect the Company’s effective tax rate if recognized.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determined that there are no uncertain tax positions that would have a material impact on the Company’s financial position as of September 30, 2020.</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Contingencies and Guarantees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32"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2" w:lineRule="exact"/>
        <w:rPr>
          <w:sz w:val="20"/>
          <w:szCs w:val="20"/>
          <w:color w:val="auto"/>
        </w:rPr>
      </w:pPr>
    </w:p>
    <w:p>
      <w:pPr>
        <w:ind w:right="80" w:firstLine="597"/>
        <w:spacing w:after="0" w:line="246" w:lineRule="auto"/>
        <w:rPr>
          <w:sz w:val="20"/>
          <w:szCs w:val="20"/>
          <w:color w:val="auto"/>
        </w:rPr>
      </w:pPr>
      <w:r>
        <w:rPr>
          <w:rFonts w:ascii="Times New Roman" w:cs="Times New Roman" w:eastAsia="Times New Roman" w:hAnsi="Times New Roman"/>
          <w:sz w:val="17"/>
          <w:szCs w:val="17"/>
          <w:color w:val="auto"/>
        </w:rPr>
        <w:t xml:space="preserve">On January 29, 2019, the Company was named as a defendant in </w:t>
      </w:r>
      <w:r>
        <w:rPr>
          <w:rFonts w:ascii="Times New Roman" w:cs="Times New Roman" w:eastAsia="Times New Roman" w:hAnsi="Times New Roman"/>
          <w:sz w:val="17"/>
          <w:szCs w:val="17"/>
          <w:i w:val="1"/>
          <w:iCs w:val="1"/>
          <w:color w:val="auto"/>
        </w:rPr>
        <w:t>Ford v. ProShares Trust II, et al.</w:t>
      </w:r>
      <w:r>
        <w:rPr>
          <w:rFonts w:ascii="Times New Roman" w:cs="Times New Roman" w:eastAsia="Times New Roman" w:hAnsi="Times New Roman"/>
          <w:sz w:val="17"/>
          <w:szCs w:val="17"/>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a ProShares inverse-volatility ETF. Additionally, on February 27, 2019, and March 1, 2019, the Company was named as a defendant in </w:t>
      </w:r>
      <w:r>
        <w:rPr>
          <w:rFonts w:ascii="Times New Roman" w:cs="Times New Roman" w:eastAsia="Times New Roman" w:hAnsi="Times New Roman"/>
          <w:sz w:val="17"/>
          <w:szCs w:val="17"/>
          <w:i w:val="1"/>
          <w:iCs w:val="1"/>
          <w:color w:val="auto"/>
        </w:rPr>
        <w:t>Bittner v. ProShares Trust II, et al.</w:t>
      </w:r>
      <w:r>
        <w:rPr>
          <w:rFonts w:ascii="Times New Roman" w:cs="Times New Roman" w:eastAsia="Times New Roman" w:hAnsi="Times New Roman"/>
          <w:sz w:val="17"/>
          <w:szCs w:val="17"/>
          <w:color w:val="auto"/>
        </w:rPr>
        <w:t>, No. 19-cv-1840, and</w:t>
      </w:r>
      <w:r>
        <w:rPr>
          <w:rFonts w:ascii="Times New Roman" w:cs="Times New Roman" w:eastAsia="Times New Roman" w:hAnsi="Times New Roman"/>
          <w:sz w:val="17"/>
          <w:szCs w:val="17"/>
          <w:i w:val="1"/>
          <w:iCs w:val="1"/>
          <w:color w:val="auto"/>
        </w:rPr>
        <w:t xml:space="preserve"> Mareno v. ProShares Trust II, et al</w:t>
      </w:r>
      <w:r>
        <w:rPr>
          <w:rFonts w:ascii="Times New Roman" w:cs="Times New Roman" w:eastAsia="Times New Roman" w:hAnsi="Times New Roman"/>
          <w:sz w:val="17"/>
          <w:szCs w:val="17"/>
          <w:color w:val="auto"/>
        </w:rPr>
        <w:t>., No. 19-cv-1955, respectively. The complaints were filed in federal district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court in New York on behalf of putative classes, and asserted substantially similar claims against the Company and other financial institutions. On April 29, 2019, these three actions were consolidated in federal district court in New York as </w:t>
      </w:r>
      <w:r>
        <w:rPr>
          <w:rFonts w:ascii="Times New Roman" w:cs="Times New Roman" w:eastAsia="Times New Roman" w:hAnsi="Times New Roman"/>
          <w:sz w:val="17"/>
          <w:szCs w:val="17"/>
          <w:i w:val="1"/>
          <w:iCs w:val="1"/>
          <w:color w:val="auto"/>
        </w:rPr>
        <w:t>In re ProShares Trust II Securities Litigation</w:t>
      </w:r>
      <w:r>
        <w:rPr>
          <w:rFonts w:ascii="Times New Roman" w:cs="Times New Roman" w:eastAsia="Times New Roman" w:hAnsi="Times New Roman"/>
          <w:sz w:val="17"/>
          <w:szCs w:val="17"/>
          <w:color w:val="auto"/>
        </w:rPr>
        <w:t>, No. 19-cv-886-DLC. A consolidated amended complaint, which did not specify the amount of alleged damages, was filed in the consolidated action on June 21, 2019. Defendants moved to dismiss the consolidated amended complaint on August 2, 2019. In response, plaintiffs filed a consolidated second amended complaint on September 6, 2019, which also did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and an opening brief on May 14, 2020. The defendants' response brief was filed August 13, 2020 and the plaintiffs' reply was filed September 17, 2020. The Company believes that the claims are without merit and is defending itself vigorously.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32"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94" w:lineRule="exact"/>
        <w:rPr>
          <w:sz w:val="20"/>
          <w:szCs w:val="20"/>
          <w:color w:val="auto"/>
        </w:rPr>
      </w:pPr>
    </w:p>
    <w:p>
      <w:pPr>
        <w:ind w:right="160" w:firstLine="597"/>
        <w:spacing w:after="0" w:line="249" w:lineRule="auto"/>
        <w:rPr>
          <w:sz w:val="20"/>
          <w:szCs w:val="20"/>
          <w:color w:val="auto"/>
        </w:rPr>
      </w:pPr>
      <w:r>
        <w:rPr>
          <w:rFonts w:ascii="Times New Roman" w:cs="Times New Roman" w:eastAsia="Times New Roman" w:hAnsi="Times New Roman"/>
          <w:sz w:val="17"/>
          <w:szCs w:val="17"/>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further reduced to €3.0 million (approximately $3.4 million). The Company has fully reserved for the monetary penalty as of September 30,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32" w:lineRule="exact"/>
        <w:rPr>
          <w:sz w:val="20"/>
          <w:szCs w:val="20"/>
          <w:color w:val="auto"/>
        </w:rPr>
      </w:pPr>
    </w:p>
    <w:p>
      <w:pPr>
        <w:ind w:right="20" w:firstLine="597"/>
        <w:spacing w:after="0" w:line="249"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202" w:lineRule="exact"/>
        <w:rPr>
          <w:sz w:val="20"/>
          <w:szCs w:val="20"/>
          <w:color w:val="auto"/>
        </w:rPr>
      </w:pPr>
    </w:p>
    <w:p>
      <w:pPr>
        <w:ind w:right="300" w:firstLine="597"/>
        <w:spacing w:after="0" w:line="269"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Leases</w:t>
      </w:r>
    </w:p>
    <w:p>
      <w:pPr>
        <w:spacing w:after="0" w:line="232"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The Company adopted ASU 2016-02 on January 1, 2019, and elected the modified retrospective method of implementation. The standard requires the recognition of right-of-use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 term of 12 months or less to be excluded from recognition on the Condensed Consolidated Statement of Financial Condition and for which lease expense is recognized on a straight-line basis over the lease term.</w:t>
      </w:r>
    </w:p>
    <w:p>
      <w:pPr>
        <w:spacing w:after="0" w:line="201"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Topic 842 primarily affected the accounting treatment for operating lease agreements in which the Company is the lessee. These leases are primarily for corporate office space, datacenters, and technology equipment. The leases have remaining terms of 1 year to 15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204" w:lineRule="exact"/>
        <w:rPr>
          <w:sz w:val="20"/>
          <w:szCs w:val="20"/>
          <w:color w:val="auto"/>
        </w:rPr>
      </w:pPr>
    </w:p>
    <w:p>
      <w:pPr>
        <w:ind w:right="160" w:firstLine="597"/>
        <w:spacing w:after="0" w:line="256" w:lineRule="auto"/>
        <w:rPr>
          <w:sz w:val="20"/>
          <w:szCs w:val="20"/>
          <w:color w:val="auto"/>
        </w:rPr>
      </w:pPr>
      <w:r>
        <w:rPr>
          <w:rFonts w:ascii="Times New Roman" w:cs="Times New Roman" w:eastAsia="Times New Roman" w:hAnsi="Times New Roman"/>
          <w:sz w:val="17"/>
          <w:szCs w:val="17"/>
          <w:color w:val="auto"/>
        </w:rPr>
        <w:t>The Company also subleases certain office space and facilities to third parties. The subleases have remaining terms of 1 to 12 years. The Company recognizes amounts received from subleases on a straight-line basis over the term of the sublease within Operations and administrative expense on the Condensed Consolidated Statement of Comprehensive Income.</w:t>
      </w:r>
    </w:p>
    <w:p>
      <w:pPr>
        <w:spacing w:after="0" w:line="196" w:lineRule="exact"/>
        <w:rPr>
          <w:sz w:val="20"/>
          <w:szCs w:val="20"/>
          <w:color w:val="auto"/>
        </w:rPr>
      </w:pPr>
    </w:p>
    <w:p>
      <w:pPr>
        <w:ind w:right="420" w:firstLine="597"/>
        <w:spacing w:after="0" w:line="269" w:lineRule="auto"/>
        <w:rPr>
          <w:sz w:val="20"/>
          <w:szCs w:val="20"/>
          <w:color w:val="auto"/>
        </w:rPr>
      </w:pPr>
      <w:r>
        <w:rPr>
          <w:rFonts w:ascii="Times New Roman" w:cs="Times New Roman" w:eastAsia="Times New Roman" w:hAnsi="Times New Roman"/>
          <w:sz w:val="17"/>
          <w:szCs w:val="17"/>
          <w:color w:val="auto"/>
        </w:rPr>
        <w:t>As the implied discount rate for most of the Company's leases is not readily determinable, the Company uses its incremental borrowing rate on its secured borrowings in determining the present value of lease payments.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420" w:type="dxa"/>
            <w:vAlign w:val="bottom"/>
            <w:gridSpan w:val="2"/>
          </w:tcPr>
          <w:p>
            <w:pPr>
              <w:ind w:left="1320"/>
              <w:spacing w:after="0"/>
              <w:rPr>
                <w:sz w:val="20"/>
                <w:szCs w:val="20"/>
                <w:color w:val="auto"/>
              </w:rPr>
            </w:pPr>
            <w:r>
              <w:rPr>
                <w:rFonts w:ascii="Times New Roman" w:cs="Times New Roman" w:eastAsia="Times New Roman" w:hAnsi="Times New Roman"/>
                <w:sz w:val="13"/>
                <w:szCs w:val="13"/>
                <w:b w:val="1"/>
                <w:bCs w:val="1"/>
                <w:color w:val="auto"/>
              </w:rPr>
              <w:t>Financial Statement Location</w:t>
            </w:r>
          </w:p>
        </w:tc>
        <w:tc>
          <w:tcPr>
            <w:tcW w:w="220" w:type="dxa"/>
            <w:vAlign w:val="bottom"/>
          </w:tcPr>
          <w:p>
            <w:pPr>
              <w:spacing w:after="0"/>
              <w:rPr>
                <w:sz w:val="15"/>
                <w:szCs w:val="15"/>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240" w:type="dxa"/>
            <w:vAlign w:val="bottom"/>
          </w:tcPr>
          <w:p>
            <w:pPr>
              <w:spacing w:after="0"/>
              <w:rPr>
                <w:sz w:val="15"/>
                <w:szCs w:val="15"/>
                <w:color w:val="auto"/>
              </w:rPr>
            </w:pPr>
          </w:p>
        </w:tc>
        <w:tc>
          <w:tcPr>
            <w:tcW w:w="162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2"/>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leases</w:t>
            </w:r>
          </w:p>
        </w:tc>
        <w:tc>
          <w:tcPr>
            <w:tcW w:w="100" w:type="dxa"/>
            <w:vAlign w:val="bottom"/>
            <w:tcBorders>
              <w:top w:val="single" w:sz="8" w:color="CCEEFF"/>
            </w:tcBorders>
            <w:shd w:val="clear" w:color="auto" w:fill="CCEEFF"/>
          </w:tcPr>
          <w:p>
            <w:pPr>
              <w:spacing w:after="0"/>
              <w:rPr>
                <w:sz w:val="14"/>
                <w:szCs w:val="14"/>
                <w:color w:val="auto"/>
              </w:rPr>
            </w:pPr>
          </w:p>
        </w:tc>
        <w:tc>
          <w:tcPr>
            <w:tcW w:w="4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r>
      <w:tr>
        <w:trPr>
          <w:trHeight w:val="17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287,069</w:t>
            </w:r>
          </w:p>
        </w:tc>
        <w:tc>
          <w:tcPr>
            <w:tcW w:w="100" w:type="dxa"/>
            <w:vAlign w:val="bottom"/>
          </w:tcPr>
          <w:p>
            <w:pPr>
              <w:spacing w:after="0"/>
              <w:rPr>
                <w:sz w:val="15"/>
                <w:szCs w:val="15"/>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314,526</w:t>
            </w:r>
          </w:p>
        </w:tc>
      </w:tr>
      <w:tr>
        <w:trPr>
          <w:trHeight w:val="175"/>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330,626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365,364</w:t>
            </w:r>
          </w:p>
        </w:tc>
      </w:tr>
      <w:tr>
        <w:trPr>
          <w:trHeight w:val="249"/>
        </w:trPr>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74"/>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leases</w:t>
            </w:r>
          </w:p>
        </w:tc>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7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Property and equipment, at cost</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Property, equipment, and capitalized software, net</w:t>
            </w:r>
          </w:p>
        </w:tc>
        <w:tc>
          <w:tcPr>
            <w:tcW w:w="2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37,589</w:t>
            </w:r>
          </w:p>
        </w:tc>
      </w:tr>
      <w:tr>
        <w:trPr>
          <w:trHeight w:val="175"/>
        </w:trPr>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equipment, and capitalized software, net</w:t>
            </w:r>
          </w:p>
        </w:tc>
        <w:tc>
          <w:tcPr>
            <w:tcW w:w="2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(21,888)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(24,579)</w:t>
            </w:r>
          </w:p>
        </w:tc>
      </w:tr>
      <w:tr>
        <w:trPr>
          <w:trHeight w:val="172"/>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2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13,371</w:t>
            </w:r>
          </w:p>
        </w:tc>
      </w:tr>
    </w:tbl>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59"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300" w:type="dxa"/>
            <w:vAlign w:val="bottom"/>
          </w:tcPr>
          <w:p>
            <w:pPr>
              <w:spacing w:after="0"/>
              <w:rPr>
                <w:sz w:val="15"/>
                <w:szCs w:val="15"/>
                <w:color w:val="auto"/>
              </w:rPr>
            </w:pPr>
          </w:p>
        </w:tc>
        <w:tc>
          <w:tcPr>
            <w:tcW w:w="21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9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5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remaining lease term</w:t>
            </w:r>
          </w:p>
        </w:tc>
        <w:tc>
          <w:tcPr>
            <w:tcW w:w="1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r>
      <w:tr>
        <w:trPr>
          <w:trHeight w:val="173"/>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7.01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 years</w:t>
            </w:r>
          </w:p>
        </w:tc>
      </w:tr>
      <w:tr>
        <w:trPr>
          <w:trHeight w:val="17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Finance leases</w:t>
            </w:r>
          </w:p>
        </w:tc>
        <w:tc>
          <w:tcPr>
            <w:tcW w:w="2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2.08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 years</w:t>
            </w:r>
          </w:p>
        </w:tc>
      </w:tr>
      <w:tr>
        <w:trPr>
          <w:trHeight w:val="173"/>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discount rate</w:t>
            </w: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5.67 %</w:t>
            </w:r>
          </w:p>
        </w:tc>
        <w:tc>
          <w:tcPr>
            <w:tcW w:w="1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5.70 %</w:t>
            </w:r>
          </w:p>
        </w:tc>
      </w:tr>
      <w:tr>
        <w:trPr>
          <w:trHeight w:val="172"/>
        </w:trPr>
        <w:tc>
          <w:tcPr>
            <w:tcW w:w="4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Finance leases</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3.17 %</w:t>
            </w:r>
          </w:p>
        </w:tc>
        <w:tc>
          <w:tcPr>
            <w:tcW w:w="1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components of lease expense were as follows:</w:t>
      </w: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8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00" w:type="dxa"/>
            <w:vAlign w:val="bottom"/>
          </w:tcPr>
          <w:p>
            <w:pPr>
              <w:spacing w:after="0"/>
              <w:rPr>
                <w:sz w:val="15"/>
                <w:szCs w:val="15"/>
                <w:color w:val="auto"/>
              </w:rPr>
            </w:pPr>
          </w:p>
        </w:tc>
        <w:tc>
          <w:tcPr>
            <w:tcW w:w="32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5"/>
                <w:szCs w:val="15"/>
                <w:color w:val="auto"/>
              </w:rPr>
            </w:pPr>
          </w:p>
        </w:tc>
      </w:tr>
      <w:tr>
        <w:trPr>
          <w:trHeight w:val="167"/>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3"/>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Fixed</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18,521</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18,637</w:t>
            </w:r>
          </w:p>
        </w:tc>
        <w:tc>
          <w:tcPr>
            <w:tcW w:w="100" w:type="dxa"/>
            <w:vAlign w:val="bottom"/>
          </w:tcPr>
          <w:p>
            <w:pPr>
              <w:spacing w:after="0"/>
              <w:rPr>
                <w:sz w:val="15"/>
                <w:szCs w:val="15"/>
                <w:color w:val="auto"/>
              </w:rPr>
            </w:pPr>
          </w:p>
        </w:tc>
        <w:tc>
          <w:tcPr>
            <w:tcW w:w="40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55,333</w:t>
            </w:r>
          </w:p>
        </w:tc>
        <w:tc>
          <w:tcPr>
            <w:tcW w:w="100" w:type="dxa"/>
            <w:vAlign w:val="bottom"/>
          </w:tcPr>
          <w:p>
            <w:pPr>
              <w:spacing w:after="0"/>
              <w:rPr>
                <w:sz w:val="15"/>
                <w:szCs w:val="15"/>
                <w:color w:val="auto"/>
              </w:rPr>
            </w:pPr>
          </w:p>
        </w:tc>
        <w:tc>
          <w:tcPr>
            <w:tcW w:w="40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52,722</w:t>
            </w:r>
          </w:p>
        </w:tc>
        <w:tc>
          <w:tcPr>
            <w:tcW w:w="100" w:type="dxa"/>
            <w:vAlign w:val="bottom"/>
          </w:tcPr>
          <w:p>
            <w:pPr>
              <w:spacing w:after="0"/>
              <w:rPr>
                <w:sz w:val="15"/>
                <w:szCs w:val="15"/>
                <w:color w:val="auto"/>
              </w:rPr>
            </w:pPr>
          </w:p>
        </w:tc>
      </w:tr>
      <w:tr>
        <w:trPr>
          <w:trHeight w:val="175"/>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Variable</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6,365</w:t>
            </w:r>
          </w:p>
        </w:tc>
        <w:tc>
          <w:tcPr>
            <w:tcW w:w="100" w:type="dxa"/>
            <w:vAlign w:val="bottom"/>
            <w:shd w:val="clear" w:color="auto" w:fill="CCEEFF"/>
          </w:tcPr>
          <w:p>
            <w:pPr>
              <w:spacing w:after="0"/>
              <w:rPr>
                <w:sz w:val="15"/>
                <w:szCs w:val="15"/>
                <w:color w:val="auto"/>
              </w:rPr>
            </w:pPr>
          </w:p>
        </w:tc>
      </w:tr>
      <w:tr>
        <w:trPr>
          <w:trHeight w:val="173"/>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Impairment of ROU Asset</w:t>
            </w:r>
          </w:p>
        </w:tc>
        <w:tc>
          <w:tcPr>
            <w:tcW w:w="3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27,042</w:t>
            </w:r>
          </w:p>
        </w:tc>
        <w:tc>
          <w:tcPr>
            <w:tcW w:w="100" w:type="dxa"/>
            <w:vAlign w:val="bottom"/>
          </w:tcPr>
          <w:p>
            <w:pPr>
              <w:spacing w:after="0"/>
              <w:rPr>
                <w:sz w:val="15"/>
                <w:szCs w:val="15"/>
                <w:color w:val="auto"/>
              </w:rPr>
            </w:pPr>
          </w:p>
        </w:tc>
      </w:tr>
      <w:tr>
        <w:trPr>
          <w:trHeight w:val="168"/>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Operating lease cost</w:t>
            </w:r>
          </w:p>
        </w:tc>
        <w:tc>
          <w:tcPr>
            <w:tcW w:w="3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20,914</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22,174</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61,947</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86,129</w:t>
            </w:r>
          </w:p>
        </w:tc>
        <w:tc>
          <w:tcPr>
            <w:tcW w:w="100" w:type="dxa"/>
            <w:vAlign w:val="bottom"/>
            <w:tcBorders>
              <w:top w:val="single" w:sz="8" w:color="CCEEFF"/>
            </w:tcBorders>
            <w:shd w:val="clear" w:color="auto" w:fill="CCEEFF"/>
          </w:tcPr>
          <w:p>
            <w:pPr>
              <w:spacing w:after="0"/>
              <w:rPr>
                <w:sz w:val="14"/>
                <w:szCs w:val="14"/>
                <w:color w:val="auto"/>
              </w:rPr>
            </w:pPr>
          </w:p>
        </w:tc>
      </w:tr>
      <w:tr>
        <w:trPr>
          <w:trHeight w:val="249"/>
        </w:trPr>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74"/>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4,399</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8,939</w:t>
            </w:r>
          </w:p>
        </w:tc>
        <w:tc>
          <w:tcPr>
            <w:tcW w:w="100" w:type="dxa"/>
            <w:vAlign w:val="bottom"/>
            <w:shd w:val="clear" w:color="auto" w:fill="CCEEFF"/>
          </w:tcPr>
          <w:p>
            <w:pPr>
              <w:spacing w:after="0"/>
              <w:rPr>
                <w:sz w:val="15"/>
                <w:szCs w:val="15"/>
                <w:color w:val="auto"/>
              </w:rPr>
            </w:pPr>
          </w:p>
        </w:tc>
      </w:tr>
      <w:tr>
        <w:trPr>
          <w:trHeight w:val="199"/>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4"/>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cost:</w:t>
            </w: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3"/>
        </w:trPr>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9,329</w:t>
            </w:r>
          </w:p>
        </w:tc>
        <w:tc>
          <w:tcPr>
            <w:tcW w:w="100" w:type="dxa"/>
            <w:vAlign w:val="bottom"/>
          </w:tcPr>
          <w:p>
            <w:pPr>
              <w:spacing w:after="0"/>
              <w:rPr>
                <w:sz w:val="15"/>
                <w:szCs w:val="15"/>
                <w:color w:val="auto"/>
              </w:rPr>
            </w:pPr>
          </w:p>
        </w:tc>
      </w:tr>
      <w:tr>
        <w:trPr>
          <w:trHeight w:val="175"/>
        </w:trPr>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15"/>
                <w:szCs w:val="15"/>
                <w:color w:val="auto"/>
              </w:rPr>
            </w:pPr>
          </w:p>
        </w:tc>
      </w:tr>
      <w:tr>
        <w:trPr>
          <w:trHeight w:val="16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Finance lease cost</w:t>
            </w: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9,854</w:t>
            </w:r>
          </w:p>
        </w:tc>
        <w:tc>
          <w:tcPr>
            <w:tcW w:w="100" w:type="dxa"/>
            <w:vAlign w:val="bottom"/>
          </w:tcPr>
          <w:p>
            <w:pPr>
              <w:spacing w:after="0"/>
              <w:rPr>
                <w:sz w:val="14"/>
                <w:szCs w:val="14"/>
                <w:color w:val="auto"/>
              </w:rPr>
            </w:pPr>
          </w:p>
        </w:tc>
      </w:tr>
    </w:tbl>
    <w:p>
      <w:pPr>
        <w:spacing w:after="0" w:line="309" w:lineRule="exact"/>
        <w:rPr>
          <w:sz w:val="20"/>
          <w:szCs w:val="20"/>
          <w:color w:val="auto"/>
        </w:rPr>
      </w:pPr>
    </w:p>
    <w:p>
      <w:pPr>
        <w:jc w:val="both"/>
        <w:ind w:firstLine="597"/>
        <w:spacing w:after="0" w:line="249" w:lineRule="auto"/>
        <w:rPr>
          <w:sz w:val="20"/>
          <w:szCs w:val="20"/>
          <w:color w:val="auto"/>
        </w:rPr>
      </w:pPr>
      <w:r>
        <w:rPr>
          <w:rFonts w:ascii="Times New Roman" w:cs="Times New Roman" w:eastAsia="Times New Roman" w:hAnsi="Times New Roman"/>
          <w:sz w:val="17"/>
          <w:szCs w:val="17"/>
          <w:color w:val="auto"/>
        </w:rPr>
        <w:t>During the nine months ended September 30, 2019, the Company ceased use of certain office lease premises as part of its ongoing effort to consolidate office space. For the three months ended September 30, 2019, the Company recognized $1.3 million in Termination of office leases on the condensed consolidated statement of comprehensive income related to these premises, comprised entirely of impairment of ROU assets. For the nine months ended September 30, 2019, the Company recognized $66.5 million in Termination of office leases on the Condensed Consolidated Statement of Comprehensive Income related to these premises, comprising $27.0 million of impairments of ROU assets, $37.9 million of write-offs of leasehold improvements and fixed assets, and $1.5 million of dilapidation charges. There was no impairment of ROU assets during the three and nine months ended September 30, 2020.</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September 30, 2020, are as follows:</w:t>
      </w:r>
    </w:p>
    <w:p>
      <w:pPr>
        <w:spacing w:after="0" w:line="259" w:lineRule="exact"/>
        <w:rPr>
          <w:sz w:val="20"/>
          <w:szCs w:val="20"/>
          <w:color w:val="auto"/>
        </w:rPr>
      </w:pPr>
    </w:p>
    <w:tbl>
      <w:tblPr>
        <w:tblLayout w:type="fixed"/>
        <w:tblInd w:w="2580" w:type="dxa"/>
        <w:tblCellMar>
          <w:top w:w="0" w:type="dxa"/>
          <w:left w:w="0" w:type="dxa"/>
          <w:bottom w:w="0" w:type="dxa"/>
          <w:right w:w="0" w:type="dxa"/>
        </w:tblCellMar>
      </w:tblPr>
      <w:tr>
        <w:trPr>
          <w:trHeight w:val="17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220" w:type="dxa"/>
            <w:vAlign w:val="bottom"/>
          </w:tcPr>
          <w:p>
            <w:pPr>
              <w:spacing w:after="0"/>
              <w:rPr>
                <w:sz w:val="15"/>
                <w:szCs w:val="15"/>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Finance Leases</w:t>
            </w:r>
          </w:p>
        </w:tc>
      </w:tr>
      <w:tr>
        <w:trPr>
          <w:trHeight w:val="171"/>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19,414</w:t>
            </w:r>
          </w:p>
        </w:tc>
        <w:tc>
          <w:tcPr>
            <w:tcW w:w="120" w:type="dxa"/>
            <w:vAlign w:val="bottom"/>
          </w:tcPr>
          <w:p>
            <w:pPr>
              <w:spacing w:after="0"/>
              <w:rPr>
                <w:sz w:val="14"/>
                <w:szCs w:val="14"/>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3,040</w:t>
            </w: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74,907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6,774</w:t>
            </w:r>
          </w:p>
        </w:tc>
      </w:tr>
      <w:tr>
        <w:trPr>
          <w:trHeight w:val="17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68,629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4,035</w:t>
            </w: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1,438</w:t>
            </w:r>
          </w:p>
        </w:tc>
      </w:tr>
      <w:tr>
        <w:trPr>
          <w:trHeight w:val="17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 and thereafter</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lease payments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404,490</w:t>
            </w:r>
          </w:p>
        </w:tc>
        <w:tc>
          <w:tcPr>
            <w:tcW w:w="120" w:type="dxa"/>
            <w:vAlign w:val="bottom"/>
          </w:tcPr>
          <w:p>
            <w:pPr>
              <w:spacing w:after="0"/>
              <w:rPr>
                <w:sz w:val="14"/>
                <w:szCs w:val="1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15,287</w:t>
            </w:r>
          </w:p>
        </w:tc>
      </w:tr>
      <w:tr>
        <w:trPr>
          <w:trHeight w:val="17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imputed interest</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(73,864)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r>
      <w:tr>
        <w:trPr>
          <w:trHeight w:val="168"/>
        </w:trPr>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lease liability</w:t>
            </w: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330,626</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14,425</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December 31, 2019, are as follows:</w:t>
      </w:r>
    </w:p>
    <w:p>
      <w:pPr>
        <w:spacing w:after="0" w:line="259" w:lineRule="exact"/>
        <w:rPr>
          <w:sz w:val="20"/>
          <w:szCs w:val="20"/>
          <w:color w:val="auto"/>
        </w:rPr>
      </w:pPr>
    </w:p>
    <w:tbl>
      <w:tblPr>
        <w:tblLayout w:type="fixed"/>
        <w:tblInd w:w="2580" w:type="dxa"/>
        <w:tblCellMar>
          <w:top w:w="0" w:type="dxa"/>
          <w:left w:w="0" w:type="dxa"/>
          <w:bottom w:w="0" w:type="dxa"/>
          <w:right w:w="0" w:type="dxa"/>
        </w:tblCellMar>
      </w:tblPr>
      <w:tr>
        <w:trPr>
          <w:trHeight w:val="17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5"/>
                <w:szCs w:val="15"/>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Operating Leases</w:t>
            </w:r>
          </w:p>
        </w:tc>
        <w:tc>
          <w:tcPr>
            <w:tcW w:w="220" w:type="dxa"/>
            <w:vAlign w:val="bottom"/>
          </w:tcPr>
          <w:p>
            <w:pPr>
              <w:spacing w:after="0"/>
              <w:rPr>
                <w:sz w:val="15"/>
                <w:szCs w:val="15"/>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Finance Leases</w:t>
            </w:r>
          </w:p>
        </w:tc>
      </w:tr>
      <w:tr>
        <w:trPr>
          <w:trHeight w:val="171"/>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76,118</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10,929</w:t>
            </w: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3,305</w:t>
            </w:r>
          </w:p>
        </w:tc>
      </w:tr>
      <w:tr>
        <w:trPr>
          <w:trHeight w:val="17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565</w:t>
            </w:r>
          </w:p>
        </w:tc>
      </w:tr>
      <w:tr>
        <w:trPr>
          <w:trHeight w:val="17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73"/>
        </w:trPr>
        <w:tc>
          <w:tcPr>
            <w:tcW w:w="2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 and thereafter</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141,371</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lease payments</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453,221</w:t>
            </w:r>
          </w:p>
        </w:tc>
        <w:tc>
          <w:tcPr>
            <w:tcW w:w="120" w:type="dxa"/>
            <w:vAlign w:val="bottom"/>
          </w:tcPr>
          <w:p>
            <w:pPr>
              <w:spacing w:after="0"/>
              <w:rPr>
                <w:sz w:val="14"/>
                <w:szCs w:val="14"/>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14,799</w:t>
            </w:r>
          </w:p>
        </w:tc>
      </w:tr>
      <w:tr>
        <w:trPr>
          <w:trHeight w:val="17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Less imputed interest</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(87,857)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(1,428)</w:t>
            </w:r>
          </w:p>
        </w:tc>
      </w:tr>
      <w:tr>
        <w:trPr>
          <w:trHeight w:val="168"/>
        </w:trPr>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lease liability</w:t>
            </w: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365,364</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13,371</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Cash</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20" w:lineRule="exact"/>
        <w:rPr>
          <w:sz w:val="20"/>
          <w:szCs w:val="20"/>
          <w:color w:val="auto"/>
        </w:rPr>
      </w:pPr>
    </w:p>
    <w:p>
      <w:pPr>
        <w:ind w:right="720"/>
        <w:spacing w:after="0" w:line="248"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79"/>
        </w:trPr>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2020</w:t>
            </w:r>
          </w:p>
        </w:tc>
        <w:tc>
          <w:tcPr>
            <w:tcW w:w="140" w:type="dxa"/>
            <w:vAlign w:val="bottom"/>
          </w:tcPr>
          <w:p>
            <w:pPr>
              <w:spacing w:after="0"/>
              <w:rPr>
                <w:sz w:val="15"/>
                <w:szCs w:val="15"/>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December 31, 2019</w:t>
            </w:r>
          </w:p>
        </w:tc>
      </w:tr>
      <w:tr>
        <w:trPr>
          <w:trHeight w:val="172"/>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567,677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732,164</w:t>
            </w:r>
          </w:p>
        </w:tc>
      </w:tr>
      <w:tr>
        <w:trPr>
          <w:trHeight w:val="173"/>
        </w:trPr>
        <w:tc>
          <w:tcPr>
            <w:tcW w:w="6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Cash restricted or segregated under regulations and other</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98,285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41,116</w:t>
            </w:r>
          </w:p>
        </w:tc>
      </w:tr>
      <w:tr>
        <w:trPr>
          <w:trHeight w:val="193"/>
        </w:trPr>
        <w:tc>
          <w:tcPr>
            <w:tcW w:w="6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statement of cash flows</w:t>
            </w: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665,962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773,280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Capital Structure</w:t>
      </w:r>
    </w:p>
    <w:p>
      <w:pPr>
        <w:spacing w:after="0" w:line="232" w:lineRule="exact"/>
        <w:rPr>
          <w:sz w:val="20"/>
          <w:szCs w:val="20"/>
          <w:color w:val="auto"/>
        </w:rPr>
      </w:pPr>
    </w:p>
    <w:p>
      <w:pPr>
        <w:jc w:val="both"/>
        <w:ind w:right="40" w:firstLine="597"/>
        <w:spacing w:after="0" w:line="256"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96" w:lineRule="exact"/>
        <w:rPr>
          <w:sz w:val="20"/>
          <w:szCs w:val="20"/>
          <w:color w:val="auto"/>
        </w:rPr>
      </w:pPr>
    </w:p>
    <w:p>
      <w:pPr>
        <w:ind w:firstLine="597"/>
        <w:spacing w:after="0" w:line="270" w:lineRule="auto"/>
        <w:rPr>
          <w:sz w:val="20"/>
          <w:szCs w:val="20"/>
          <w:color w:val="auto"/>
        </w:rPr>
      </w:pPr>
      <w:r>
        <w:rPr>
          <w:rFonts w:ascii="Times New Roman" w:cs="Times New Roman" w:eastAsia="Times New Roman" w:hAnsi="Times New Roman"/>
          <w:sz w:val="16"/>
          <w:szCs w:val="16"/>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September 30, 2020 and December 31, 2019, there were 5,499,713 and 7,919,952 Virtu Financial Units outstanding held by Employee Holdco (as defined below), respectively, and 2,420,239 and 823,456 of such Virtu Financial Units and corresponding Class C Common Stock were exchanged into Class A Common Stock, forfeited or repurchased during the nine months ended September 30, 2020 and 2019,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32"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stockholders on June 5, 2020.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32" w:lineRule="exact"/>
        <w:rPr>
          <w:sz w:val="20"/>
          <w:szCs w:val="20"/>
          <w:color w:val="auto"/>
        </w:rPr>
      </w:pPr>
    </w:p>
    <w:p>
      <w:pPr>
        <w:jc w:val="both"/>
        <w:ind w:right="120" w:firstLine="597"/>
        <w:spacing w:after="0" w:line="25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KCG</w:t>
      </w:r>
    </w:p>
    <w:p>
      <w:pPr>
        <w:spacing w:after="0" w:line="232" w:lineRule="exact"/>
        <w:rPr>
          <w:sz w:val="20"/>
          <w:szCs w:val="20"/>
          <w:color w:val="auto"/>
        </w:rPr>
      </w:pPr>
    </w:p>
    <w:p>
      <w:pPr>
        <w:ind w:right="260" w:firstLine="597"/>
        <w:spacing w:after="0" w:line="248" w:lineRule="auto"/>
        <w:rPr>
          <w:sz w:val="20"/>
          <w:szCs w:val="20"/>
          <w:color w:val="auto"/>
        </w:rPr>
      </w:pPr>
      <w:r>
        <w:rPr>
          <w:rFonts w:ascii="Times New Roman" w:cs="Times New Roman" w:eastAsia="Times New Roman" w:hAnsi="Times New Roman"/>
          <w:sz w:val="17"/>
          <w:szCs w:val="17"/>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were filed as exhibits to the Company’s 2019 Annual Report on Form 10-K filed with the Securities and Exchange Commission on February 28, 2020.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Secondary Offerings</w:t>
      </w:r>
    </w:p>
    <w:p>
      <w:pPr>
        <w:spacing w:after="0" w:line="232"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32" w:lineRule="exact"/>
        <w:rPr>
          <w:sz w:val="20"/>
          <w:szCs w:val="20"/>
          <w:color w:val="auto"/>
        </w:rPr>
      </w:pPr>
    </w:p>
    <w:p>
      <w:pPr>
        <w:ind w:right="160" w:firstLine="597"/>
        <w:spacing w:after="0" w:line="256" w:lineRule="auto"/>
        <w:rPr>
          <w:sz w:val="20"/>
          <w:szCs w:val="20"/>
          <w:color w:val="auto"/>
        </w:rPr>
      </w:pPr>
      <w:r>
        <w:rPr>
          <w:rFonts w:ascii="Times New Roman" w:cs="Times New Roman" w:eastAsia="Times New Roman" w:hAnsi="Times New Roman"/>
          <w:sz w:val="17"/>
          <w:szCs w:val="17"/>
          <w:color w:val="auto"/>
        </w:rPr>
        <w:t>During the nine months ended September 30, 2020 and 2019, pursuant to the exchange agreement by and among the Company, Virtu Financial and holders of Virtu Financial Units, certain current and former employees elected to exchange 2,420,239 and 823,456 units, respectively in Virtu Financial held directly or on their behalf by Virtu Employee Holdco LLC (“Employee Holdco”) on a one-for-one basis for shares of Class A Common Stock.</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holds approximately a 64.2% interest in Virtu Financial at September 30, 2020.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Issuance</w:t>
      </w:r>
    </w:p>
    <w:p>
      <w:pPr>
        <w:spacing w:after="0" w:line="232"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6"/>
          <w:szCs w:val="16"/>
          <w:color w:val="auto"/>
        </w:rPr>
        <w:t>On March 20, 2020, in connection with and in consideration of the Founder Member’s commitments under the Founder Member Loan Facility (as described in Note 10 “Borrowings”), the Company delivered to the Founder Member a warrant (the “Warrant”) to purchase shares of the Company’s Class A Common Stock. Pursuant to the Warrant, the Founder Member may purchase up to 3,000,000 shares of Class A Common Stock. If at any time during the term of the Founder Member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10 "Borrowings"), and as a result no such increase in the number of shares which may be purchased has occurred or will occur pursuant to the terms of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to purchase up to 3,000,000 shares of the Company's Class A Common Stock on any date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 The foregoing description of the Warrant does not purport to be complete and is qualified in its entirety by reference to the complete text of the Warrant, which was filed as an exhibit to the Company's 2020 quarterly report on Form 10-Q for the period ended March 31, 2020 filed with the Securities and Exchange Commission on May 11,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60" w:firstLine="597"/>
        <w:spacing w:after="0" w:line="250" w:lineRule="auto"/>
        <w:rPr>
          <w:sz w:val="20"/>
          <w:szCs w:val="20"/>
          <w:color w:val="auto"/>
        </w:rPr>
      </w:pPr>
      <w:r>
        <w:rPr>
          <w:rFonts w:ascii="Times New Roman" w:cs="Times New Roman" w:eastAsia="Times New Roman" w:hAnsi="Times New Roman"/>
          <w:sz w:val="17"/>
          <w:szCs w:val="17"/>
          <w:color w:val="auto"/>
        </w:rPr>
        <w:t>The fair value of the Warrant was determined using a Black-Scholes-Merton model, and was recorded as a debt issuance cost within Other Assets on the Condensed Consolidated Statement of Financial Condition and as an increase to Additional paid-in capital on the Condensed Consolidated Statement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 of Comprehensive Income.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 (Loss)</w:t>
      </w:r>
    </w:p>
    <w:p>
      <w:pPr>
        <w:spacing w:after="0" w:line="2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(Loss) for the three and nine months ended September 30, 2020 and 2019:</w:t>
      </w:r>
    </w:p>
    <w:p>
      <w:pPr>
        <w:spacing w:after="0" w:line="259" w:lineRule="exact"/>
        <w:rPr>
          <w:sz w:val="20"/>
          <w:szCs w:val="20"/>
          <w:color w:val="auto"/>
        </w:rPr>
      </w:pPr>
    </w:p>
    <w:tbl>
      <w:tblPr>
        <w:tblLayout w:type="fixed"/>
        <w:tblInd w:w="70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AOCI Beginning</w:t>
            </w:r>
          </w:p>
        </w:tc>
        <w:tc>
          <w:tcPr>
            <w:tcW w:w="18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Amounts recorded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AOCI Ending Balance</w:t>
            </w:r>
          </w:p>
        </w:tc>
        <w:tc>
          <w:tcPr>
            <w:tcW w:w="0" w:type="dxa"/>
            <w:vAlign w:val="bottom"/>
          </w:tcPr>
          <w:p>
            <w:pPr>
              <w:spacing w:after="0"/>
              <w:rPr>
                <w:sz w:val="1"/>
                <w:szCs w:val="1"/>
                <w:color w:val="auto"/>
              </w:rPr>
            </w:pPr>
          </w:p>
        </w:tc>
      </w:tr>
      <w:tr>
        <w:trPr>
          <w:trHeight w:val="174"/>
        </w:trPr>
        <w:tc>
          <w:tcPr>
            <w:tcW w:w="3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AOCI to income</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AOCI</w:t>
            </w: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3"/>
                <w:szCs w:val="13"/>
                <w:color w:val="auto"/>
              </w:rPr>
              <w:t>(1,797)</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(36,559)</w:t>
            </w:r>
          </w:p>
        </w:tc>
        <w:tc>
          <w:tcPr>
            <w:tcW w:w="0" w:type="dxa"/>
            <w:vAlign w:val="bottom"/>
          </w:tcPr>
          <w:p>
            <w:pPr>
              <w:spacing w:after="0"/>
              <w:rPr>
                <w:sz w:val="1"/>
                <w:szCs w:val="1"/>
                <w:color w:val="auto"/>
              </w:rPr>
            </w:pPr>
          </w:p>
        </w:tc>
      </w:tr>
      <w:tr>
        <w:trPr>
          <w:trHeight w:val="17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exchange translation adjustment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center"/>
              <w:ind w:left="814"/>
              <w:spacing w:after="0"/>
              <w:rPr>
                <w:sz w:val="20"/>
                <w:szCs w:val="20"/>
                <w:color w:val="auto"/>
              </w:rPr>
            </w:pPr>
            <w:r>
              <w:rPr>
                <w:rFonts w:ascii="Times New Roman" w:cs="Times New Roman" w:eastAsia="Times New Roman" w:hAnsi="Times New Roman"/>
                <w:sz w:val="13"/>
                <w:szCs w:val="13"/>
                <w:color w:val="auto"/>
              </w:rPr>
              <w:t>4,213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3"/>
                <w:szCs w:val="13"/>
                <w:color w:val="auto"/>
              </w:rPr>
              <w:t>2,416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(35,203)</w:t>
            </w:r>
          </w:p>
        </w:tc>
        <w:tc>
          <w:tcPr>
            <w:tcW w:w="0" w:type="dxa"/>
            <w:vAlign w:val="bottom"/>
          </w:tcPr>
          <w:p>
            <w:pPr>
              <w:spacing w:after="0"/>
              <w:rPr>
                <w:sz w:val="1"/>
                <w:szCs w:val="1"/>
                <w:color w:val="auto"/>
              </w:rPr>
            </w:pPr>
          </w:p>
        </w:tc>
      </w:tr>
    </w:tbl>
    <w:p>
      <w:pPr>
        <w:ind w:left="720" w:right="480" w:firstLine="5"/>
        <w:spacing w:after="0" w:line="214" w:lineRule="auto"/>
        <w:tabs>
          <w:tab w:leader="none" w:pos="88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Condensed Consolidated Statements of Comprehensive Income. As of September 30, 2020, the Company expects approximately $13.2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-226060</wp:posOffset>
            </wp:positionV>
            <wp:extent cx="387159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1595" cy="7620"/>
                    </a:xfrm>
                    <a:prstGeom prst="rect">
                      <a:avLst/>
                    </a:prstGeom>
                    <a:noFill/>
                  </pic:spPr>
                </pic:pic>
              </a:graphicData>
            </a:graphic>
          </wp:anchor>
        </w:drawing>
      </w:r>
    </w:p>
    <w:p>
      <w:pPr>
        <w:spacing w:after="0" w:line="236" w:lineRule="exact"/>
        <w:rPr>
          <w:sz w:val="20"/>
          <w:szCs w:val="20"/>
          <w:color w:val="auto"/>
        </w:rPr>
      </w:pPr>
    </w:p>
    <w:tbl>
      <w:tblPr>
        <w:tblLayout w:type="fixed"/>
        <w:tblInd w:w="70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AOCI Beginning</w:t>
            </w:r>
          </w:p>
        </w:tc>
        <w:tc>
          <w:tcPr>
            <w:tcW w:w="18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Amounts recorded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AOCI Ending Balance</w:t>
            </w:r>
          </w:p>
        </w:tc>
        <w:tc>
          <w:tcPr>
            <w:tcW w:w="0" w:type="dxa"/>
            <w:vAlign w:val="bottom"/>
          </w:tcPr>
          <w:p>
            <w:pPr>
              <w:spacing w:after="0"/>
              <w:rPr>
                <w:sz w:val="1"/>
                <w:szCs w:val="1"/>
                <w:color w:val="auto"/>
              </w:rPr>
            </w:pPr>
          </w:p>
        </w:tc>
      </w:tr>
      <w:tr>
        <w:trPr>
          <w:trHeight w:val="174"/>
        </w:trPr>
        <w:tc>
          <w:tcPr>
            <w:tcW w:w="3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AOCI to income</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AOCI</w:t>
            </w: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unrealized cash flow hedges gains (losses)</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(42,405)</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(36,559)</w:t>
            </w:r>
          </w:p>
        </w:tc>
        <w:tc>
          <w:tcPr>
            <w:tcW w:w="0" w:type="dxa"/>
            <w:vAlign w:val="bottom"/>
          </w:tcPr>
          <w:p>
            <w:pPr>
              <w:spacing w:after="0"/>
              <w:rPr>
                <w:sz w:val="1"/>
                <w:szCs w:val="1"/>
                <w:color w:val="auto"/>
              </w:rPr>
            </w:pPr>
          </w:p>
        </w:tc>
      </w:tr>
      <w:tr>
        <w:trPr>
          <w:trHeight w:val="17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exchange translation adjustment</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(40,402)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(35,203)</w:t>
            </w:r>
          </w:p>
        </w:tc>
        <w:tc>
          <w:tcPr>
            <w:tcW w:w="0" w:type="dxa"/>
            <w:vAlign w:val="bottom"/>
          </w:tcPr>
          <w:p>
            <w:pPr>
              <w:spacing w:after="0"/>
              <w:rPr>
                <w:sz w:val="1"/>
                <w:szCs w:val="1"/>
                <w:color w:val="auto"/>
              </w:rPr>
            </w:pPr>
          </w:p>
        </w:tc>
      </w:tr>
    </w:tbl>
    <w:p>
      <w:pPr>
        <w:ind w:left="720" w:right="480" w:firstLine="5"/>
        <w:spacing w:after="0" w:line="214" w:lineRule="auto"/>
        <w:tabs>
          <w:tab w:leader="none" w:pos="88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Condensed Consolidated Statements of Comprehensive Income. As of September 30, 2020, the Company expects approximately $13.2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2820670</wp:posOffset>
            </wp:positionH>
            <wp:positionV relativeFrom="paragraph">
              <wp:posOffset>-226060</wp:posOffset>
            </wp:positionV>
            <wp:extent cx="387159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1595" cy="7620"/>
                    </a:xfrm>
                    <a:prstGeom prst="rect">
                      <a:avLst/>
                    </a:prstGeom>
                    <a:noFill/>
                  </pic:spPr>
                </pic:pic>
              </a:graphicData>
            </a:graphic>
          </wp:anchor>
        </w:drawing>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179"/>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AOCI Beginning</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Amounts recorded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AOCI Ending Balance</w:t>
            </w:r>
          </w:p>
        </w:tc>
        <w:tc>
          <w:tcPr>
            <w:tcW w:w="0" w:type="dxa"/>
            <w:vAlign w:val="bottom"/>
          </w:tcPr>
          <w:p>
            <w:pPr>
              <w:spacing w:after="0"/>
              <w:rPr>
                <w:sz w:val="1"/>
                <w:szCs w:val="1"/>
                <w:color w:val="auto"/>
              </w:rPr>
            </w:pPr>
          </w:p>
        </w:tc>
      </w:tr>
      <w:tr>
        <w:trPr>
          <w:trHeight w:val="174"/>
        </w:trPr>
        <w:tc>
          <w:tcPr>
            <w:tcW w:w="3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6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AOCI to income</w:t>
            </w:r>
          </w:p>
        </w:tc>
        <w:tc>
          <w:tcPr>
            <w:tcW w:w="14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in AOCI</w:t>
            </w: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exchange translation adjustment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0" w:type="dxa"/>
            <w:vAlign w:val="bottom"/>
          </w:tcPr>
          <w:p>
            <w:pPr>
              <w:spacing w:after="0"/>
              <w:rPr>
                <w:sz w:val="1"/>
                <w:szCs w:val="1"/>
                <w:color w:val="auto"/>
              </w:rPr>
            </w:pPr>
          </w:p>
        </w:tc>
      </w:tr>
      <w:tr>
        <w:trPr>
          <w:trHeight w:val="16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(4,316)</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7"/>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AOCI Beginning</w:t>
            </w: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0"/>
                <w:szCs w:val="10"/>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Amounts recorded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AOCI Ending Balance</w:t>
            </w:r>
          </w:p>
        </w:tc>
        <w:tc>
          <w:tcPr>
            <w:tcW w:w="0" w:type="dxa"/>
            <w:vAlign w:val="bottom"/>
          </w:tcPr>
          <w:p>
            <w:pPr>
              <w:spacing w:after="0"/>
              <w:rPr>
                <w:sz w:val="1"/>
                <w:szCs w:val="1"/>
                <w:color w:val="auto"/>
              </w:rPr>
            </w:pPr>
          </w:p>
        </w:tc>
      </w:tr>
      <w:tr>
        <w:trPr>
          <w:trHeight w:val="174"/>
        </w:trPr>
        <w:tc>
          <w:tcPr>
            <w:tcW w:w="3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AOCI to income</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in AOCI</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exchange translation adjustment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(5,904)</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0" w:type="dxa"/>
            <w:vAlign w:val="bottom"/>
          </w:tcPr>
          <w:p>
            <w:pPr>
              <w:spacing w:after="0"/>
              <w:rPr>
                <w:sz w:val="1"/>
                <w:szCs w:val="1"/>
                <w:color w:val="auto"/>
              </w:rPr>
            </w:pPr>
          </w:p>
        </w:tc>
      </w:tr>
      <w:tr>
        <w:trPr>
          <w:trHeight w:val="19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2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(5,904)</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Share-based Compensation</w:t>
      </w:r>
    </w:p>
    <w:p>
      <w:pPr>
        <w:spacing w:after="0" w:line="232"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940"/>
          </w:cols>
          <w:pgMar w:left="320" w:top="123" w:right="63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nine months ended September 30, 2020 and 2019:</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40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Options Exercisable</w:t>
            </w: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1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15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60" w:type="dxa"/>
            <w:vAlign w:val="bottom"/>
          </w:tcPr>
          <w:p>
            <w:pPr>
              <w:spacing w:after="0"/>
              <w:rPr>
                <w:sz w:val="10"/>
                <w:szCs w:val="10"/>
                <w:color w:val="auto"/>
              </w:rPr>
            </w:pPr>
          </w:p>
        </w:tc>
        <w:tc>
          <w:tcPr>
            <w:tcW w:w="1360" w:type="dxa"/>
            <w:vAlign w:val="bottom"/>
          </w:tcPr>
          <w:p>
            <w:pPr>
              <w:jc w:val="center"/>
              <w:ind w:right="94"/>
              <w:spacing w:after="0" w:line="122"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24"/>
        </w:trPr>
        <w:tc>
          <w:tcPr>
            <w:tcW w:w="40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62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12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center"/>
              <w:ind w:right="94"/>
              <w:spacing w:after="0" w:line="124"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15"/>
                <w:szCs w:val="15"/>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Life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160" w:type="dxa"/>
            <w:vAlign w:val="bottom"/>
          </w:tcPr>
          <w:p>
            <w:pPr>
              <w:spacing w:after="0"/>
              <w:rPr>
                <w:sz w:val="15"/>
                <w:szCs w:val="15"/>
                <w:color w:val="auto"/>
              </w:rPr>
            </w:pPr>
          </w:p>
        </w:tc>
        <w:tc>
          <w:tcPr>
            <w:tcW w:w="136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0" w:type="dxa"/>
            <w:vAlign w:val="bottom"/>
          </w:tcPr>
          <w:p>
            <w:pPr>
              <w:spacing w:after="0"/>
              <w:rPr>
                <w:sz w:val="1"/>
                <w:szCs w:val="1"/>
                <w:color w:val="auto"/>
              </w:rPr>
            </w:pPr>
          </w:p>
        </w:tc>
      </w:tr>
      <w:tr>
        <w:trPr>
          <w:trHeight w:val="167"/>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December 31, 2018</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3,486,150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center"/>
              <w:ind w:left="1214"/>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1,660,400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 w:type="dxa"/>
            <w:vAlign w:val="bottom"/>
          </w:tcPr>
          <w:p>
            <w:pPr>
              <w:spacing w:after="0"/>
              <w:rPr>
                <w:sz w:val="15"/>
                <w:szCs w:val="15"/>
                <w:color w:val="auto"/>
              </w:rPr>
            </w:pPr>
          </w:p>
        </w:tc>
        <w:tc>
          <w:tcPr>
            <w:tcW w:w="1520" w:type="dxa"/>
            <w:vAlign w:val="bottom"/>
          </w:tcPr>
          <w:p>
            <w:pPr>
              <w:jc w:val="center"/>
              <w:ind w:left="1214"/>
              <w:spacing w:after="0"/>
              <w:rPr>
                <w:sz w:val="20"/>
                <w:szCs w:val="20"/>
                <w:color w:val="auto"/>
              </w:rPr>
            </w:pPr>
            <w:r>
              <w:rPr>
                <w:rFonts w:ascii="Times New Roman" w:cs="Times New Roman" w:eastAsia="Times New Roman" w:hAnsi="Times New Roman"/>
                <w:sz w:val="13"/>
                <w:szCs w:val="13"/>
                <w:color w:val="auto"/>
              </w:rPr>
              <w:t>4.87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CCEEFF"/>
            </w:tcBorders>
            <w:gridSpan w:val="2"/>
          </w:tcPr>
          <w:p>
            <w:pPr>
              <w:jc w:val="center"/>
              <w:ind w:left="11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September 30, 2019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3,248,779</w:t>
            </w:r>
          </w:p>
        </w:tc>
        <w:tc>
          <w:tcPr>
            <w:tcW w:w="2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1214"/>
              <w:spacing w:after="0"/>
              <w:rPr>
                <w:sz w:val="20"/>
                <w:szCs w:val="20"/>
                <w:color w:val="auto"/>
              </w:rPr>
            </w:pPr>
            <w:r>
              <w:rPr>
                <w:rFonts w:ascii="Times New Roman" w:cs="Times New Roman" w:eastAsia="Times New Roman" w:hAnsi="Times New Roman"/>
                <w:sz w:val="13"/>
                <w:szCs w:val="13"/>
                <w:color w:val="auto"/>
              </w:rPr>
              <w:t>5.49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3,248,779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December 31, 2019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3,233,779</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214"/>
              <w:spacing w:after="0"/>
              <w:rPr>
                <w:sz w:val="20"/>
                <w:szCs w:val="20"/>
                <w:color w:val="auto"/>
              </w:rPr>
            </w:pPr>
            <w:r>
              <w:rPr>
                <w:rFonts w:ascii="Times New Roman" w:cs="Times New Roman" w:eastAsia="Times New Roman" w:hAnsi="Times New Roman"/>
                <w:sz w:val="13"/>
                <w:szCs w:val="13"/>
                <w:color w:val="auto"/>
              </w:rPr>
              <w:t>5.24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3,233,779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tcPr>
          <w:p>
            <w:pPr>
              <w:jc w:val="center"/>
              <w:ind w:left="11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(807,627)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center"/>
              <w:ind w:left="1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(807,627)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0" w:type="dxa"/>
            <w:vAlign w:val="bottom"/>
          </w:tcPr>
          <w:p>
            <w:pPr>
              <w:spacing w:after="0"/>
              <w:rPr>
                <w:sz w:val="1"/>
                <w:szCs w:val="1"/>
                <w:color w:val="auto"/>
              </w:rPr>
            </w:pPr>
          </w:p>
        </w:tc>
      </w:tr>
      <w:tr>
        <w:trPr>
          <w:trHeight w:val="173"/>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CCEEFF"/>
            </w:tcBorders>
            <w:gridSpan w:val="2"/>
          </w:tcPr>
          <w:p>
            <w:pPr>
              <w:jc w:val="center"/>
              <w:ind w:left="1114"/>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September 30, 2020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2,426,152</w:t>
            </w:r>
          </w:p>
        </w:tc>
        <w:tc>
          <w:tcPr>
            <w:tcW w:w="28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center"/>
              <w:ind w:left="1214"/>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2,426,152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320" w:firstLine="597"/>
        <w:spacing w:after="0" w:line="256" w:lineRule="auto"/>
        <w:rPr>
          <w:sz w:val="20"/>
          <w:szCs w:val="20"/>
          <w:color w:val="auto"/>
        </w:rPr>
      </w:pPr>
      <w:r>
        <w:rPr>
          <w:rFonts w:ascii="Times New Roman" w:cs="Times New Roman" w:eastAsia="Times New Roman" w:hAnsi="Times New Roman"/>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96" w:lineRule="exact"/>
        <w:rPr>
          <w:sz w:val="20"/>
          <w:szCs w:val="20"/>
          <w:color w:val="auto"/>
        </w:rPr>
      </w:pPr>
    </w:p>
    <w:p>
      <w:pPr>
        <w:ind w:right="200" w:firstLine="597"/>
        <w:spacing w:after="0" w:line="256" w:lineRule="auto"/>
        <w:rPr>
          <w:sz w:val="20"/>
          <w:szCs w:val="20"/>
          <w:color w:val="auto"/>
        </w:rPr>
      </w:pPr>
      <w:r>
        <w:rPr>
          <w:rFonts w:ascii="Times New Roman" w:cs="Times New Roman" w:eastAsia="Times New Roman" w:hAnsi="Times New Roman"/>
          <w:sz w:val="17"/>
          <w:szCs w:val="17"/>
          <w:color w:val="auto"/>
        </w:rPr>
        <w:t>The Company recognized $1.4 million for the nine months ended September 30, 2019 of compensation expense in relation to the stock options issued and outstanding. The stock options to purchase shares of Class A Common Stock were fully vested in 2019, and as such there was no compensation expense recognized in relation to stock options for the three and nine months ended September 30, 2020.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32"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32" w:lineRule="exact"/>
        <w:rPr>
          <w:sz w:val="20"/>
          <w:szCs w:val="20"/>
          <w:color w:val="auto"/>
        </w:rPr>
      </w:pPr>
    </w:p>
    <w:p>
      <w:pPr>
        <w:ind w:firstLine="597"/>
        <w:spacing w:after="0" w:line="24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18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nine months ended September 30, 2020 and 2019, respectively, there were 967,526 and 423,393 shares of immediately vested Class A Common Stock granted as part of year-end compensation. In addition, the Company reduced accrued compensation expense by $11.4 million for the three months ended September 30, 2020, increased accrued compensation $5.9 million for the three months ended September 30, 2019 and increased accrued compensation expense by $14.4 million and $8.4 million for the nine months ended September 30, 2020 and 2019,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activity related to the RSUs (including the Assumed Awards) and RSAs: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580" w:type="dxa"/>
            <w:vAlign w:val="bottom"/>
          </w:tcPr>
          <w:p>
            <w:pPr>
              <w:spacing w:after="0"/>
              <w:rPr>
                <w:sz w:val="12"/>
                <w:szCs w:val="12"/>
                <w:color w:val="auto"/>
              </w:rPr>
            </w:pPr>
          </w:p>
        </w:tc>
        <w:tc>
          <w:tcPr>
            <w:tcW w:w="140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Number of RSUs and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24"/>
        </w:trPr>
        <w:tc>
          <w:tcPr>
            <w:tcW w:w="85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94"/>
              <w:spacing w:after="0" w:line="124" w:lineRule="exact"/>
              <w:rPr>
                <w:sz w:val="20"/>
                <w:szCs w:val="20"/>
                <w:color w:val="auto"/>
              </w:rPr>
            </w:pPr>
            <w:r>
              <w:rPr>
                <w:rFonts w:ascii="Times New Roman" w:cs="Times New Roman" w:eastAsia="Times New Roman" w:hAnsi="Times New Roman"/>
                <w:sz w:val="13"/>
                <w:szCs w:val="13"/>
                <w:b w:val="1"/>
                <w:bCs w:val="1"/>
                <w:color w:val="auto"/>
              </w:rPr>
              <w:t>Average Fair</w:t>
            </w:r>
          </w:p>
        </w:tc>
        <w:tc>
          <w:tcPr>
            <w:tcW w:w="0" w:type="dxa"/>
            <w:vAlign w:val="bottom"/>
          </w:tcPr>
          <w:p>
            <w:pPr>
              <w:spacing w:after="0"/>
              <w:rPr>
                <w:sz w:val="1"/>
                <w:szCs w:val="1"/>
                <w:color w:val="auto"/>
              </w:rPr>
            </w:pPr>
          </w:p>
        </w:tc>
      </w:tr>
      <w:tr>
        <w:trPr>
          <w:trHeight w:val="174"/>
        </w:trPr>
        <w:tc>
          <w:tcPr>
            <w:tcW w:w="85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RSAs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67"/>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December 31, 2018</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1,378,922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0" w:type="dxa"/>
            <w:vAlign w:val="bottom"/>
          </w:tcPr>
          <w:p>
            <w:pPr>
              <w:spacing w:after="0"/>
              <w:rPr>
                <w:sz w:val="1"/>
                <w:szCs w:val="1"/>
                <w:color w:val="auto"/>
              </w:rPr>
            </w:pPr>
          </w:p>
        </w:tc>
      </w:tr>
      <w:tr>
        <w:trPr>
          <w:trHeight w:val="173"/>
        </w:trPr>
        <w:tc>
          <w:tcPr>
            <w:tcW w:w="8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3,605,114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25.07</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(1,047,866)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0" w:type="dxa"/>
            <w:vAlign w:val="bottom"/>
          </w:tcPr>
          <w:p>
            <w:pPr>
              <w:spacing w:after="0"/>
              <w:rPr>
                <w:sz w:val="1"/>
                <w:szCs w:val="1"/>
                <w:color w:val="auto"/>
              </w:rPr>
            </w:pPr>
          </w:p>
        </w:tc>
      </w:tr>
      <w:tr>
        <w:trPr>
          <w:trHeight w:val="193"/>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September 30, 2019</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3,609,712</w:t>
            </w:r>
          </w:p>
        </w:tc>
        <w:tc>
          <w:tcPr>
            <w:tcW w:w="2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December 31, 2019</w:t>
            </w:r>
          </w:p>
        </w:tc>
        <w:tc>
          <w:tcPr>
            <w:tcW w:w="1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2,993,489</w:t>
            </w:r>
          </w:p>
        </w:tc>
        <w:tc>
          <w:tcPr>
            <w:tcW w:w="22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0" w:type="dxa"/>
            <w:vAlign w:val="bottom"/>
          </w:tcPr>
          <w:p>
            <w:pPr>
              <w:spacing w:after="0"/>
              <w:rPr>
                <w:sz w:val="1"/>
                <w:szCs w:val="1"/>
                <w:color w:val="auto"/>
              </w:rPr>
            </w:pPr>
          </w:p>
        </w:tc>
      </w:tr>
      <w:tr>
        <w:trPr>
          <w:trHeight w:val="173"/>
        </w:trPr>
        <w:tc>
          <w:tcPr>
            <w:tcW w:w="8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Granted (1)</w:t>
            </w: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3,300,894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(391,223)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17.90</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(2,124,843)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 September 30, 2020</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3,778,317</w:t>
            </w:r>
          </w:p>
        </w:tc>
        <w:tc>
          <w:tcPr>
            <w:tcW w:w="2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2"/>
          <w:szCs w:val="12"/>
          <w:color w:val="auto"/>
        </w:rPr>
        <w:t>(1) Excluded in the number of RSUs and RSAs is 400,000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5459730</wp:posOffset>
            </wp:positionH>
            <wp:positionV relativeFrom="paragraph">
              <wp:posOffset>-79375</wp:posOffset>
            </wp:positionV>
            <wp:extent cx="88519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5190" cy="7620"/>
                    </a:xfrm>
                    <a:prstGeom prst="rect">
                      <a:avLst/>
                    </a:prstGeom>
                    <a:noFill/>
                  </pic:spPr>
                </pic:pic>
              </a:graphicData>
            </a:graphic>
          </wp:anchor>
        </w:drawing>
      </w:r>
    </w:p>
    <w:p>
      <w:pPr>
        <w:spacing w:after="0" w:line="311"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The Company recognized $9.0 million and $13.0 million for the three months ended September 30, 2020 and 2019 and $25.8 million and $52.6 million for the nine months ended September 30, 2020 and 2019, respectively, of compensation expense in relation to the RSUs. As of September 30, 2020 and December 31, 2019, total unrecognized share-based compensation expense related to unvested RSUs was $50.6 million and $43.4 million, respectively, and this amount is to be recognized over a weighted average period of 1.18 and 2.0 years, respectively. Awards in which the specific performance conditions have not been met are not included in unrecognized share-based compensation expense.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Regulatory Requirement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Subsidiaries</w:t>
      </w:r>
    </w:p>
    <w:p>
      <w:pPr>
        <w:spacing w:after="0" w:line="230" w:lineRule="exact"/>
        <w:rPr>
          <w:sz w:val="20"/>
          <w:szCs w:val="20"/>
          <w:color w:val="auto"/>
        </w:rPr>
      </w:pPr>
    </w:p>
    <w:p>
      <w:pPr>
        <w:ind w:right="180" w:firstLine="597"/>
        <w:spacing w:after="0" w:line="273" w:lineRule="auto"/>
        <w:rPr>
          <w:sz w:val="20"/>
          <w:szCs w:val="20"/>
          <w:color w:val="auto"/>
        </w:rPr>
      </w:pPr>
      <w:r>
        <w:rPr>
          <w:rFonts w:ascii="Times New Roman" w:cs="Times New Roman" w:eastAsia="Times New Roman" w:hAnsi="Times New Roman"/>
          <w:sz w:val="16"/>
          <w:szCs w:val="16"/>
          <w:color w:val="auto"/>
        </w:rPr>
        <w:t>The Company's U.S. broker-dealer subsidiary, VAL, is subject to the SEC Uniform Net Capital Rule 15c3-1, which requires the maintenance of minimum net capital as detailed in the table below. Pursuant to NYSE rules, VAL was also required to maintain $1.0 million of capital in connection with the operation of its designated market maker (“DMM”) business as of September 30, 2020. The required amount is determined under the exchange rules as the greater of (i) $1 million or (ii) $75,000 for every 0.1% of NYSE transaction dollar volume in each of the securities for which the Company is registered as the DMM.</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Company's U.S broker-dealer subsidiary as of September 30, 2020 was as follows:</w:t>
      </w:r>
    </w:p>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8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Excess Regulatory Capital</w:t>
            </w:r>
          </w:p>
        </w:tc>
        <w:tc>
          <w:tcPr>
            <w:tcW w:w="0" w:type="dxa"/>
            <w:vAlign w:val="bottom"/>
          </w:tcPr>
          <w:p>
            <w:pPr>
              <w:spacing w:after="0"/>
              <w:rPr>
                <w:sz w:val="1"/>
                <w:szCs w:val="1"/>
                <w:color w:val="auto"/>
              </w:rPr>
            </w:pPr>
          </w:p>
        </w:tc>
      </w:tr>
      <w:tr>
        <w:trPr>
          <w:trHeight w:val="17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Americas LLC</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638,768</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40" w:firstLine="597"/>
        <w:spacing w:after="0" w:line="252" w:lineRule="auto"/>
        <w:rPr>
          <w:sz w:val="20"/>
          <w:szCs w:val="20"/>
          <w:color w:val="auto"/>
        </w:rPr>
      </w:pPr>
      <w:r>
        <w:rPr>
          <w:rFonts w:ascii="Times New Roman" w:cs="Times New Roman" w:eastAsia="Times New Roman" w:hAnsi="Times New Roman"/>
          <w:sz w:val="17"/>
          <w:szCs w:val="17"/>
          <w:color w:val="auto"/>
        </w:rPr>
        <w:t xml:space="preserve">As of September 30, 2020, VAL had $64.9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$32.6 million of cash in reserve bank accounts for the benefit of proprietary accounts of brokers. Balances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special reserve bank accounts previously maintained by VITG were moved to VAL upon consolidation of the broker dealers. The balances are included within Cash restricted or segregated under regulations and other on the Condensed Consolidated Statement of Financial Condition.</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U.S. broker-dealer subsidiaries as of December 31, 2019 were as follows:</w:t>
      </w:r>
    </w:p>
    <w:p>
      <w:pPr>
        <w:spacing w:after="0" w:line="20"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8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Excess Regulatory Capital</w:t>
            </w:r>
          </w:p>
        </w:tc>
        <w:tc>
          <w:tcPr>
            <w:tcW w:w="0" w:type="dxa"/>
            <w:vAlign w:val="bottom"/>
          </w:tcPr>
          <w:p>
            <w:pPr>
              <w:spacing w:after="0"/>
              <w:rPr>
                <w:sz w:val="1"/>
                <w:szCs w:val="1"/>
                <w:color w:val="auto"/>
              </w:rPr>
            </w:pPr>
          </w:p>
        </w:tc>
      </w:tr>
      <w:tr>
        <w:trPr>
          <w:trHeight w:val="17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Americas LLC</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257,452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254,881</w:t>
            </w:r>
          </w:p>
        </w:tc>
        <w:tc>
          <w:tcPr>
            <w:tcW w:w="0" w:type="dxa"/>
            <w:vAlign w:val="bottom"/>
          </w:tcPr>
          <w:p>
            <w:pPr>
              <w:spacing w:after="0"/>
              <w:rPr>
                <w:sz w:val="1"/>
                <w:szCs w:val="1"/>
                <w:color w:val="auto"/>
              </w:rPr>
            </w:pPr>
          </w:p>
        </w:tc>
      </w:tr>
      <w:tr>
        <w:trPr>
          <w:trHeight w:val="17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Virtu Financial BD LLC</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29,317</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Financial Capital Markets LLC</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w:t>
            </w:r>
          </w:p>
        </w:tc>
        <w:tc>
          <w:tcPr>
            <w:tcW w:w="0" w:type="dxa"/>
            <w:vAlign w:val="bottom"/>
          </w:tcPr>
          <w:p>
            <w:pPr>
              <w:spacing w:after="0"/>
              <w:rPr>
                <w:sz w:val="1"/>
                <w:szCs w:val="1"/>
                <w:color w:val="auto"/>
              </w:rPr>
            </w:pPr>
          </w:p>
        </w:tc>
      </w:tr>
      <w:tr>
        <w:trPr>
          <w:trHeight w:val="17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Virtu ITG LLC</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65,069</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Alternet Securities LLC</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firstLine="597"/>
        <w:spacing w:after="0" w:line="256" w:lineRule="auto"/>
        <w:rPr>
          <w:sz w:val="20"/>
          <w:szCs w:val="20"/>
          <w:color w:val="auto"/>
        </w:rPr>
      </w:pPr>
      <w:r>
        <w:rPr>
          <w:rFonts w:ascii="Times New Roman" w:cs="Times New Roman" w:eastAsia="Times New Roman" w:hAnsi="Times New Roman"/>
          <w:sz w:val="17"/>
          <w:szCs w:val="17"/>
          <w:color w:val="auto"/>
        </w:rPr>
        <w:t xml:space="preserve">As of December 31, 2019, VAL and VITG had $22.3 million and $7.4 million, respectively, of cash in special reserve bank accounts for the benefit of customers pursuant to SEC Rule 15c3-3, </w:t>
      </w:r>
      <w:r>
        <w:rPr>
          <w:rFonts w:ascii="Times New Roman" w:cs="Times New Roman" w:eastAsia="Times New Roman" w:hAnsi="Times New Roman"/>
          <w:sz w:val="17"/>
          <w:szCs w:val="17"/>
          <w:i w:val="1"/>
          <w:iCs w:val="1"/>
          <w:color w:val="auto"/>
        </w:rPr>
        <w:t>Computation for Determination of Reserve Requirements,</w:t>
      </w:r>
      <w:r>
        <w:rPr>
          <w:rFonts w:ascii="Times New Roman" w:cs="Times New Roman" w:eastAsia="Times New Roman" w:hAnsi="Times New Roman"/>
          <w:sz w:val="17"/>
          <w:szCs w:val="17"/>
          <w:color w:val="auto"/>
        </w:rPr>
        <w:t xml:space="preserve"> and $4.5 million and $5.0 million, respectively, of cash in reserve bank accounts for the benefit of proprietary accounts of brokers.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30"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September 30, 2020 were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8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Excess Regulatory Capital</w:t>
            </w:r>
          </w:p>
        </w:tc>
        <w:tc>
          <w:tcPr>
            <w:tcW w:w="0" w:type="dxa"/>
            <w:vAlign w:val="bottom"/>
          </w:tcPr>
          <w:p>
            <w:pPr>
              <w:spacing w:after="0"/>
              <w:rPr>
                <w:sz w:val="1"/>
                <w:szCs w:val="1"/>
                <w:color w:val="auto"/>
              </w:rPr>
            </w:pPr>
          </w:p>
        </w:tc>
      </w:tr>
      <w:tr>
        <w:trPr>
          <w:trHeight w:val="17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Canada Corp</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12,252</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tcPr>
          <w:p>
            <w:pPr>
              <w:spacing w:after="0"/>
              <w:rPr>
                <w:sz w:val="15"/>
                <w:szCs w:val="15"/>
                <w:color w:val="auto"/>
              </w:rPr>
            </w:pPr>
          </w:p>
        </w:tc>
        <w:tc>
          <w:tcPr>
            <w:tcW w:w="6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12,064</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Financial Canada ULC</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w:t>
            </w:r>
          </w:p>
        </w:tc>
        <w:tc>
          <w:tcPr>
            <w:tcW w:w="0" w:type="dxa"/>
            <w:vAlign w:val="bottom"/>
          </w:tcPr>
          <w:p>
            <w:pPr>
              <w:spacing w:after="0"/>
              <w:rPr>
                <w:sz w:val="1"/>
                <w:szCs w:val="1"/>
                <w:color w:val="auto"/>
              </w:rPr>
            </w:pPr>
          </w:p>
        </w:tc>
      </w:tr>
      <w:tr>
        <w:trPr>
          <w:trHeight w:val="17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ITG Europe Limited (1)</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23,989</w:t>
            </w: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Financial Ireland Limited (1)</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40,474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44,777</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United Kingdom</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UK Limited (1)</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Asia Pacific</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Australia Limited</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17,638</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ITG Hong Kong Limited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Singapore Pte Limited</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163"/>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 Preliminary</w:t>
            </w:r>
          </w:p>
        </w:tc>
        <w:tc>
          <w:tcPr>
            <w:tcW w:w="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right="80" w:firstLine="597"/>
        <w:spacing w:after="0" w:line="256" w:lineRule="auto"/>
        <w:rPr>
          <w:sz w:val="20"/>
          <w:szCs w:val="20"/>
          <w:color w:val="auto"/>
        </w:rPr>
      </w:pPr>
      <w:r>
        <w:rPr>
          <w:rFonts w:ascii="Times New Roman" w:cs="Times New Roman" w:eastAsia="Times New Roman" w:hAnsi="Times New Roman"/>
          <w:sz w:val="17"/>
          <w:szCs w:val="17"/>
          <w:color w:val="auto"/>
        </w:rPr>
        <w:t>As of September 30, 2020, Virtu ITG Europe Limited and Virtu ITG Canada Corp had $0.2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2019 were 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8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Regulatory Capital</w:t>
            </w:r>
          </w:p>
        </w:tc>
        <w:tc>
          <w:tcPr>
            <w:tcW w:w="16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Excess Regulatory Capital</w:t>
            </w:r>
          </w:p>
        </w:tc>
        <w:tc>
          <w:tcPr>
            <w:tcW w:w="0" w:type="dxa"/>
            <w:vAlign w:val="bottom"/>
          </w:tcPr>
          <w:p>
            <w:pPr>
              <w:spacing w:after="0"/>
              <w:rPr>
                <w:sz w:val="1"/>
                <w:szCs w:val="1"/>
                <w:color w:val="auto"/>
              </w:rPr>
            </w:pPr>
          </w:p>
        </w:tc>
      </w:tr>
      <w:tr>
        <w:trPr>
          <w:trHeight w:val="174"/>
        </w:trPr>
        <w:tc>
          <w:tcPr>
            <w:tcW w:w="5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Canada Corp</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13,029</w:t>
            </w:r>
          </w:p>
        </w:tc>
        <w:tc>
          <w:tcPr>
            <w:tcW w:w="100" w:type="dxa"/>
            <w:vAlign w:val="bottom"/>
          </w:tcPr>
          <w:p>
            <w:pPr>
              <w:spacing w:after="0"/>
              <w:rPr>
                <w:sz w:val="15"/>
                <w:szCs w:val="15"/>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5"/>
                <w:szCs w:val="15"/>
                <w:color w:val="auto"/>
              </w:rPr>
            </w:pPr>
          </w:p>
        </w:tc>
        <w:tc>
          <w:tcPr>
            <w:tcW w:w="660" w:type="dxa"/>
            <w:vAlign w:val="bottom"/>
          </w:tcPr>
          <w:p>
            <w:pPr>
              <w:jc w:val="right"/>
              <w:ind w:right="51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TriAct Canada Marketplace LP</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Financial Canada ULC</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2,266</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Ireland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Europe Limited</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21,645</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Financial Ireland Limited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43,233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35,152</w:t>
            </w:r>
          </w:p>
        </w:tc>
        <w:tc>
          <w:tcPr>
            <w:tcW w:w="0" w:type="dxa"/>
            <w:vAlign w:val="bottom"/>
          </w:tcPr>
          <w:p>
            <w:pPr>
              <w:spacing w:after="0"/>
              <w:rPr>
                <w:sz w:val="1"/>
                <w:szCs w:val="1"/>
                <w:color w:val="auto"/>
              </w:rPr>
            </w:pPr>
          </w:p>
        </w:tc>
      </w:tr>
      <w:tr>
        <w:trPr>
          <w:trHeight w:val="17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United Kingdom</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ITG UK Limited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17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Asia Pacific</w:t>
            </w: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ITG Australia Limited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16,123</w:t>
            </w:r>
          </w:p>
        </w:tc>
        <w:tc>
          <w:tcPr>
            <w:tcW w:w="0" w:type="dxa"/>
            <w:vAlign w:val="bottom"/>
          </w:tcPr>
          <w:p>
            <w:pPr>
              <w:spacing w:after="0"/>
              <w:rPr>
                <w:sz w:val="1"/>
                <w:szCs w:val="1"/>
                <w:color w:val="auto"/>
              </w:rPr>
            </w:pPr>
          </w:p>
        </w:tc>
      </w:tr>
      <w:tr>
        <w:trPr>
          <w:trHeight w:val="173"/>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Virtu ITG Hong Kong Limited</w:t>
            </w: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0" w:type="dxa"/>
            <w:vAlign w:val="bottom"/>
          </w:tcPr>
          <w:p>
            <w:pPr>
              <w:spacing w:after="0"/>
              <w:rPr>
                <w:sz w:val="1"/>
                <w:szCs w:val="1"/>
                <w:color w:val="auto"/>
              </w:rPr>
            </w:pPr>
          </w:p>
        </w:tc>
      </w:tr>
      <w:tr>
        <w:trPr>
          <w:trHeight w:val="175"/>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Virtu ITG Singapore Pte Limited</w:t>
            </w: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As of December 31, 2019, Virtu ITG Europe Limited and Virtu ITG Canada Corp had $1.2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Geographic Information and Business Segments</w:t>
      </w:r>
    </w:p>
    <w:p>
      <w:pPr>
        <w:spacing w:after="0" w:line="232" w:lineRule="exact"/>
        <w:rPr>
          <w:sz w:val="20"/>
          <w:szCs w:val="20"/>
          <w:color w:val="auto"/>
        </w:rPr>
      </w:pPr>
    </w:p>
    <w:p>
      <w:pPr>
        <w:ind w:right="160" w:firstLine="597"/>
        <w:spacing w:after="0" w:line="268" w:lineRule="auto"/>
        <w:rPr>
          <w:sz w:val="20"/>
          <w:szCs w:val="20"/>
          <w:color w:val="auto"/>
        </w:rPr>
      </w:pPr>
      <w:r>
        <w:rPr>
          <w:rFonts w:ascii="Times New Roman" w:cs="Times New Roman" w:eastAsia="Times New Roman" w:hAnsi="Times New Roman"/>
          <w:sz w:val="16"/>
          <w:szCs w:val="16"/>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nine months ended September 30, 2020 and 2019</w:t>
      </w:r>
      <w:r>
        <w:rPr>
          <w:rFonts w:ascii="Times New Roman" w:cs="Times New Roman" w:eastAsia="Times New Roman" w:hAnsi="Times New Roman"/>
          <w:sz w:val="13"/>
          <w:szCs w:val="13"/>
          <w:color w:val="auto"/>
        </w:rPr>
        <w:t>:</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5"/>
                <w:szCs w:val="15"/>
                <w:color w:val="auto"/>
              </w:rPr>
            </w:pPr>
          </w:p>
        </w:tc>
        <w:tc>
          <w:tcPr>
            <w:tcW w:w="280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Borders>
              <w:top w:val="single" w:sz="8" w:color="auto"/>
            </w:tcBorders>
          </w:tcPr>
          <w:p>
            <w:pPr>
              <w:spacing w:after="0"/>
              <w:rPr>
                <w:sz w:val="15"/>
                <w:szCs w:val="15"/>
                <w:color w:val="auto"/>
              </w:rPr>
            </w:pPr>
          </w:p>
        </w:tc>
      </w:tr>
      <w:tr>
        <w:trPr>
          <w:trHeight w:val="167"/>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484,594</w:t>
            </w:r>
          </w:p>
        </w:tc>
        <w:tc>
          <w:tcPr>
            <w:tcW w:w="10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277,855</w:t>
            </w:r>
          </w:p>
        </w:tc>
        <w:tc>
          <w:tcPr>
            <w:tcW w:w="180" w:type="dxa"/>
            <w:vAlign w:val="bottom"/>
          </w:tcPr>
          <w:p>
            <w:pPr>
              <w:spacing w:after="0"/>
              <w:rPr>
                <w:sz w:val="15"/>
                <w:szCs w:val="15"/>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2,045,330</w:t>
            </w:r>
          </w:p>
        </w:tc>
        <w:tc>
          <w:tcPr>
            <w:tcW w:w="100" w:type="dxa"/>
            <w:vAlign w:val="bottom"/>
          </w:tcPr>
          <w:p>
            <w:pPr>
              <w:spacing w:after="0"/>
              <w:rPr>
                <w:sz w:val="15"/>
                <w:szCs w:val="15"/>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837,350</w:t>
            </w:r>
          </w:p>
        </w:tc>
        <w:tc>
          <w:tcPr>
            <w:tcW w:w="100" w:type="dxa"/>
            <w:vAlign w:val="bottom"/>
          </w:tcPr>
          <w:p>
            <w:pPr>
              <w:spacing w:after="0"/>
              <w:rPr>
                <w:sz w:val="15"/>
                <w:szCs w:val="15"/>
                <w:color w:val="auto"/>
              </w:rPr>
            </w:pPr>
          </w:p>
        </w:tc>
      </w:tr>
      <w:tr>
        <w:trPr>
          <w:trHeight w:val="175"/>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Ireland</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54,399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138,964</w:t>
            </w:r>
          </w:p>
        </w:tc>
        <w:tc>
          <w:tcPr>
            <w:tcW w:w="100" w:type="dxa"/>
            <w:vAlign w:val="bottom"/>
            <w:shd w:val="clear" w:color="auto" w:fill="CCEEFF"/>
          </w:tcPr>
          <w:p>
            <w:pPr>
              <w:spacing w:after="0"/>
              <w:rPr>
                <w:sz w:val="15"/>
                <w:szCs w:val="15"/>
                <w:color w:val="auto"/>
              </w:rPr>
            </w:pPr>
          </w:p>
        </w:tc>
      </w:tr>
      <w:tr>
        <w:trPr>
          <w:trHeight w:val="17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Singapore</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26,260</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82,805</w:t>
            </w:r>
          </w:p>
        </w:tc>
        <w:tc>
          <w:tcPr>
            <w:tcW w:w="100" w:type="dxa"/>
            <w:vAlign w:val="bottom"/>
          </w:tcPr>
          <w:p>
            <w:pPr>
              <w:spacing w:after="0"/>
              <w:rPr>
                <w:sz w:val="15"/>
                <w:szCs w:val="15"/>
                <w:color w:val="auto"/>
              </w:rPr>
            </w:pPr>
          </w:p>
        </w:tc>
      </w:tr>
      <w:tr>
        <w:trPr>
          <w:trHeight w:val="175"/>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71,268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14,739</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35,039</w:t>
            </w:r>
          </w:p>
        </w:tc>
        <w:tc>
          <w:tcPr>
            <w:tcW w:w="100" w:type="dxa"/>
            <w:vAlign w:val="bottom"/>
            <w:shd w:val="clear" w:color="auto" w:fill="CCEEFF"/>
          </w:tcPr>
          <w:p>
            <w:pPr>
              <w:spacing w:after="0"/>
              <w:rPr>
                <w:sz w:val="15"/>
                <w:szCs w:val="15"/>
                <w:color w:val="auto"/>
              </w:rPr>
            </w:pPr>
          </w:p>
        </w:tc>
      </w:tr>
      <w:tr>
        <w:trPr>
          <w:trHeight w:val="17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Australia</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9,504</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23,397</w:t>
            </w:r>
          </w:p>
        </w:tc>
        <w:tc>
          <w:tcPr>
            <w:tcW w:w="100" w:type="dxa"/>
            <w:vAlign w:val="bottom"/>
          </w:tcPr>
          <w:p>
            <w:pPr>
              <w:spacing w:after="0"/>
              <w:rPr>
                <w:sz w:val="15"/>
                <w:szCs w:val="15"/>
                <w:color w:val="auto"/>
              </w:rPr>
            </w:pPr>
          </w:p>
        </w:tc>
      </w:tr>
      <w:tr>
        <w:trPr>
          <w:trHeight w:val="175"/>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(1,867)</w:t>
            </w:r>
          </w:p>
        </w:tc>
        <w:tc>
          <w:tcPr>
            <w:tcW w:w="100" w:type="dxa"/>
            <w:vAlign w:val="bottom"/>
            <w:shd w:val="clear" w:color="auto" w:fill="CCEEFF"/>
          </w:tcPr>
          <w:p>
            <w:pPr>
              <w:spacing w:after="0"/>
              <w:rPr>
                <w:sz w:val="15"/>
                <w:szCs w:val="15"/>
                <w:color w:val="auto"/>
              </w:rPr>
            </w:pPr>
          </w:p>
        </w:tc>
      </w:tr>
      <w:tr>
        <w:trPr>
          <w:trHeight w:val="173"/>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00" w:type="dxa"/>
            <w:vAlign w:val="bottom"/>
            <w:tcBorders>
              <w:bottom w:val="single" w:sz="8" w:color="CCEEFF"/>
            </w:tcBorders>
          </w:tcPr>
          <w:p>
            <w:pPr>
              <w:spacing w:after="0"/>
              <w:rPr>
                <w:sz w:val="15"/>
                <w:szCs w:val="15"/>
                <w:color w:val="auto"/>
              </w:rPr>
            </w:pPr>
          </w:p>
        </w:tc>
      </w:tr>
      <w:tr>
        <w:trPr>
          <w:trHeight w:val="193"/>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w:t>
            </w:r>
          </w:p>
        </w:tc>
        <w:tc>
          <w:tcPr>
            <w:tcW w:w="2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656,112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382,340</w:t>
            </w:r>
          </w:p>
        </w:tc>
        <w:tc>
          <w:tcPr>
            <w:tcW w:w="1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2,562,635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1,117,873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28" w:lineRule="exact"/>
        <w:rPr>
          <w:sz w:val="20"/>
          <w:szCs w:val="20"/>
          <w:color w:val="auto"/>
        </w:rPr>
      </w:pPr>
    </w:p>
    <w:p>
      <w:pPr>
        <w:ind w:right="220" w:firstLine="597"/>
        <w:spacing w:after="0" w:line="249"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202"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6"/>
          <w:szCs w:val="16"/>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w:t>
      </w:r>
    </w:p>
    <w:p>
      <w:pPr>
        <w:ind w:right="20"/>
        <w:spacing w:after="0" w:line="245" w:lineRule="auto"/>
        <w:tabs>
          <w:tab w:leader="none" w:pos="291"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205" w:lineRule="exact"/>
        <w:rPr>
          <w:sz w:val="20"/>
          <w:szCs w:val="20"/>
          <w:color w:val="auto"/>
        </w:rPr>
      </w:pPr>
    </w:p>
    <w:p>
      <w:pPr>
        <w:ind w:right="160" w:firstLine="597"/>
        <w:spacing w:after="0" w:line="269"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4"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September 30, 2020 and 2019 are summarized in the following table:</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6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Execution</w:t>
            </w:r>
          </w:p>
        </w:tc>
        <w:tc>
          <w:tcPr>
            <w:tcW w:w="20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2"/>
                <w:szCs w:val="12"/>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4"/>
        </w:trPr>
        <w:tc>
          <w:tcPr>
            <w:tcW w:w="47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20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5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w:t>
            </w:r>
          </w:p>
        </w:tc>
        <w:tc>
          <w:tcPr>
            <w:tcW w:w="15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182,680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656,112</w:t>
            </w:r>
          </w:p>
        </w:tc>
        <w:tc>
          <w:tcPr>
            <w:tcW w:w="0" w:type="dxa"/>
            <w:vAlign w:val="bottom"/>
          </w:tcPr>
          <w:p>
            <w:pPr>
              <w:spacing w:after="0"/>
              <w:rPr>
                <w:sz w:val="1"/>
                <w:szCs w:val="1"/>
                <w:color w:val="auto"/>
              </w:rPr>
            </w:pPr>
          </w:p>
        </w:tc>
      </w:tr>
      <w:tr>
        <w:trPr>
          <w:trHeight w:val="173"/>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before income taxes and noncontrolling interest</w:t>
            </w:r>
          </w:p>
        </w:tc>
        <w:tc>
          <w:tcPr>
            <w:tcW w:w="1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102,029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252,515</w:t>
            </w:r>
          </w:p>
        </w:tc>
        <w:tc>
          <w:tcPr>
            <w:tcW w:w="0" w:type="dxa"/>
            <w:vAlign w:val="bottom"/>
          </w:tcPr>
          <w:p>
            <w:pPr>
              <w:spacing w:after="0"/>
              <w:rPr>
                <w:sz w:val="1"/>
                <w:szCs w:val="1"/>
                <w:color w:val="auto"/>
              </w:rPr>
            </w:pPr>
          </w:p>
        </w:tc>
      </w:tr>
      <w:tr>
        <w:trPr>
          <w:trHeight w:val="200"/>
        </w:trPr>
        <w:tc>
          <w:tcPr>
            <w:tcW w:w="47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w:t>
            </w:r>
          </w:p>
        </w:tc>
        <w:tc>
          <w:tcPr>
            <w:tcW w:w="15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249,802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133,805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382,340</w:t>
            </w:r>
          </w:p>
        </w:tc>
        <w:tc>
          <w:tcPr>
            <w:tcW w:w="0" w:type="dxa"/>
            <w:vAlign w:val="bottom"/>
          </w:tcPr>
          <w:p>
            <w:pPr>
              <w:spacing w:after="0"/>
              <w:rPr>
                <w:sz w:val="1"/>
                <w:szCs w:val="1"/>
                <w:color w:val="auto"/>
              </w:rPr>
            </w:pPr>
          </w:p>
        </w:tc>
      </w:tr>
      <w:tr>
        <w:trPr>
          <w:trHeight w:val="173"/>
        </w:trPr>
        <w:tc>
          <w:tcPr>
            <w:tcW w:w="47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15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(29,202)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(5,828)</w:t>
            </w:r>
          </w:p>
        </w:tc>
        <w:tc>
          <w:tcPr>
            <w:tcW w:w="0" w:type="dxa"/>
            <w:vAlign w:val="bottom"/>
          </w:tcPr>
          <w:p>
            <w:pPr>
              <w:spacing w:after="0"/>
              <w:rPr>
                <w:sz w:val="1"/>
                <w:szCs w:val="1"/>
                <w:color w:val="auto"/>
              </w:rPr>
            </w:pPr>
          </w:p>
        </w:tc>
      </w:tr>
      <w:tr>
        <w:trPr>
          <w:trHeight w:val="200"/>
        </w:trPr>
        <w:tc>
          <w:tcPr>
            <w:tcW w:w="47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Pre-tax earnings by segment for the nine months ended September 30, 2020 and 2019 are summarized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60" w:type="dxa"/>
            <w:vAlign w:val="bottom"/>
          </w:tcPr>
          <w:p>
            <w:pPr>
              <w:spacing w:after="0"/>
              <w:rPr>
                <w:sz w:val="12"/>
                <w:szCs w:val="12"/>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Execution</w:t>
            </w:r>
          </w:p>
        </w:tc>
        <w:tc>
          <w:tcPr>
            <w:tcW w:w="20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2"/>
                <w:szCs w:val="12"/>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74"/>
        </w:trPr>
        <w:tc>
          <w:tcPr>
            <w:tcW w:w="47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20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2020</w:t>
            </w:r>
          </w:p>
        </w:tc>
        <w:tc>
          <w:tcPr>
            <w:tcW w:w="15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2,064,300</w:t>
            </w:r>
          </w:p>
        </w:tc>
        <w:tc>
          <w:tcPr>
            <w:tcW w:w="8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500,621</w:t>
            </w:r>
          </w:p>
        </w:tc>
        <w:tc>
          <w:tcPr>
            <w:tcW w:w="8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80" w:type="dxa"/>
            <w:vAlign w:val="bottom"/>
          </w:tcPr>
          <w:p>
            <w:pPr>
              <w:spacing w:after="0"/>
              <w:rPr>
                <w:sz w:val="15"/>
                <w:szCs w:val="15"/>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2,562,635</w:t>
            </w: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before income taxes and noncontrolling interest</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1,010,871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137,879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1,123,272</w:t>
            </w: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1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762,076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358,325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1,117,873</w:t>
            </w: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99,876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(95,303)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(93,183)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Related Party Transactions</w:t>
      </w:r>
    </w:p>
    <w:p>
      <w:pPr>
        <w:spacing w:after="0" w:line="232" w:lineRule="exact"/>
        <w:rPr>
          <w:sz w:val="20"/>
          <w:szCs w:val="20"/>
          <w:color w:val="auto"/>
        </w:rPr>
      </w:pPr>
    </w:p>
    <w:p>
      <w:pPr>
        <w:jc w:val="both"/>
        <w:ind w:right="100" w:firstLine="597"/>
        <w:spacing w:after="0" w:line="269"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September 30, 2020, and December 31, 2019 the Company had net receivables from its affiliates of $2.9 million and $1.3 million, respectively.</w:t>
      </w:r>
    </w:p>
    <w:p>
      <w:pPr>
        <w:spacing w:after="0" w:line="184" w:lineRule="exact"/>
        <w:rPr>
          <w:sz w:val="20"/>
          <w:szCs w:val="20"/>
          <w:color w:val="auto"/>
        </w:rPr>
      </w:pPr>
    </w:p>
    <w:p>
      <w:pPr>
        <w:ind w:right="100" w:firstLine="597"/>
        <w:spacing w:after="0" w:line="280" w:lineRule="auto"/>
        <w:rPr>
          <w:sz w:val="20"/>
          <w:szCs w:val="20"/>
          <w:color w:val="auto"/>
        </w:rPr>
      </w:pPr>
      <w:r>
        <w:rPr>
          <w:rFonts w:ascii="Times New Roman" w:cs="Times New Roman" w:eastAsia="Times New Roman" w:hAnsi="Times New Roman"/>
          <w:sz w:val="16"/>
          <w:szCs w:val="16"/>
          <w:color w:val="auto"/>
        </w:rPr>
        <w:t>The Company has held a minority interest in SBI since 2016 (see Note 11 “Financial Assets and Liabilities”). The Company pays exchange fees to SBI for the trading activities conducted on its proprietary trading system. The Company paid $4.1 million and $4.0 million for the three months ended September 30, 2020 and 2019, respectively, and $13.8 million and $10.2 million for the nine months ended September 30, 2020 and 2019, respectively, to SBI for these trading activities.</w:t>
      </w:r>
    </w:p>
    <w:p>
      <w:pPr>
        <w:spacing w:after="0" w:line="177" w:lineRule="exact"/>
        <w:rPr>
          <w:sz w:val="20"/>
          <w:szCs w:val="20"/>
          <w:color w:val="auto"/>
        </w:rPr>
      </w:pPr>
    </w:p>
    <w:p>
      <w:pPr>
        <w:ind w:right="40" w:firstLine="597"/>
        <w:spacing w:after="0" w:line="252" w:lineRule="auto"/>
        <w:rPr>
          <w:sz w:val="20"/>
          <w:szCs w:val="20"/>
          <w:color w:val="auto"/>
        </w:rPr>
      </w:pPr>
      <w:r>
        <w:rPr>
          <w:rFonts w:ascii="Times New Roman" w:cs="Times New Roman" w:eastAsia="Times New Roman" w:hAnsi="Times New Roman"/>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$4.7 million and $5.2 million for the three months ended September 30, 2020 and 2019, respectively, and $14.0 million and $15.6 million to the JVs for the nine months ended September 30, 2020 and 2019, respectively.</w:t>
      </w:r>
    </w:p>
    <w:p>
      <w:pPr>
        <w:spacing w:after="0" w:line="199" w:lineRule="exact"/>
        <w:rPr>
          <w:sz w:val="20"/>
          <w:szCs w:val="20"/>
          <w:color w:val="auto"/>
        </w:rPr>
      </w:pPr>
    </w:p>
    <w:p>
      <w:pPr>
        <w:ind w:right="60" w:firstLine="597"/>
        <w:spacing w:after="0" w:line="256" w:lineRule="auto"/>
        <w:rPr>
          <w:sz w:val="20"/>
          <w:szCs w:val="20"/>
          <w:color w:val="auto"/>
        </w:rPr>
      </w:pPr>
      <w:r>
        <w:rPr>
          <w:rFonts w:ascii="Times New Roman" w:cs="Times New Roman" w:eastAsia="Times New Roman" w:hAnsi="Times New Roman"/>
          <w:sz w:val="17"/>
          <w:szCs w:val="17"/>
          <w:color w:val="auto"/>
        </w:rPr>
        <w:t>The Company purchases network connections services from affiliates of Level 3 Communications (“Level 3”). Temasek and its affiliates have a significant ownership interest in Level 3. The Company paid $0.4 million and $0.3 million for the three months ended September 30, 2020 and 2019, respectively, and $1.2 million and $1.1 million for the nine months ended September 30, 2020 and 2019, respectively, to Level 3 for these services.</w:t>
      </w:r>
    </w:p>
    <w:p>
      <w:pPr>
        <w:spacing w:after="0" w:line="196" w:lineRule="exact"/>
        <w:rPr>
          <w:sz w:val="20"/>
          <w:szCs w:val="20"/>
          <w:color w:val="auto"/>
        </w:rPr>
      </w:pPr>
    </w:p>
    <w:p>
      <w:pPr>
        <w:ind w:right="260" w:firstLine="597"/>
        <w:spacing w:after="0" w:line="256" w:lineRule="auto"/>
        <w:rPr>
          <w:sz w:val="20"/>
          <w:szCs w:val="20"/>
          <w:color w:val="auto"/>
        </w:rPr>
      </w:pPr>
      <w:r>
        <w:rPr>
          <w:rFonts w:ascii="Times New Roman" w:cs="Times New Roman" w:eastAsia="Times New Roman" w:hAnsi="Times New Roman"/>
          <w:sz w:val="17"/>
          <w:szCs w:val="17"/>
          <w:color w:val="auto"/>
        </w:rPr>
        <w:t>The Company makes commission-sharing arrangement ("CSA") payments to affiliates of DBS Group Holdings ("DBS"). Temasek and its affiliates have a significant ownership interest in DBS. The Company made payments of $13.0 thousand for the three months ended September 30, 2020 and $0.2 million for the nine months ended September 30, 2020. Payments for the three and nine months ended September 30, 2019 were immaterial.</w:t>
      </w:r>
    </w:p>
    <w:p>
      <w:pPr>
        <w:spacing w:after="0" w:line="196" w:lineRule="exact"/>
        <w:rPr>
          <w:sz w:val="20"/>
          <w:szCs w:val="20"/>
          <w:color w:val="auto"/>
        </w:rPr>
      </w:pPr>
    </w:p>
    <w:p>
      <w:pPr>
        <w:ind w:right="240" w:firstLine="597"/>
        <w:spacing w:after="0" w:line="252" w:lineRule="auto"/>
        <w:rPr>
          <w:sz w:val="20"/>
          <w:szCs w:val="20"/>
          <w:color w:val="auto"/>
        </w:rPr>
      </w:pPr>
      <w:r>
        <w:rPr>
          <w:rFonts w:ascii="Times New Roman" w:cs="Times New Roman" w:eastAsia="Times New Roman" w:hAnsi="Times New Roman"/>
          <w:sz w:val="17"/>
          <w:szCs w:val="17"/>
          <w:color w:val="auto"/>
        </w:rPr>
        <w:t>As described in Note 10 “Borrowings” and Note 18 “Capital Structure”, on March 20, 2020 a subsidiary of the Company entered into an agreement with the Founder Member to establish the Founder Member Facility and, upon the execution of the Founder Member Facility and in consideration of the Founder Member’s commitments thereunder, the Company delivered to the Founder Member the Warrant. The transactions were unanimously approved by the Company’s disinterested Directors. The Founder Member Loan Term expired as of September 20, 2020.</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Subsequent Events</w:t>
      </w:r>
    </w:p>
    <w:p>
      <w:pPr>
        <w:spacing w:after="0" w:line="232" w:lineRule="exact"/>
        <w:rPr>
          <w:sz w:val="20"/>
          <w:szCs w:val="20"/>
          <w:color w:val="auto"/>
        </w:rPr>
      </w:pPr>
    </w:p>
    <w:p>
      <w:pPr>
        <w:ind w:right="20" w:firstLine="597"/>
        <w:spacing w:after="0" w:line="25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6"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On November 6, 2020, the Company’s board of directors declared a dividend of $0.24 per share of Class A Common Stock and Class B Common Stock and per participating Restricted Stock Unit and Restricted Stock Award that will be paid on December 15, 2020 to holders of record as of December 1, 2020.</w:t>
      </w:r>
    </w:p>
    <w:p>
      <w:pPr>
        <w:spacing w:after="0" w:line="184" w:lineRule="exact"/>
        <w:rPr>
          <w:sz w:val="20"/>
          <w:szCs w:val="20"/>
          <w:color w:val="auto"/>
        </w:rPr>
      </w:pPr>
    </w:p>
    <w:p>
      <w:pPr>
        <w:ind w:firstLine="597"/>
        <w:spacing w:after="0" w:line="23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repurchases will actually occur.</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 - IN PROGRESS</w:t>
      </w:r>
    </w:p>
    <w:p>
      <w:pPr>
        <w:spacing w:after="0" w:line="15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The following management’s discussion and analysis covers the three and nine months ended September 30, 2020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2019 and should be read in conjunction with the condensed consolidated financial statements of Virtu Financial, Inc. (the “Company”) for the period ended September 30, 2020, which are included in Part I, Item I of this Quarterly Report on Form 10-Q, and the audited consolidated financial statements and accompanying notes and MD&amp;A for the year ended December 31, 2019, which are included in Items 8 and 7, respectively, of the Company’s Annual Report on Form 10-K for the year ended December 31, 2019.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07"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2019, as filed with the Securities and Exchange Commission ("SEC") on February 28, 2020 (the "2019 Form 10-K"), could affect our actual financial results or results of operations and cash flows, and could cause actual results to differ materially from those in such forward-looking statements, including but not limited to:</w:t>
      </w:r>
    </w:p>
    <w:p>
      <w:pPr>
        <w:spacing w:after="0" w:line="73" w:lineRule="exact"/>
        <w:rPr>
          <w:sz w:val="20"/>
          <w:szCs w:val="20"/>
          <w:color w:val="auto"/>
        </w:rPr>
      </w:pPr>
    </w:p>
    <w:p>
      <w:pPr>
        <w:ind w:left="900" w:right="20" w:hanging="154"/>
        <w:spacing w:after="0" w:line="256" w:lineRule="auto"/>
        <w:tabs>
          <w:tab w:leader="none" w:pos="8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1"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levels of overall trading activity;</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103" w:lineRule="exact"/>
        <w:rPr>
          <w:rFonts w:ascii="Times New Roman" w:cs="Times New Roman" w:eastAsia="Times New Roman" w:hAnsi="Times New Roman"/>
          <w:sz w:val="17"/>
          <w:szCs w:val="17"/>
          <w:color w:val="auto"/>
        </w:rPr>
      </w:pPr>
    </w:p>
    <w:p>
      <w:pPr>
        <w:ind w:left="900" w:right="560" w:hanging="154"/>
        <w:spacing w:after="0" w:line="269" w:lineRule="auto"/>
        <w:tabs>
          <w:tab w:leader="none" w:pos="8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legislation that would impose taxes on certain financial transactions in the European Union, the U.S. (and certain states therein) and other jurisdictions;</w:t>
      </w:r>
    </w:p>
    <w:p>
      <w:pPr>
        <w:spacing w:after="0" w:line="59"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media and regulatory scrutiny and its impact upon public perception of us or of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ITG Acquisition (as defined below) on existing business relationships, operating results, and ongoing business operations generally;</w:t>
      </w:r>
    </w:p>
    <w:p>
      <w:pPr>
        <w:spacing w:after="0" w:line="103" w:lineRule="exact"/>
        <w:rPr>
          <w:rFonts w:ascii="Times New Roman" w:cs="Times New Roman" w:eastAsia="Times New Roman" w:hAnsi="Times New Roman"/>
          <w:sz w:val="17"/>
          <w:szCs w:val="17"/>
          <w:color w:val="auto"/>
        </w:rPr>
      </w:pPr>
    </w:p>
    <w:p>
      <w:pPr>
        <w:ind w:left="900" w:right="340" w:hanging="154"/>
        <w:spacing w:after="0" w:line="269" w:lineRule="auto"/>
        <w:tabs>
          <w:tab w:leader="none" w:pos="8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significant costs and significant indebtedness that we have incurred in connection with the ITG Acquisition, and the integration of ITG (as defined below) into our business;</w:t>
      </w:r>
    </w:p>
    <w:p>
      <w:pPr>
        <w:spacing w:after="0" w:line="59" w:lineRule="exact"/>
        <w:rPr>
          <w:rFonts w:ascii="Times New Roman" w:cs="Times New Roman" w:eastAsia="Times New Roman" w:hAnsi="Times New Roman"/>
          <w:sz w:val="17"/>
          <w:szCs w:val="17"/>
          <w:color w:val="auto"/>
        </w:rPr>
      </w:pPr>
    </w:p>
    <w:p>
      <w:pPr>
        <w:ind w:left="900" w:right="40" w:hanging="154"/>
        <w:spacing w:after="0" w:line="269" w:lineRule="auto"/>
        <w:tabs>
          <w:tab w:leader="none" w:pos="8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we may encounter significant difficulties or delays in integrating the ITG business with ours and that the anticipated benefits, cost savings and synergies or capital release may not be achieved;</w:t>
      </w:r>
    </w:p>
    <w:p>
      <w:pPr>
        <w:spacing w:after="0" w:line="59"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potential liabilities and risks relating to ITG's business;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 party infrastructure or systems;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03" w:lineRule="exact"/>
        <w:rPr>
          <w:rFonts w:ascii="Times New Roman" w:cs="Times New Roman" w:eastAsia="Times New Roman" w:hAnsi="Times New Roman"/>
          <w:sz w:val="17"/>
          <w:szCs w:val="17"/>
          <w:color w:val="auto"/>
        </w:rPr>
      </w:pPr>
    </w:p>
    <w:p>
      <w:pPr>
        <w:ind w:left="900" w:hanging="154"/>
        <w:spacing w:after="0" w:line="269" w:lineRule="auto"/>
        <w:tabs>
          <w:tab w:leader="none" w:pos="8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or other consequences;</w:t>
      </w:r>
    </w:p>
    <w:p>
      <w:pPr>
        <w:spacing w:after="0" w:line="59"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03" w:lineRule="exact"/>
        <w:rPr>
          <w:rFonts w:ascii="Times New Roman" w:cs="Times New Roman" w:eastAsia="Times New Roman" w:hAnsi="Times New Roman"/>
          <w:sz w:val="17"/>
          <w:szCs w:val="17"/>
          <w:color w:val="auto"/>
        </w:rPr>
      </w:pPr>
    </w:p>
    <w:p>
      <w:pPr>
        <w:ind w:left="900" w:right="60" w:hanging="154"/>
        <w:spacing w:after="0" w:line="252" w:lineRule="auto"/>
        <w:tabs>
          <w:tab w:leader="none" w:pos="89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4"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03" w:lineRule="exact"/>
        <w:rPr>
          <w:rFonts w:ascii="Times New Roman" w:cs="Times New Roman" w:eastAsia="Times New Roman" w:hAnsi="Times New Roman"/>
          <w:sz w:val="17"/>
          <w:szCs w:val="17"/>
          <w:color w:val="auto"/>
        </w:rPr>
      </w:pPr>
    </w:p>
    <w:p>
      <w:pPr>
        <w:ind w:left="900" w:hanging="154"/>
        <w:spacing w:after="0"/>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327"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Preparation</w:t>
      </w:r>
    </w:p>
    <w:p>
      <w:pPr>
        <w:spacing w:after="0" w:line="232" w:lineRule="exact"/>
        <w:rPr>
          <w:sz w:val="20"/>
          <w:szCs w:val="20"/>
          <w:color w:val="auto"/>
        </w:rPr>
      </w:pPr>
    </w:p>
    <w:p>
      <w:pPr>
        <w:ind w:right="20" w:firstLine="597"/>
        <w:spacing w:after="0" w:line="265" w:lineRule="auto"/>
        <w:rPr>
          <w:sz w:val="20"/>
          <w:szCs w:val="20"/>
          <w:color w:val="auto"/>
        </w:rPr>
      </w:pPr>
      <w:r>
        <w:rPr>
          <w:rFonts w:ascii="Times New Roman" w:cs="Times New Roman" w:eastAsia="Times New Roman" w:hAnsi="Times New Roman"/>
          <w:sz w:val="16"/>
          <w:szCs w:val="16"/>
          <w:color w:val="auto"/>
        </w:rPr>
        <w:t>Our condensed consolidated financial statements for the three and nine months ended September 30, 2020 and 2019 reflect our operations and those of our consolidated subsidiaries. As discussed in Note 1 “Organization and Basis of Presentation” and in Note 3 “ITG Acquisition” of Part I Item 1 “Financial Statements” of this Quarterly Report on Form 10-Q, we have accounted for the ITG Acquisition under the acquisition method of accounting. Under the acquisition method of accounting, the assets and liabilities of Investment Technology Group, Inc. ("ITG"), as of March 1, 2019 (the "ITG Closing Date"),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 The financial results for the nine months ended September 30, 2019 comprise our results for the entire applicable period and the results of ITG from the ITG Closing Date through September 30, 2019. All periods prior to the ITG Closing Date comprise our results without the results of ITG.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32" w:lineRule="exact"/>
        <w:rPr>
          <w:sz w:val="20"/>
          <w:szCs w:val="20"/>
          <w:color w:val="auto"/>
        </w:rPr>
      </w:pPr>
    </w:p>
    <w:p>
      <w:pPr>
        <w:ind w:right="100" w:firstLine="597"/>
        <w:spacing w:after="0" w:line="247" w:lineRule="auto"/>
        <w:rPr>
          <w:sz w:val="20"/>
          <w:szCs w:val="20"/>
          <w:color w:val="auto"/>
        </w:rPr>
      </w:pPr>
      <w:r>
        <w:rPr>
          <w:rFonts w:ascii="Times New Roman" w:cs="Times New Roman" w:eastAsia="Times New Roman" w:hAnsi="Times New Roman"/>
          <w:sz w:val="17"/>
          <w:szCs w:val="17"/>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volatility and instability. The United States now has the world’s most reported COVID-19 cases, and all 50 states and the District of Columbia have reported cases of infected individuals. Similar impacts have been experienced in every country in which we do business. The Company has been impacted in various ways by the COVID-19 outbreak, including experiencing elevated levels of trading volumes and market volatility in the markets in which we operate during certain periods, which contributed positively to our results, and increases in short term funding requirements with clearing houses and counterparties as a consequence of these elevated trading volumes and market volatility. The Company also implemented its business continuity plan, including remote work arrangements for the majority of our employees during this pandemic.</w:t>
      </w:r>
    </w:p>
    <w:p>
      <w:pPr>
        <w:spacing w:after="0" w:line="205" w:lineRule="exact"/>
        <w:rPr>
          <w:sz w:val="20"/>
          <w:szCs w:val="20"/>
          <w:color w:val="auto"/>
        </w:rPr>
      </w:pPr>
    </w:p>
    <w:p>
      <w:pPr>
        <w:ind w:right="120" w:firstLine="597"/>
        <w:spacing w:after="0" w:line="252" w:lineRule="auto"/>
        <w:rPr>
          <w:sz w:val="20"/>
          <w:szCs w:val="20"/>
          <w:color w:val="auto"/>
        </w:rPr>
      </w:pPr>
      <w:r>
        <w:rPr>
          <w:rFonts w:ascii="Times New Roman" w:cs="Times New Roman" w:eastAsia="Times New Roman" w:hAnsi="Times New Roman"/>
          <w:sz w:val="17"/>
          <w:szCs w:val="17"/>
          <w:color w:val="auto"/>
        </w:rPr>
        <w:t>We will continue to monitor the impact of COVID-19, but at the date of this report it is too early to determine the full impact this virus may have on the global financial markets and the overall economy, as well as our business. Should this emerging macro-economic risk continue for an extended period, there could be an adverse material financial impact to the Company's businesses and investments, including a material reduction in the Company's results of operations. For more information on the potential impacts of the COVID-19 outbreak on our business, see Part II Item 1A “Risk Factors” of this Quarterly Report on Form 10-Q.</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7" w:lineRule="exact"/>
        <w:rPr>
          <w:sz w:val="20"/>
          <w:szCs w:val="20"/>
          <w:color w:val="auto"/>
        </w:rPr>
      </w:pPr>
    </w:p>
    <w:p>
      <w:pPr>
        <w:ind w:right="40" w:firstLine="597"/>
        <w:spacing w:after="0" w:line="250"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 party licensing or processing fees.</w:t>
      </w:r>
    </w:p>
    <w:p>
      <w:pPr>
        <w:spacing w:after="0" w:line="201"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96" w:lineRule="exact"/>
        <w:rPr>
          <w:sz w:val="20"/>
          <w:szCs w:val="20"/>
          <w:color w:val="auto"/>
        </w:rPr>
      </w:pPr>
    </w:p>
    <w:p>
      <w:pPr>
        <w:ind w:right="220" w:firstLine="597"/>
        <w:spacing w:after="0" w:line="252"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9" w:lineRule="exact"/>
        <w:rPr>
          <w:sz w:val="20"/>
          <w:szCs w:val="20"/>
          <w:color w:val="auto"/>
        </w:rPr>
      </w:pPr>
    </w:p>
    <w:p>
      <w:pPr>
        <w:ind w:right="820" w:firstLine="597"/>
        <w:spacing w:after="0" w:line="301" w:lineRule="auto"/>
        <w:rPr>
          <w:sz w:val="20"/>
          <w:szCs w:val="20"/>
          <w:color w:val="auto"/>
        </w:rPr>
      </w:pPr>
      <w:r>
        <w:rPr>
          <w:rFonts w:ascii="Times New Roman" w:cs="Times New Roman" w:eastAsia="Times New Roman" w:hAnsi="Times New Roman"/>
          <w:sz w:val="16"/>
          <w:szCs w:val="16"/>
          <w:color w:val="auto"/>
        </w:rPr>
        <w:t>On July 20, 2017 (the "KCG Closing Date"), the Company completed the all-cash Acquisition of KCG Holdings, Inc. ("KCG"). KCG was a leading independent securities firm offering clients a range of services designed to address trading needs across asset classes, product types and geographies.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As described below, we completed the ITG Acquisition on the ITG Closing Date.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investments via liquidity, execution, analytics and workflow technology solutions.</w:t>
      </w:r>
    </w:p>
    <w:p>
      <w:pPr>
        <w:spacing w:after="0" w:line="196" w:lineRule="exact"/>
        <w:rPr>
          <w:sz w:val="20"/>
          <w:szCs w:val="20"/>
          <w:color w:val="auto"/>
        </w:rPr>
      </w:pPr>
    </w:p>
    <w:p>
      <w:pPr>
        <w:ind w:right="260" w:firstLine="597"/>
        <w:spacing w:after="0" w:line="269"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32" w:lineRule="exact"/>
        <w:rPr>
          <w:sz w:val="20"/>
          <w:szCs w:val="20"/>
          <w:color w:val="auto"/>
        </w:rPr>
      </w:pPr>
    </w:p>
    <w:p>
      <w:pPr>
        <w:ind w:right="60" w:firstLine="597"/>
        <w:spacing w:after="0" w:line="268" w:lineRule="auto"/>
        <w:rPr>
          <w:sz w:val="20"/>
          <w:szCs w:val="20"/>
          <w:color w:val="auto"/>
        </w:rPr>
      </w:pPr>
      <w:r>
        <w:rPr>
          <w:rFonts w:ascii="Times New Roman" w:cs="Times New Roman" w:eastAsia="Times New Roman" w:hAnsi="Times New Roman"/>
          <w:sz w:val="16"/>
          <w:szCs w:val="16"/>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86" w:lineRule="exact"/>
        <w:rPr>
          <w:sz w:val="20"/>
          <w:szCs w:val="20"/>
          <w:color w:val="auto"/>
        </w:rPr>
      </w:pPr>
    </w:p>
    <w:p>
      <w:pPr>
        <w:ind w:right="200" w:firstLine="597"/>
        <w:spacing w:after="0" w:line="256"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32" w:lineRule="exact"/>
        <w:rPr>
          <w:sz w:val="20"/>
          <w:szCs w:val="20"/>
          <w:color w:val="auto"/>
        </w:rPr>
      </w:pPr>
    </w:p>
    <w:p>
      <w:pPr>
        <w:ind w:right="140" w:firstLine="597"/>
        <w:spacing w:after="0" w:line="262" w:lineRule="auto"/>
        <w:rPr>
          <w:sz w:val="20"/>
          <w:szCs w:val="20"/>
          <w:color w:val="auto"/>
        </w:rPr>
      </w:pPr>
      <w:r>
        <w:rPr>
          <w:rFonts w:ascii="Times New Roman" w:cs="Times New Roman" w:eastAsia="Times New Roman" w:hAnsi="Times New Roman"/>
          <w:sz w:val="16"/>
          <w:szCs w:val="16"/>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w:t>
      </w:r>
    </w:p>
    <w:p>
      <w:pPr>
        <w:spacing w:after="0" w:line="4" w:lineRule="exact"/>
        <w:rPr>
          <w:sz w:val="20"/>
          <w:szCs w:val="20"/>
          <w:color w:val="auto"/>
        </w:rPr>
      </w:pPr>
    </w:p>
    <w:p>
      <w:pPr>
        <w:ind w:right="440"/>
        <w:spacing w:after="0" w:line="248" w:lineRule="auto"/>
        <w:tabs>
          <w:tab w:leader="none" w:pos="2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tools enabling portfolio managers and traders to improve pre-trade, real-time and post-trade execution performance, (2) portfolio construction and optimization decisions and (3) securities valuation.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32"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Investment Technology Group, Inc.</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completion of the ITG Acquisition, a cash transaction valued at $30.30 per ITG share, or a total of approximately $1.0 billion.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05"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September 30, 2020, options to purchase 1,628,750 shares in the aggregate were forfeited and 5,173,098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32" w:lineRule="exact"/>
        <w:rPr>
          <w:sz w:val="20"/>
          <w:szCs w:val="20"/>
          <w:color w:val="auto"/>
        </w:rPr>
      </w:pPr>
    </w:p>
    <w:p>
      <w:pPr>
        <w:ind w:right="40" w:firstLine="597"/>
        <w:spacing w:after="0" w:line="24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 of Financial Condition as of September 30, 2020 in the amount of $0.1 million; (ii) deferred tax assets reflected on our Condensed Consolidated Statement of Financial Condition as of September 30, 2020 in the amount of $176.2 million and tax receivable agreement obligation in the amount of $256.0 million, in each case as described in greater detail in Note 6 “Tax Receivable Agreements” of Part I Item 1 “Financial Statements” of this Quarterly Report on Form 10-Q; (iii) current income tax receivable within Other Assets on the Condensed Consolidated Statement of Financial Condition as of September 30, 2020 in the amount of $85.5 million, (iv) a portion of the member's equity of Virtu Financial is represented as non-controlling interest on our Condensed Consolidated Statement of Financial Condition as of September 30, 2020; and (v) provision for corporate income tax in the amount of $32.1 million and $152.8 million reflected on our Condensed Consolidated Statements of Comprehensive Income for the three and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64" w:name="page65"/>
    <w:bookmarkEnd w:id="6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32"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and nine months ended September 30, 2020 and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40" w:type="dxa"/>
            <w:vAlign w:val="bottom"/>
          </w:tcPr>
          <w:p>
            <w:pPr>
              <w:spacing w:after="0"/>
              <w:rPr>
                <w:sz w:val="15"/>
                <w:szCs w:val="15"/>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Pr>
          <w:p>
            <w:pPr>
              <w:spacing w:after="0"/>
              <w:rPr>
                <w:sz w:val="15"/>
                <w:szCs w:val="15"/>
                <w:color w:val="auto"/>
              </w:rPr>
            </w:pPr>
          </w:p>
        </w:tc>
        <w:tc>
          <w:tcPr>
            <w:tcW w:w="2600" w:type="dxa"/>
            <w:vAlign w:val="bottom"/>
            <w:gridSpan w:val="4"/>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2"/>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6"/>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474,598</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249,802</w:t>
            </w:r>
          </w:p>
        </w:tc>
        <w:tc>
          <w:tcPr>
            <w:tcW w:w="14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2,064,300</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762,076</w:t>
            </w:r>
          </w:p>
        </w:tc>
      </w:tr>
      <w:tr>
        <w:trPr>
          <w:trHeight w:val="175"/>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312,866</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219,427</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1,053,429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662,200</w:t>
            </w:r>
          </w:p>
        </w:tc>
      </w:tr>
      <w:tr>
        <w:trPr>
          <w:trHeight w:val="166"/>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before income taxes and noncontrolling interest</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30,375</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1,010,871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99,876</w:t>
            </w:r>
          </w:p>
        </w:tc>
      </w:tr>
      <w:tr>
        <w:trPr>
          <w:trHeight w:val="175"/>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3"/>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133,805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500,621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358,325</w:t>
            </w:r>
          </w:p>
        </w:tc>
      </w:tr>
      <w:tr>
        <w:trPr>
          <w:trHeight w:val="175"/>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80,651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163,007</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362,742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453,628</w:t>
            </w:r>
          </w:p>
        </w:tc>
      </w:tr>
      <w:tr>
        <w:trPr>
          <w:trHeight w:val="166"/>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(95,303)</w:t>
            </w:r>
          </w:p>
        </w:tc>
      </w:tr>
      <w:tr>
        <w:trPr>
          <w:trHeight w:val="175"/>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3"/>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(2,528)</w:t>
            </w:r>
          </w:p>
        </w:tc>
      </w:tr>
      <w:tr>
        <w:trPr>
          <w:trHeight w:val="175"/>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5,734</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23,192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90,655</w:t>
            </w:r>
          </w:p>
        </w:tc>
      </w:tr>
      <w:tr>
        <w:trPr>
          <w:trHeight w:val="166"/>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(93,183)</w:t>
            </w:r>
          </w:p>
        </w:tc>
      </w:tr>
      <w:tr>
        <w:trPr>
          <w:trHeight w:val="175"/>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3"/>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656,112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382,340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1,117,873</w:t>
            </w:r>
          </w:p>
        </w:tc>
      </w:tr>
      <w:tr>
        <w:trPr>
          <w:trHeight w:val="175"/>
        </w:trPr>
        <w:tc>
          <w:tcPr>
            <w:tcW w:w="5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388,168</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1,439,363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1,206,483</w:t>
            </w:r>
          </w:p>
        </w:tc>
      </w:tr>
      <w:tr>
        <w:trPr>
          <w:trHeight w:val="165"/>
        </w:trPr>
        <w:tc>
          <w:tcPr>
            <w:tcW w:w="53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2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252,515</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(5,828)</w:t>
            </w:r>
          </w:p>
        </w:tc>
        <w:tc>
          <w:tcPr>
            <w:tcW w:w="140" w:type="dxa"/>
            <w:vAlign w:val="bottom"/>
          </w:tcPr>
          <w:p>
            <w:pPr>
              <w:spacing w:after="0"/>
              <w:rPr>
                <w:sz w:val="14"/>
                <w:szCs w:val="14"/>
                <w:color w:val="auto"/>
              </w:rPr>
            </w:pPr>
          </w:p>
        </w:tc>
        <w:tc>
          <w:tcPr>
            <w:tcW w:w="2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1,123,272</w:t>
            </w:r>
          </w:p>
        </w:tc>
        <w:tc>
          <w:tcPr>
            <w:tcW w:w="100" w:type="dxa"/>
            <w:vAlign w:val="bottom"/>
          </w:tcPr>
          <w:p>
            <w:pPr>
              <w:spacing w:after="0"/>
              <w:rPr>
                <w:sz w:val="14"/>
                <w:szCs w:val="14"/>
                <w:color w:val="auto"/>
              </w:rPr>
            </w:pP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(88,610)</w:t>
            </w:r>
          </w:p>
        </w:tc>
      </w:tr>
    </w:tbl>
    <w:p>
      <w:pPr>
        <w:spacing w:after="0" w:line="3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and nine months ended September 30, 2020 and 2019:</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5"/>
                <w:szCs w:val="15"/>
                <w:color w:val="auto"/>
              </w:rPr>
            </w:pPr>
          </w:p>
        </w:tc>
        <w:tc>
          <w:tcPr>
            <w:tcW w:w="2660" w:type="dxa"/>
            <w:vAlign w:val="bottom"/>
            <w:gridSpan w:val="4"/>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7"/>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r>
      <w:tr>
        <w:trPr>
          <w:trHeight w:val="174"/>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441,295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220,148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1,987,756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683,611</w:t>
            </w: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76,645</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139,627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452,333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359,894</w:t>
            </w:r>
          </w:p>
        </w:tc>
      </w:tr>
      <w:tr>
        <w:trPr>
          <w:trHeight w:val="173"/>
        </w:trPr>
        <w:tc>
          <w:tcPr>
            <w:tcW w:w="5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70,032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(2,277)</w:t>
            </w:r>
          </w:p>
        </w:tc>
      </w:tr>
      <w:tr>
        <w:trPr>
          <w:trHeight w:val="168"/>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382,340</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2,562,635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1,117,873</w:t>
            </w:r>
          </w:p>
        </w:tc>
      </w:tr>
      <w:tr>
        <w:trPr>
          <w:trHeight w:val="199"/>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196,448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98,789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573,769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285,890</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Communication and data processing</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162,336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156,004</w:t>
            </w: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Employee compensation and payroll taxes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90,595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282,135</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34,546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116,739</w:t>
            </w: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Operations and administrative</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25,333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73,480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76,293</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48,859</w:t>
            </w: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50,436</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66,490</w:t>
            </w:r>
          </w:p>
        </w:tc>
      </w:tr>
      <w:tr>
        <w:trPr>
          <w:trHeight w:val="17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Debt issue cost related to debt refinancing, prepayment and commitment fees</w:t>
            </w: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27,282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7,894</w:t>
            </w:r>
          </w:p>
        </w:tc>
      </w:tr>
      <w:tr>
        <w:trPr>
          <w:trHeight w:val="175"/>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Transaction advisory fees and expenses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24,074</w:t>
            </w:r>
          </w:p>
        </w:tc>
      </w:tr>
      <w:tr>
        <w:trPr>
          <w:trHeight w:val="173"/>
        </w:trPr>
        <w:tc>
          <w:tcPr>
            <w:tcW w:w="52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Financing interest expense on long-term borrowings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34,191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67,764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91,669</w:t>
            </w:r>
          </w:p>
        </w:tc>
      </w:tr>
      <w:tr>
        <w:trPr>
          <w:trHeight w:val="168"/>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403,597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388,168</w:t>
            </w:r>
          </w:p>
        </w:tc>
        <w:tc>
          <w:tcPr>
            <w:tcW w:w="1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1,439,363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1,206,483</w:t>
            </w:r>
          </w:p>
        </w:tc>
      </w:tr>
      <w:tr>
        <w:trPr>
          <w:trHeight w:val="166"/>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Income (loss) before income taxes and noncontrolling interest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(88,610)</w:t>
            </w:r>
          </w:p>
        </w:tc>
      </w:tr>
      <w:tr>
        <w:trPr>
          <w:trHeight w:val="174"/>
        </w:trPr>
        <w:tc>
          <w:tcPr>
            <w:tcW w:w="5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52,807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200,044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(14,322)</w:t>
            </w:r>
          </w:p>
        </w:tc>
      </w:tr>
      <w:tr>
        <w:trPr>
          <w:trHeight w:val="168"/>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199,708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140" w:type="dxa"/>
            <w:vAlign w:val="bottom"/>
          </w:tcPr>
          <w:p>
            <w:pPr>
              <w:spacing w:after="0"/>
              <w:rPr>
                <w:sz w:val="14"/>
                <w:szCs w:val="14"/>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923,228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(74,288)</w:t>
            </w: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32"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204"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17"/>
          <w:szCs w:val="17"/>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92"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Trading income, net. </w:t>
      </w:r>
      <w:r>
        <w:rPr>
          <w:rFonts w:ascii="Times New Roman" w:cs="Times New Roman" w:eastAsia="Times New Roman" w:hAnsi="Times New Roman"/>
          <w:sz w:val="16"/>
          <w:szCs w:val="16"/>
          <w:color w:val="auto"/>
        </w:rPr>
        <w:t>Trading income, net represents revenue earned from bid/ask spreads. Trading income is generated in the normal course of our market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w:t>
      </w:r>
    </w:p>
    <w:p>
      <w:pPr>
        <w:spacing w:after="0" w:line="2" w:lineRule="exact"/>
        <w:rPr>
          <w:sz w:val="20"/>
          <w:szCs w:val="20"/>
          <w:color w:val="auto"/>
        </w:rPr>
      </w:pPr>
    </w:p>
    <w:p>
      <w:pPr>
        <w:ind w:right="20"/>
        <w:spacing w:after="0" w:line="246" w:lineRule="auto"/>
        <w:tabs>
          <w:tab w:leader="none" w:pos="19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Equities and (ii) Global FICC, Options and Other. Our trading income, net, results from gains and losses associated with trading strategies, which are designed to capture small bid-ask spreads, while hedging risks. Trading income, net, accounted for 78% and 61% of our total revenues for the nine months ended September 30, 2020 and 2019, respectively.</w:t>
      </w:r>
    </w:p>
    <w:p>
      <w:pPr>
        <w:spacing w:after="0" w:line="199" w:lineRule="exact"/>
        <w:rPr>
          <w:sz w:val="20"/>
          <w:szCs w:val="20"/>
          <w:color w:val="auto"/>
        </w:rPr>
      </w:pPr>
    </w:p>
    <w:p>
      <w:pPr>
        <w:ind w:right="22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 interest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93" w:lineRule="exact"/>
        <w:rPr>
          <w:sz w:val="20"/>
          <w:szCs w:val="20"/>
          <w:color w:val="auto"/>
        </w:rPr>
      </w:pPr>
    </w:p>
    <w:p>
      <w:pPr>
        <w:ind w:right="240" w:firstLine="597"/>
        <w:spacing w:after="0" w:line="26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Commissions, net and technology services. </w:t>
      </w:r>
      <w:r>
        <w:rPr>
          <w:rFonts w:ascii="Times New Roman" w:cs="Times New Roman" w:eastAsia="Times New Roman" w:hAnsi="Times New Roman"/>
          <w:sz w:val="16"/>
          <w:szCs w:val="16"/>
          <w:color w:val="auto"/>
        </w:rPr>
        <w:t>We earn revenues on transactions for which we charge explicit commissions or commission equivalents,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 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189"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2" w:lineRule="exact"/>
        <w:rPr>
          <w:sz w:val="20"/>
          <w:szCs w:val="20"/>
          <w:color w:val="auto"/>
        </w:rPr>
      </w:pPr>
    </w:p>
    <w:p>
      <w:pPr>
        <w:ind w:right="52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each JV’s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or losses within other, net, while fees related to the use of communication services provided by the JVs are recorded within communications and data processing.</w:t>
      </w:r>
    </w:p>
    <w:p>
      <w:pPr>
        <w:spacing w:after="0" w:line="192"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We have a noncontrolling investment (the “SBI Investment”) in SBI, a proprietary trading system based in Tokyo. In connection with 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ind w:right="200" w:firstLine="597"/>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20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leased equipment, equipment co-location,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93" w:lineRule="exact"/>
        <w:rPr>
          <w:sz w:val="20"/>
          <w:szCs w:val="20"/>
          <w:color w:val="auto"/>
        </w:rPr>
      </w:pPr>
    </w:p>
    <w:p>
      <w:pPr>
        <w:ind w:right="100" w:firstLine="597"/>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compensation and payroll taxes. </w:t>
      </w:r>
      <w:r>
        <w:rPr>
          <w:rFonts w:ascii="Times New Roman" w:cs="Times New Roman" w:eastAsia="Times New Roman" w:hAnsi="Times New Roman"/>
          <w:sz w:val="16"/>
          <w:szCs w:val="16"/>
          <w:color w:val="auto"/>
        </w:rPr>
        <w:t>Employee compensation and payroll taxes include employee salaries, cash and non-cash incentive compensation,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177" w:lineRule="exact"/>
        <w:rPr>
          <w:sz w:val="20"/>
          <w:szCs w:val="20"/>
          <w:color w:val="auto"/>
        </w:rPr>
      </w:pPr>
    </w:p>
    <w:p>
      <w:pPr>
        <w:ind w:right="80" w:firstLine="59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 pursuant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collateralized lending transactions. Typically, dividend expense is incurred when a dividend is paid on securities sold short.</w:t>
      </w:r>
    </w:p>
    <w:p>
      <w:pPr>
        <w:spacing w:after="0" w:line="176" w:lineRule="exact"/>
        <w:rPr>
          <w:sz w:val="20"/>
          <w:szCs w:val="20"/>
          <w:color w:val="auto"/>
        </w:rPr>
      </w:pPr>
    </w:p>
    <w:p>
      <w:pPr>
        <w:ind w:right="60" w:firstLine="59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 and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expenses.</w:t>
      </w:r>
    </w:p>
    <w:p>
      <w:pPr>
        <w:spacing w:after="0" w:line="176" w:lineRule="exact"/>
        <w:rPr>
          <w:sz w:val="20"/>
          <w:szCs w:val="20"/>
          <w:color w:val="auto"/>
        </w:rPr>
      </w:pPr>
    </w:p>
    <w:p>
      <w:pPr>
        <w:ind w:firstLine="597"/>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and amortization. </w:t>
      </w:r>
      <w:r>
        <w:rPr>
          <w:rFonts w:ascii="Times New Roman" w:cs="Times New Roman" w:eastAsia="Times New Roman" w:hAnsi="Times New Roman"/>
          <w:sz w:val="16"/>
          <w:szCs w:val="16"/>
          <w:color w:val="auto"/>
        </w:rPr>
        <w:t>Depreciation and amortization expense results from the depreciation of fixed assets, such as computing and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81" w:lineRule="exact"/>
        <w:rPr>
          <w:sz w:val="20"/>
          <w:szCs w:val="20"/>
          <w:color w:val="auto"/>
        </w:rPr>
      </w:pPr>
    </w:p>
    <w:p>
      <w:pPr>
        <w:ind w:right="8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 represents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93" w:lineRule="exact"/>
        <w:rPr>
          <w:sz w:val="20"/>
          <w:szCs w:val="20"/>
          <w:color w:val="auto"/>
        </w:rPr>
      </w:pPr>
    </w:p>
    <w:p>
      <w:pPr>
        <w:ind w:right="2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 effort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88" w:lineRule="exact"/>
        <w:rPr>
          <w:sz w:val="20"/>
          <w:szCs w:val="20"/>
          <w:color w:val="auto"/>
        </w:rPr>
      </w:pPr>
    </w:p>
    <w:p>
      <w:pPr>
        <w:ind w:right="8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costs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8" w:lineRule="exact"/>
        <w:rPr>
          <w:sz w:val="20"/>
          <w:szCs w:val="20"/>
          <w:color w:val="auto"/>
        </w:rPr>
      </w:pPr>
    </w:p>
    <w:p>
      <w:pPr>
        <w:ind w:right="100" w:firstLine="59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 the ITG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 in 2019.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240" w:firstLine="59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232" w:lineRule="exact"/>
        <w:rPr>
          <w:sz w:val="20"/>
          <w:szCs w:val="20"/>
          <w:color w:val="auto"/>
        </w:rPr>
      </w:pPr>
    </w:p>
    <w:p>
      <w:pPr>
        <w:ind w:right="220" w:firstLine="597"/>
        <w:spacing w:after="0" w:line="269" w:lineRule="auto"/>
        <w:rPr>
          <w:sz w:val="20"/>
          <w:szCs w:val="20"/>
          <w:color w:val="auto"/>
        </w:rPr>
      </w:pPr>
      <w:r>
        <w:rPr>
          <w:rFonts w:ascii="Times New Roman" w:cs="Times New Roman" w:eastAsia="Times New Roman" w:hAnsi="Times New Roman"/>
          <w:sz w:val="17"/>
          <w:szCs w:val="17"/>
          <w:color w:val="auto"/>
        </w:rPr>
        <w:t>We are subject to U.S. federal, state and local income tax at the rate applicable to corporations less the rate attributable to the noncontrolling interest in Virtu Financial.</w:t>
      </w:r>
    </w:p>
    <w:p>
      <w:pPr>
        <w:spacing w:after="0" w:line="184"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201"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32" w:lineRule="exact"/>
        <w:rPr>
          <w:sz w:val="20"/>
          <w:szCs w:val="20"/>
          <w:color w:val="auto"/>
        </w:rPr>
      </w:pPr>
    </w:p>
    <w:p>
      <w:pPr>
        <w:ind w:right="340" w:firstLine="597"/>
        <w:spacing w:after="0" w:line="269"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84" w:lineRule="exact"/>
        <w:rPr>
          <w:sz w:val="20"/>
          <w:szCs w:val="20"/>
          <w:color w:val="auto"/>
        </w:rPr>
      </w:pPr>
    </w:p>
    <w:p>
      <w:pPr>
        <w:ind w:left="980" w:right="100" w:hanging="234"/>
        <w:spacing w:after="0" w:line="248" w:lineRule="auto"/>
        <w:tabs>
          <w:tab w:leader="none" w:pos="9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9" w:lineRule="exact"/>
        <w:rPr>
          <w:rFonts w:ascii="Times New Roman" w:cs="Times New Roman" w:eastAsia="Times New Roman" w:hAnsi="Times New Roman"/>
          <w:sz w:val="17"/>
          <w:szCs w:val="17"/>
          <w:color w:val="auto"/>
        </w:rPr>
      </w:pPr>
    </w:p>
    <w:p>
      <w:pPr>
        <w:ind w:left="980" w:hanging="234"/>
        <w:spacing w:after="0" w:line="250" w:lineRule="auto"/>
        <w:tabs>
          <w:tab w:leader="none" w:pos="9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76" w:lineRule="exact"/>
        <w:rPr>
          <w:rFonts w:ascii="Times New Roman" w:cs="Times New Roman" w:eastAsia="Times New Roman" w:hAnsi="Times New Roman"/>
          <w:sz w:val="17"/>
          <w:szCs w:val="17"/>
          <w:color w:val="auto"/>
        </w:rPr>
      </w:pPr>
    </w:p>
    <w:p>
      <w:pPr>
        <w:ind w:left="980" w:right="80" w:hanging="234"/>
        <w:spacing w:after="0" w:line="252" w:lineRule="auto"/>
        <w:tabs>
          <w:tab w:leader="none" w:pos="9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an effective tax rate, which was approximately 24%.</w:t>
      </w:r>
    </w:p>
    <w:p>
      <w:pPr>
        <w:spacing w:after="0" w:line="74" w:lineRule="exact"/>
        <w:rPr>
          <w:rFonts w:ascii="Times New Roman" w:cs="Times New Roman" w:eastAsia="Times New Roman" w:hAnsi="Times New Roman"/>
          <w:sz w:val="17"/>
          <w:szCs w:val="17"/>
          <w:color w:val="auto"/>
        </w:rPr>
      </w:pPr>
    </w:p>
    <w:p>
      <w:pPr>
        <w:ind w:left="960" w:hanging="214"/>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28" w:lineRule="exact"/>
        <w:rPr>
          <w:sz w:val="20"/>
          <w:szCs w:val="20"/>
          <w:color w:val="auto"/>
        </w:rPr>
      </w:pPr>
    </w:p>
    <w:p>
      <w:pPr>
        <w:ind w:firstLine="597"/>
        <w:spacing w:after="0" w:line="246"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6" w:lineRule="exact"/>
        <w:rPr>
          <w:sz w:val="20"/>
          <w:szCs w:val="20"/>
          <w:color w:val="auto"/>
        </w:rPr>
      </w:pPr>
    </w:p>
    <w:p>
      <w:pPr>
        <w:ind w:right="60" w:firstLine="597"/>
        <w:spacing w:after="0" w:line="252"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9" w:lineRule="exact"/>
        <w:rPr>
          <w:sz w:val="20"/>
          <w:szCs w:val="20"/>
          <w:color w:val="auto"/>
        </w:rPr>
      </w:pPr>
    </w:p>
    <w:p>
      <w:pPr>
        <w:ind w:left="960" w:hanging="214"/>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3"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980" w:right="100" w:hanging="234"/>
        <w:spacing w:after="0" w:line="269" w:lineRule="auto"/>
        <w:tabs>
          <w:tab w:leader="none" w:pos="97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59" w:lineRule="exact"/>
        <w:rPr>
          <w:rFonts w:ascii="Times New Roman" w:cs="Times New Roman" w:eastAsia="Times New Roman" w:hAnsi="Times New Roman"/>
          <w:sz w:val="17"/>
          <w:szCs w:val="17"/>
          <w:color w:val="auto"/>
        </w:rPr>
      </w:pPr>
    </w:p>
    <w:p>
      <w:pPr>
        <w:ind w:left="980" w:right="620" w:hanging="234"/>
        <w:spacing w:after="0" w:line="301" w:lineRule="auto"/>
        <w:tabs>
          <w:tab w:leader="none" w:pos="97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36" w:lineRule="exact"/>
        <w:rPr>
          <w:rFonts w:ascii="Times New Roman" w:cs="Times New Roman" w:eastAsia="Times New Roman" w:hAnsi="Times New Roman"/>
          <w:sz w:val="16"/>
          <w:szCs w:val="16"/>
          <w:color w:val="auto"/>
        </w:rPr>
      </w:pPr>
    </w:p>
    <w:p>
      <w:pPr>
        <w:ind w:left="960" w:hanging="214"/>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statements of cash flows;</w:t>
      </w:r>
    </w:p>
    <w:p>
      <w:pPr>
        <w:spacing w:after="0" w:line="103" w:lineRule="exact"/>
        <w:rPr>
          <w:rFonts w:ascii="Times New Roman" w:cs="Times New Roman" w:eastAsia="Times New Roman" w:hAnsi="Times New Roman"/>
          <w:sz w:val="17"/>
          <w:szCs w:val="17"/>
          <w:color w:val="auto"/>
        </w:rPr>
      </w:pPr>
    </w:p>
    <w:p>
      <w:pPr>
        <w:ind w:left="960" w:hanging="214"/>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03" w:lineRule="exact"/>
        <w:rPr>
          <w:rFonts w:ascii="Times New Roman" w:cs="Times New Roman" w:eastAsia="Times New Roman" w:hAnsi="Times New Roman"/>
          <w:sz w:val="17"/>
          <w:szCs w:val="17"/>
          <w:color w:val="auto"/>
        </w:rPr>
      </w:pPr>
    </w:p>
    <w:p>
      <w:pPr>
        <w:ind w:left="960" w:hanging="214"/>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28" w:lineRule="exact"/>
        <w:rPr>
          <w:sz w:val="20"/>
          <w:szCs w:val="20"/>
          <w:color w:val="auto"/>
        </w:rPr>
      </w:pPr>
    </w:p>
    <w:p>
      <w:pPr>
        <w:ind w:right="140" w:firstLine="597"/>
        <w:spacing w:after="0" w:line="266" w:lineRule="auto"/>
        <w:rPr>
          <w:sz w:val="20"/>
          <w:szCs w:val="20"/>
          <w:color w:val="auto"/>
        </w:rPr>
      </w:pPr>
      <w:r>
        <w:rPr>
          <w:rFonts w:ascii="Times New Roman" w:cs="Times New Roman" w:eastAsia="Times New Roman" w:hAnsi="Times New Roman"/>
          <w:sz w:val="16"/>
          <w:szCs w:val="16"/>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w:t>
      </w:r>
    </w:p>
    <w:p>
      <w:pPr>
        <w:spacing w:after="0" w:line="2"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6"/>
          <w:szCs w:val="16"/>
          <w:color w:val="auto"/>
        </w:rPr>
        <w:t>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78" w:lineRule="exact"/>
        <w:rPr>
          <w:sz w:val="20"/>
          <w:szCs w:val="20"/>
          <w:color w:val="auto"/>
        </w:rPr>
      </w:pPr>
    </w:p>
    <w:p>
      <w:pPr>
        <w:ind w:right="600"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and nine months ended September 30, 2020 and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00" w:type="dxa"/>
            <w:vAlign w:val="bottom"/>
          </w:tcPr>
          <w:p>
            <w:pPr>
              <w:spacing w:after="0"/>
              <w:rPr>
                <w:sz w:val="12"/>
                <w:szCs w:val="12"/>
                <w:color w:val="auto"/>
              </w:rPr>
            </w:pPr>
          </w:p>
        </w:tc>
        <w:tc>
          <w:tcPr>
            <w:tcW w:w="2360" w:type="dxa"/>
            <w:vAlign w:val="bottom"/>
            <w:gridSpan w:val="4"/>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4"/>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7"/>
        </w:trPr>
        <w:tc>
          <w:tcPr>
            <w:tcW w:w="5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441,295</w:t>
            </w:r>
          </w:p>
        </w:tc>
        <w:tc>
          <w:tcPr>
            <w:tcW w:w="10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220,148</w:t>
            </w:r>
          </w:p>
        </w:tc>
        <w:tc>
          <w:tcPr>
            <w:tcW w:w="14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1,987,756</w:t>
            </w:r>
          </w:p>
        </w:tc>
        <w:tc>
          <w:tcPr>
            <w:tcW w:w="100" w:type="dxa"/>
            <w:vAlign w:val="bottom"/>
          </w:tcPr>
          <w:p>
            <w:pPr>
              <w:spacing w:after="0"/>
              <w:rPr>
                <w:sz w:val="15"/>
                <w:szCs w:val="15"/>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683,611</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10,932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23,352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46,788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76,645</w:t>
            </w: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18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133,853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139,627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452,333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359,894</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(196,448)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(98,789)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(573,769)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(285,890)</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(27,374)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(34,546)</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(97,656)</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(116,739)</w:t>
            </w:r>
          </w:p>
        </w:tc>
        <w:tc>
          <w:tcPr>
            <w:tcW w:w="0" w:type="dxa"/>
            <w:vAlign w:val="bottom"/>
          </w:tcPr>
          <w:p>
            <w:pPr>
              <w:spacing w:after="0"/>
              <w:rPr>
                <w:sz w:val="1"/>
                <w:szCs w:val="1"/>
                <w:color w:val="auto"/>
              </w:rPr>
            </w:pPr>
          </w:p>
        </w:tc>
      </w:tr>
      <w:tr>
        <w:trPr>
          <w:trHeight w:val="16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Trading Income</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362,258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249,792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1,815,452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717,521</w:t>
            </w:r>
          </w:p>
        </w:tc>
        <w:tc>
          <w:tcPr>
            <w:tcW w:w="0" w:type="dxa"/>
            <w:vAlign w:val="bottom"/>
          </w:tcPr>
          <w:p>
            <w:pPr>
              <w:spacing w:after="0"/>
              <w:rPr>
                <w:sz w:val="1"/>
                <w:szCs w:val="1"/>
                <w:color w:val="auto"/>
              </w:rPr>
            </w:pPr>
          </w:p>
        </w:tc>
      </w:tr>
      <w:tr>
        <w:trPr>
          <w:trHeight w:val="199"/>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Net Income to EBITDA and Adjusted EBITDA</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199,708</w:t>
            </w:r>
          </w:p>
        </w:tc>
        <w:tc>
          <w:tcPr>
            <w:tcW w:w="10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(5,184)</w:t>
            </w:r>
          </w:p>
        </w:tc>
        <w:tc>
          <w:tcPr>
            <w:tcW w:w="14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923,228</w:t>
            </w:r>
          </w:p>
        </w:tc>
        <w:tc>
          <w:tcPr>
            <w:tcW w:w="100" w:type="dxa"/>
            <w:vAlign w:val="bottom"/>
          </w:tcPr>
          <w:p>
            <w:pPr>
              <w:spacing w:after="0"/>
              <w:rPr>
                <w:sz w:val="15"/>
                <w:szCs w:val="15"/>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(74,288)</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Financing interest expense on long-term borrowings</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20,358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34,191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67,764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91,669</w:t>
            </w: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Debt issue cost related to debt refinancing, prepayment, and commitment fees</w:t>
            </w:r>
          </w:p>
        </w:tc>
        <w:tc>
          <w:tcPr>
            <w:tcW w:w="18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27,282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7,894</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16,656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17,598</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50,728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48,859</w:t>
            </w: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18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18,265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18,908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56,177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50,436</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52,807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(644)</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200,044</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(14,322)</w:t>
            </w:r>
          </w:p>
        </w:tc>
        <w:tc>
          <w:tcPr>
            <w:tcW w:w="0" w:type="dxa"/>
            <w:vAlign w:val="bottom"/>
          </w:tcPr>
          <w:p>
            <w:pPr>
              <w:spacing w:after="0"/>
              <w:rPr>
                <w:sz w:val="1"/>
                <w:szCs w:val="1"/>
                <w:color w:val="auto"/>
              </w:rPr>
            </w:pPr>
          </w:p>
        </w:tc>
      </w:tr>
      <w:tr>
        <w:trPr>
          <w:trHeight w:val="166"/>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317,710</w:t>
            </w:r>
          </w:p>
        </w:tc>
        <w:tc>
          <w:tcPr>
            <w:tcW w:w="10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64,869</w:t>
            </w:r>
          </w:p>
        </w:tc>
        <w:tc>
          <w:tcPr>
            <w:tcW w:w="14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1,325,223</w:t>
            </w:r>
          </w:p>
        </w:tc>
        <w:tc>
          <w:tcPr>
            <w:tcW w:w="100" w:type="dxa"/>
            <w:vAlign w:val="bottom"/>
          </w:tcPr>
          <w:p>
            <w:pPr>
              <w:spacing w:after="0"/>
              <w:rPr>
                <w:sz w:val="14"/>
                <w:szCs w:val="14"/>
                <w:color w:val="auto"/>
              </w:rPr>
            </w:pP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110,248</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Severance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3,030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13,403</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7,192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74,627</w:t>
            </w: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Transaction advisory fees and expenses</w:t>
            </w:r>
          </w:p>
        </w:tc>
        <w:tc>
          <w:tcPr>
            <w:tcW w:w="180" w:type="dxa"/>
            <w:vAlign w:val="bottom"/>
          </w:tcPr>
          <w:p>
            <w:pPr>
              <w:spacing w:after="0"/>
              <w:rPr>
                <w:sz w:val="15"/>
                <w:szCs w:val="15"/>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2,463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7,163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2,737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24,074</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1,278</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66,490</w:t>
            </w: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Gain on sale of MATCHNow</w:t>
            </w:r>
          </w:p>
        </w:tc>
        <w:tc>
          <w:tcPr>
            <w:tcW w:w="180" w:type="dxa"/>
            <w:vAlign w:val="bottom"/>
          </w:tcPr>
          <w:p>
            <w:pPr>
              <w:spacing w:after="0"/>
              <w:rPr>
                <w:sz w:val="15"/>
                <w:szCs w:val="15"/>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(58,652)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(58,652)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(11,138)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787</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rPr>
              <w:t>(10,157)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Share based compensation</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color w:val="auto"/>
              </w:rPr>
              <w:t>(4,740)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color w:val="auto"/>
              </w:rPr>
              <w:t>16,374</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37,510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39,564</w:t>
            </w:r>
          </w:p>
        </w:tc>
        <w:tc>
          <w:tcPr>
            <w:tcW w:w="0" w:type="dxa"/>
            <w:vAlign w:val="bottom"/>
          </w:tcPr>
          <w:p>
            <w:pPr>
              <w:spacing w:after="0"/>
              <w:rPr>
                <w:sz w:val="1"/>
                <w:szCs w:val="1"/>
                <w:color w:val="auto"/>
              </w:rPr>
            </w:pPr>
          </w:p>
        </w:tc>
      </w:tr>
      <w:tr>
        <w:trPr>
          <w:trHeight w:val="168"/>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248,733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103,874</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1,304,196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317,281</w:t>
            </w:r>
          </w:p>
        </w:tc>
        <w:tc>
          <w:tcPr>
            <w:tcW w:w="0" w:type="dxa"/>
            <w:vAlign w:val="bottom"/>
          </w:tcPr>
          <w:p>
            <w:pPr>
              <w:spacing w:after="0"/>
              <w:rPr>
                <w:sz w:val="1"/>
                <w:szCs w:val="1"/>
                <w:color w:val="auto"/>
              </w:rPr>
            </w:pPr>
          </w:p>
        </w:tc>
      </w:tr>
      <w:tr>
        <w:trPr>
          <w:trHeight w:val="199"/>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Selected Operating Margins</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Income Margin (1)</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50.9 %</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7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EBITDA Margin (2)</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26.0 %</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73.0 %</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15.4 %</w:t>
            </w:r>
          </w:p>
        </w:tc>
        <w:tc>
          <w:tcPr>
            <w:tcW w:w="0" w:type="dxa"/>
            <w:vAlign w:val="bottom"/>
          </w:tcPr>
          <w:p>
            <w:pPr>
              <w:spacing w:after="0"/>
              <w:rPr>
                <w:sz w:val="1"/>
                <w:szCs w:val="1"/>
                <w:color w:val="auto"/>
              </w:rPr>
            </w:pPr>
          </w:p>
        </w:tc>
      </w:tr>
      <w:tr>
        <w:trPr>
          <w:trHeight w:val="172"/>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Adjusted EBITDA Margin (3)</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41.6 %</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71.8 %</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44.2 %</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80" w:hanging="380"/>
        <w:spacing w:after="0"/>
        <w:tabs>
          <w:tab w:leader="none" w:pos="3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by dividing net income by Adjusted Net Trading Income.</w:t>
      </w:r>
    </w:p>
    <w:p>
      <w:pPr>
        <w:spacing w:after="0" w:line="17" w:lineRule="exact"/>
        <w:rPr>
          <w:rFonts w:ascii="Times New Roman" w:cs="Times New Roman" w:eastAsia="Times New Roman" w:hAnsi="Times New Roman"/>
          <w:sz w:val="15"/>
          <w:szCs w:val="15"/>
          <w:color w:val="auto"/>
        </w:rPr>
      </w:pPr>
    </w:p>
    <w:p>
      <w:pPr>
        <w:ind w:left="380" w:hanging="380"/>
        <w:spacing w:after="0"/>
        <w:tabs>
          <w:tab w:leader="none" w:pos="38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by dividing EBITDA by Adjusted Net Trading Income.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left="380" w:hanging="380"/>
        <w:spacing w:after="0"/>
        <w:tabs>
          <w:tab w:leader="none" w:pos="3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by dividing Adjusted EBITDA by Adjusted Net Trading Income.</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and nine months ended September 30, 2020 and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2"/>
                <w:szCs w:val="12"/>
                <w:color w:val="auto"/>
              </w:rPr>
            </w:pPr>
          </w:p>
        </w:tc>
        <w:tc>
          <w:tcPr>
            <w:tcW w:w="2320" w:type="dxa"/>
            <w:vAlign w:val="bottom"/>
            <w:gridSpan w:val="4"/>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74"/>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0" w:type="dxa"/>
            <w:vAlign w:val="bottom"/>
          </w:tcPr>
          <w:p>
            <w:pPr>
              <w:spacing w:after="0"/>
              <w:rPr>
                <w:sz w:val="1"/>
                <w:szCs w:val="1"/>
                <w:color w:val="auto"/>
              </w:rPr>
            </w:pPr>
          </w:p>
        </w:tc>
      </w:tr>
      <w:tr>
        <w:trPr>
          <w:trHeight w:val="167"/>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199,708</w:t>
            </w:r>
          </w:p>
        </w:tc>
        <w:tc>
          <w:tcPr>
            <w:tcW w:w="100" w:type="dxa"/>
            <w:vAlign w:val="bottom"/>
          </w:tcPr>
          <w:p>
            <w:pPr>
              <w:spacing w:after="0"/>
              <w:rPr>
                <w:sz w:val="15"/>
                <w:szCs w:val="15"/>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14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923,228</w:t>
            </w:r>
          </w:p>
        </w:tc>
        <w:tc>
          <w:tcPr>
            <w:tcW w:w="100" w:type="dxa"/>
            <w:vAlign w:val="bottom"/>
          </w:tcPr>
          <w:p>
            <w:pPr>
              <w:spacing w:after="0"/>
              <w:rPr>
                <w:sz w:val="15"/>
                <w:szCs w:val="15"/>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(74,288)</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52,807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200,044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(14,322)</w:t>
            </w:r>
          </w:p>
        </w:tc>
        <w:tc>
          <w:tcPr>
            <w:tcW w:w="0" w:type="dxa"/>
            <w:vAlign w:val="bottom"/>
          </w:tcPr>
          <w:p>
            <w:pPr>
              <w:spacing w:after="0"/>
              <w:rPr>
                <w:sz w:val="1"/>
                <w:szCs w:val="1"/>
                <w:color w:val="auto"/>
              </w:rPr>
            </w:pPr>
          </w:p>
        </w:tc>
      </w:tr>
      <w:tr>
        <w:trPr>
          <w:trHeight w:val="166"/>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252,515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(5,828)</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1,123,272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(88,610)</w:t>
            </w:r>
          </w:p>
        </w:tc>
        <w:tc>
          <w:tcPr>
            <w:tcW w:w="0" w:type="dxa"/>
            <w:vAlign w:val="bottom"/>
          </w:tcPr>
          <w:p>
            <w:pPr>
              <w:spacing w:after="0"/>
              <w:rPr>
                <w:sz w:val="1"/>
                <w:szCs w:val="1"/>
                <w:color w:val="auto"/>
              </w:rPr>
            </w:pPr>
          </w:p>
        </w:tc>
      </w:tr>
      <w:tr>
        <w:trPr>
          <w:trHeight w:val="200"/>
        </w:trPr>
        <w:tc>
          <w:tcPr>
            <w:tcW w:w="5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18,908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56,177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50,436</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Debt issue cost related to debt refinancing, prepayment, and commitment fees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7,894</w:t>
            </w:r>
          </w:p>
        </w:tc>
        <w:tc>
          <w:tcPr>
            <w:tcW w:w="0" w:type="dxa"/>
            <w:vAlign w:val="bottom"/>
          </w:tcPr>
          <w:p>
            <w:pPr>
              <w:spacing w:after="0"/>
              <w:rPr>
                <w:sz w:val="1"/>
                <w:szCs w:val="1"/>
                <w:color w:val="auto"/>
              </w:rPr>
            </w:pPr>
          </w:p>
        </w:tc>
      </w:tr>
      <w:tr>
        <w:trPr>
          <w:trHeight w:val="17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Severance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13,403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7,192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74,627</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Transaction advisory fees and expenses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24,074</w:t>
            </w:r>
          </w:p>
        </w:tc>
        <w:tc>
          <w:tcPr>
            <w:tcW w:w="0" w:type="dxa"/>
            <w:vAlign w:val="bottom"/>
          </w:tcPr>
          <w:p>
            <w:pPr>
              <w:spacing w:after="0"/>
              <w:rPr>
                <w:sz w:val="1"/>
                <w:szCs w:val="1"/>
                <w:color w:val="auto"/>
              </w:rPr>
            </w:pPr>
          </w:p>
        </w:tc>
      </w:tr>
      <w:tr>
        <w:trPr>
          <w:trHeight w:val="17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66,490</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MATCHNow</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 based compensation</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16,374</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37,510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39,564</w:t>
            </w:r>
          </w:p>
        </w:tc>
        <w:tc>
          <w:tcPr>
            <w:tcW w:w="0" w:type="dxa"/>
            <w:vAlign w:val="bottom"/>
          </w:tcPr>
          <w:p>
            <w:pPr>
              <w:spacing w:after="0"/>
              <w:rPr>
                <w:sz w:val="1"/>
                <w:szCs w:val="1"/>
                <w:color w:val="auto"/>
              </w:rPr>
            </w:pPr>
          </w:p>
        </w:tc>
      </w:tr>
      <w:tr>
        <w:trPr>
          <w:trHeight w:val="166"/>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Normalized Adjusted Net Income before income taxes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52,085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1,185,704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176,753</w:t>
            </w:r>
          </w:p>
        </w:tc>
        <w:tc>
          <w:tcPr>
            <w:tcW w:w="0" w:type="dxa"/>
            <w:vAlign w:val="bottom"/>
          </w:tcPr>
          <w:p>
            <w:pPr>
              <w:spacing w:after="0"/>
              <w:rPr>
                <w:sz w:val="1"/>
                <w:szCs w:val="1"/>
                <w:color w:val="auto"/>
              </w:rPr>
            </w:pPr>
          </w:p>
        </w:tc>
      </w:tr>
      <w:tr>
        <w:trPr>
          <w:trHeight w:val="175"/>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Normalized provision for income taxes (1)</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50,813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284,569</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42,421</w:t>
            </w:r>
          </w:p>
        </w:tc>
        <w:tc>
          <w:tcPr>
            <w:tcW w:w="0" w:type="dxa"/>
            <w:vAlign w:val="bottom"/>
          </w:tcPr>
          <w:p>
            <w:pPr>
              <w:spacing w:after="0"/>
              <w:rPr>
                <w:sz w:val="1"/>
                <w:szCs w:val="1"/>
                <w:color w:val="auto"/>
              </w:rPr>
            </w:pPr>
          </w:p>
        </w:tc>
      </w:tr>
      <w:tr>
        <w:trPr>
          <w:trHeight w:val="16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Normalized Adjusted Net Income</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160,906</w:t>
            </w:r>
          </w:p>
        </w:tc>
        <w:tc>
          <w:tcPr>
            <w:tcW w:w="10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39,585</w:t>
            </w:r>
          </w:p>
        </w:tc>
        <w:tc>
          <w:tcPr>
            <w:tcW w:w="14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901,135</w:t>
            </w:r>
          </w:p>
        </w:tc>
        <w:tc>
          <w:tcPr>
            <w:tcW w:w="10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134,332</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Weighted Average Adjusted shares outstanding (2)</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198,097,715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192,618,019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196,736,969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192,959,477</w:t>
            </w:r>
          </w:p>
        </w:tc>
        <w:tc>
          <w:tcPr>
            <w:tcW w:w="0" w:type="dxa"/>
            <w:vAlign w:val="bottom"/>
          </w:tcPr>
          <w:p>
            <w:pPr>
              <w:spacing w:after="0"/>
              <w:rPr>
                <w:sz w:val="1"/>
                <w:szCs w:val="1"/>
                <w:color w:val="auto"/>
              </w:rPr>
            </w:pPr>
          </w:p>
        </w:tc>
      </w:tr>
      <w:tr>
        <w:trPr>
          <w:trHeight w:val="250"/>
        </w:trPr>
        <w:tc>
          <w:tcPr>
            <w:tcW w:w="5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Normalized Adjusted EPS</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0.81</w:t>
            </w:r>
          </w:p>
        </w:tc>
        <w:tc>
          <w:tcPr>
            <w:tcW w:w="100" w:type="dxa"/>
            <w:vAlign w:val="bottom"/>
          </w:tcPr>
          <w:p>
            <w:pPr>
              <w:spacing w:after="0"/>
              <w:rPr>
                <w:sz w:val="14"/>
                <w:szCs w:val="14"/>
                <w:color w:val="auto"/>
              </w:rPr>
            </w:pP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4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Pr>
          <w:p>
            <w:pPr>
              <w:spacing w:after="0"/>
              <w:rPr>
                <w:sz w:val="14"/>
                <w:szCs w:val="14"/>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84086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40865" cy="7620"/>
                    </a:xfrm>
                    <a:prstGeom prst="rect">
                      <a:avLst/>
                    </a:prstGeom>
                    <a:noFill/>
                  </pic:spPr>
                </pic:pic>
              </a:graphicData>
            </a:graphic>
          </wp:anchor>
        </w:drawing>
      </w:r>
    </w:p>
    <w:p>
      <w:pPr>
        <w:spacing w:after="0" w:line="244" w:lineRule="exact"/>
        <w:rPr>
          <w:sz w:val="20"/>
          <w:szCs w:val="20"/>
          <w:color w:val="auto"/>
        </w:rPr>
      </w:pPr>
    </w:p>
    <w:p>
      <w:pPr>
        <w:ind w:left="380" w:hanging="380"/>
        <w:spacing w:after="0"/>
        <w:tabs>
          <w:tab w:leader="none" w:pos="38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U.S. federal, state, and local income tax rate applicable to corporations of approximately 24% for 2020 and 24% for 2019.</w:t>
      </w:r>
    </w:p>
    <w:p>
      <w:pPr>
        <w:spacing w:after="0" w:line="17" w:lineRule="exact"/>
        <w:rPr>
          <w:rFonts w:ascii="Times New Roman" w:cs="Times New Roman" w:eastAsia="Times New Roman" w:hAnsi="Times New Roman"/>
          <w:sz w:val="15"/>
          <w:szCs w:val="15"/>
          <w:color w:val="auto"/>
        </w:rPr>
      </w:pPr>
    </w:p>
    <w:p>
      <w:pPr>
        <w:ind w:left="380" w:right="180" w:hanging="380"/>
        <w:spacing w:after="0" w:line="259" w:lineRule="auto"/>
        <w:tabs>
          <w:tab w:leader="none" w:pos="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w:t>
      </w:r>
    </w:p>
    <w:p>
      <w:pPr>
        <w:ind w:left="380" w:right="40"/>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nine months ended September 30, 2020 and 2019 as well as warrants issued in connection with the Founder Member Loan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following tables reconcile Trading income, net to Adjusted Net Trading Income by segment for the three and nine months ended September 30, 2020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w:t>
      </w:r>
    </w:p>
    <w:p>
      <w:pPr>
        <w:spacing w:after="0" w:line="68" w:lineRule="exact"/>
        <w:rPr>
          <w:sz w:val="20"/>
          <w:szCs w:val="20"/>
          <w:color w:val="auto"/>
        </w:rPr>
      </w:pPr>
    </w:p>
    <w:tbl>
      <w:tblPr>
        <w:tblLayout w:type="fixed"/>
        <w:tblInd w:w="106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6"/>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441,829</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441,295</w:t>
            </w: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124,462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133,853</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10,932</w:t>
            </w:r>
          </w:p>
        </w:tc>
        <w:tc>
          <w:tcPr>
            <w:tcW w:w="0" w:type="dxa"/>
            <w:vAlign w:val="bottom"/>
          </w:tcPr>
          <w:p>
            <w:pPr>
              <w:spacing w:after="0"/>
              <w:rPr>
                <w:sz w:val="1"/>
                <w:szCs w:val="1"/>
                <w:color w:val="auto"/>
              </w:rPr>
            </w:pPr>
          </w:p>
        </w:tc>
      </w:tr>
      <w:tr>
        <w:trPr>
          <w:trHeight w:val="125"/>
        </w:trPr>
        <w:tc>
          <w:tcPr>
            <w:tcW w:w="37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Brokerage, exchange, clearance fees and payments for order flow,</w:t>
            </w:r>
          </w:p>
        </w:tc>
        <w:tc>
          <w:tcPr>
            <w:tcW w:w="14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(177,758)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(196,448)</w:t>
            </w:r>
          </w:p>
        </w:tc>
        <w:tc>
          <w:tcPr>
            <w:tcW w:w="0" w:type="dxa"/>
            <w:vAlign w:val="bottom"/>
          </w:tcPr>
          <w:p>
            <w:pPr>
              <w:spacing w:after="0"/>
              <w:rPr>
                <w:sz w:val="1"/>
                <w:szCs w:val="1"/>
                <w:color w:val="auto"/>
              </w:rPr>
            </w:pPr>
          </w:p>
        </w:tc>
      </w:tr>
      <w:tr>
        <w:trPr>
          <w:trHeight w:val="17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(27,374)</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Net Trading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257,235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105,023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362,258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106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6"/>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219,535</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613</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220,148</w:t>
            </w: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132,375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139,627</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23,352</w:t>
            </w:r>
          </w:p>
        </w:tc>
        <w:tc>
          <w:tcPr>
            <w:tcW w:w="0" w:type="dxa"/>
            <w:vAlign w:val="bottom"/>
          </w:tcPr>
          <w:p>
            <w:pPr>
              <w:spacing w:after="0"/>
              <w:rPr>
                <w:sz w:val="1"/>
                <w:szCs w:val="1"/>
                <w:color w:val="auto"/>
              </w:rPr>
            </w:pPr>
          </w:p>
        </w:tc>
      </w:tr>
      <w:tr>
        <w:trPr>
          <w:trHeight w:val="125"/>
        </w:trPr>
        <w:tc>
          <w:tcPr>
            <w:tcW w:w="37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Brokerage, exchange, clearance fees and payments for order flow,</w:t>
            </w:r>
          </w:p>
        </w:tc>
        <w:tc>
          <w:tcPr>
            <w:tcW w:w="14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(73,463)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(25,326)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(98,789)</w:t>
            </w:r>
          </w:p>
        </w:tc>
        <w:tc>
          <w:tcPr>
            <w:tcW w:w="0" w:type="dxa"/>
            <w:vAlign w:val="bottom"/>
          </w:tcPr>
          <w:p>
            <w:pPr>
              <w:spacing w:after="0"/>
              <w:rPr>
                <w:sz w:val="1"/>
                <w:szCs w:val="1"/>
                <w:color w:val="auto"/>
              </w:rPr>
            </w:pPr>
          </w:p>
        </w:tc>
      </w:tr>
      <w:tr>
        <w:trPr>
          <w:trHeight w:val="17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(34,546)</w:t>
            </w:r>
          </w:p>
        </w:tc>
        <w:tc>
          <w:tcPr>
            <w:tcW w:w="0" w:type="dxa"/>
            <w:vAlign w:val="bottom"/>
          </w:tcPr>
          <w:p>
            <w:pPr>
              <w:spacing w:after="0"/>
              <w:rPr>
                <w:sz w:val="1"/>
                <w:szCs w:val="1"/>
                <w:color w:val="auto"/>
              </w:rPr>
            </w:pPr>
          </w:p>
        </w:tc>
      </w:tr>
      <w:tr>
        <w:trPr>
          <w:trHeight w:val="193"/>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Net Trading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108,073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249,792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tbl>
      <w:tblPr>
        <w:tblLayout w:type="fixed"/>
        <w:tblInd w:w="106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1,989,176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1,987,756</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442,807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452,333</w:t>
            </w: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46,788</w:t>
            </w:r>
          </w:p>
        </w:tc>
        <w:tc>
          <w:tcPr>
            <w:tcW w:w="0" w:type="dxa"/>
            <w:vAlign w:val="bottom"/>
          </w:tcPr>
          <w:p>
            <w:pPr>
              <w:spacing w:after="0"/>
              <w:rPr>
                <w:sz w:val="1"/>
                <w:szCs w:val="1"/>
                <w:color w:val="auto"/>
              </w:rPr>
            </w:pPr>
          </w:p>
        </w:tc>
      </w:tr>
      <w:tr>
        <w:trPr>
          <w:trHeight w:val="124"/>
        </w:trPr>
        <w:tc>
          <w:tcPr>
            <w:tcW w:w="37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Brokerage, exchange, clearance fees and payments for order flow,</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(487,234)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(86,535)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(573,769)</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(97,656)</w:t>
            </w:r>
          </w:p>
        </w:tc>
        <w:tc>
          <w:tcPr>
            <w:tcW w:w="0" w:type="dxa"/>
            <w:vAlign w:val="bottom"/>
          </w:tcPr>
          <w:p>
            <w:pPr>
              <w:spacing w:after="0"/>
              <w:rPr>
                <w:sz w:val="1"/>
                <w:szCs w:val="1"/>
                <w:color w:val="auto"/>
              </w:rPr>
            </w:pPr>
          </w:p>
        </w:tc>
      </w:tr>
      <w:tr>
        <w:trPr>
          <w:trHeight w:val="1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Adjusted Net Trading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1,461,622</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353,830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1,815,452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tbl>
      <w:tblPr>
        <w:tblLayout w:type="fixed"/>
        <w:tblInd w:w="106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8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20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280" w:type="dxa"/>
            <w:vAlign w:val="bottom"/>
          </w:tcPr>
          <w:p>
            <w:pPr>
              <w:spacing w:after="0"/>
              <w:rPr>
                <w:sz w:val="15"/>
                <w:szCs w:val="15"/>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Trading income, net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680,224</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3,387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683,611</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342,681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359,894</w:t>
            </w: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12,241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76,645</w:t>
            </w:r>
          </w:p>
        </w:tc>
        <w:tc>
          <w:tcPr>
            <w:tcW w:w="0" w:type="dxa"/>
            <w:vAlign w:val="bottom"/>
          </w:tcPr>
          <w:p>
            <w:pPr>
              <w:spacing w:after="0"/>
              <w:rPr>
                <w:sz w:val="1"/>
                <w:szCs w:val="1"/>
                <w:color w:val="auto"/>
              </w:rPr>
            </w:pPr>
          </w:p>
        </w:tc>
      </w:tr>
      <w:tr>
        <w:trPr>
          <w:trHeight w:val="124"/>
        </w:trPr>
        <w:tc>
          <w:tcPr>
            <w:tcW w:w="37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rPr>
              <w:t>Brokerage, exchange, clearance fees and payments for order flow,</w:t>
            </w:r>
          </w:p>
        </w:tc>
        <w:tc>
          <w:tcPr>
            <w:tcW w:w="1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(203,660)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(82,230)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(285,890)</w:t>
            </w:r>
          </w:p>
        </w:tc>
        <w:tc>
          <w:tcPr>
            <w:tcW w:w="0" w:type="dxa"/>
            <w:vAlign w:val="bottom"/>
          </w:tcPr>
          <w:p>
            <w:pPr>
              <w:spacing w:after="0"/>
              <w:rPr>
                <w:sz w:val="1"/>
                <w:szCs w:val="1"/>
                <w:color w:val="auto"/>
              </w:rPr>
            </w:pPr>
          </w:p>
        </w:tc>
      </w:tr>
      <w:tr>
        <w:trPr>
          <w:trHeight w:val="17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(116,739)</w:t>
            </w:r>
          </w:p>
        </w:tc>
        <w:tc>
          <w:tcPr>
            <w:tcW w:w="0" w:type="dxa"/>
            <w:vAlign w:val="bottom"/>
          </w:tcPr>
          <w:p>
            <w:pPr>
              <w:spacing w:after="0"/>
              <w:rPr>
                <w:sz w:val="1"/>
                <w:szCs w:val="1"/>
                <w:color w:val="auto"/>
              </w:rPr>
            </w:pPr>
          </w:p>
        </w:tc>
      </w:tr>
      <w:tr>
        <w:trPr>
          <w:trHeight w:val="16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Adjusted Net Trading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453,304</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264,217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717,521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tables reconcile our Market Making segment Trading income, net to Adjusted Net Trading Income by category for the three and nine months ended September 30, 2020 and 2019:</w:t>
      </w:r>
    </w:p>
    <w:p>
      <w:pPr>
        <w:sectPr>
          <w:pgSz w:w="11900" w:h="16838" w:orient="portrait"/>
          <w:cols w:equalWidth="0" w:num="1">
            <w:col w:w="10920"/>
          </w:cols>
          <w:pgMar w:left="320" w:top="123" w:right="659" w:bottom="1440" w:gutter="0" w:footer="0" w:header="0"/>
        </w:sect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21590</wp:posOffset>
            </wp:positionV>
            <wp:extent cx="22364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36470" cy="7620"/>
                    </a:xfrm>
                    <a:prstGeom prst="rect">
                      <a:avLst/>
                    </a:prstGeom>
                    <a:noFill/>
                  </pic:spPr>
                </pic:pic>
              </a:graphicData>
            </a:graphic>
          </wp:anchor>
        </w:drawing>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Trading income, net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Commissions, net and technology services</w:t>
      </w:r>
    </w:p>
    <w:p>
      <w:pPr>
        <w:spacing w:after="0" w:line="25" w:lineRule="exact"/>
        <w:rPr>
          <w:sz w:val="20"/>
          <w:szCs w:val="20"/>
          <w:color w:val="auto"/>
        </w:rPr>
      </w:pPr>
    </w:p>
    <w:p>
      <w:pPr>
        <w:ind w:left="1260"/>
        <w:spacing w:after="0" w:line="238" w:lineRule="auto"/>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Interest and dividends, net</w:t>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21590</wp:posOffset>
            </wp:positionV>
            <wp:extent cx="22364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36470" cy="7620"/>
                    </a:xfrm>
                    <a:prstGeom prst="rect">
                      <a:avLst/>
                    </a:prstGeom>
                    <a:noFill/>
                  </pic:spPr>
                </pic:pic>
              </a:graphicData>
            </a:graphic>
          </wp:anchor>
        </w:drawing>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Trading income, net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Commissions, net and technology services</w:t>
      </w:r>
    </w:p>
    <w:p>
      <w:pPr>
        <w:spacing w:after="0" w:line="25" w:lineRule="exact"/>
        <w:rPr>
          <w:sz w:val="20"/>
          <w:szCs w:val="20"/>
          <w:color w:val="auto"/>
        </w:rPr>
      </w:pPr>
    </w:p>
    <w:p>
      <w:pPr>
        <w:ind w:left="1260"/>
        <w:spacing w:after="0" w:line="238" w:lineRule="auto"/>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Interest and dividends, net</w:t>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Trading income, net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Commissions, net and technology services</w:t>
      </w:r>
    </w:p>
    <w:p>
      <w:pPr>
        <w:spacing w:after="0" w:line="25" w:lineRule="exact"/>
        <w:rPr>
          <w:sz w:val="20"/>
          <w:szCs w:val="20"/>
          <w:color w:val="auto"/>
        </w:rPr>
      </w:pPr>
    </w:p>
    <w:p>
      <w:pPr>
        <w:ind w:left="1260"/>
        <w:spacing w:after="0" w:line="238" w:lineRule="auto"/>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Interest and dividends, net</w:t>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Trading income, net</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Commissions, net and technology services</w:t>
      </w:r>
    </w:p>
    <w:p>
      <w:pPr>
        <w:spacing w:after="0" w:line="25" w:lineRule="exact"/>
        <w:rPr>
          <w:sz w:val="20"/>
          <w:szCs w:val="20"/>
          <w:color w:val="auto"/>
        </w:rPr>
      </w:pPr>
    </w:p>
    <w:p>
      <w:pPr>
        <w:ind w:left="1260"/>
        <w:spacing w:after="0" w:line="238" w:lineRule="auto"/>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Interest and dividends, net</w:t>
      </w:r>
    </w:p>
    <w:p>
      <w:pPr>
        <w:spacing w:after="0" w:line="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color w:val="auto"/>
        </w:rPr>
        <w:t>Adjusted Net Trading Income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Global Equities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3"/>
                <w:szCs w:val="13"/>
                <w:b w:val="1"/>
                <w:bCs w:val="1"/>
                <w:color w:val="auto"/>
              </w:rPr>
              <w:t>Global FICC,</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4"/>
              <w:spacing w:after="0" w:line="127" w:lineRule="exact"/>
              <w:rPr>
                <w:sz w:val="20"/>
                <w:szCs w:val="20"/>
                <w:color w:val="auto"/>
              </w:rPr>
            </w:pPr>
            <w:r>
              <w:rPr>
                <w:rFonts w:ascii="Times New Roman" w:cs="Times New Roman" w:eastAsia="Times New Roman" w:hAnsi="Times New Roman"/>
                <w:sz w:val="13"/>
                <w:szCs w:val="13"/>
                <w:b w:val="1"/>
                <w:bCs w:val="1"/>
                <w:color w:val="auto"/>
              </w:rPr>
              <w:t>Total Market</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Options and Other</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0" w:type="dxa"/>
            <w:vAlign w:val="bottom"/>
          </w:tcPr>
          <w:p>
            <w:pPr>
              <w:spacing w:after="0"/>
              <w:rPr>
                <w:sz w:val="1"/>
                <w:szCs w:val="1"/>
                <w:color w:val="auto"/>
              </w:rPr>
            </w:pPr>
          </w:p>
        </w:tc>
      </w:tr>
      <w:tr>
        <w:trPr>
          <w:trHeight w:val="159"/>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385,594</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56,235</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441,829</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(8,479)</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(177,758)</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(16,227)</w:t>
            </w:r>
          </w:p>
        </w:tc>
        <w:tc>
          <w:tcPr>
            <w:tcW w:w="0" w:type="dxa"/>
            <w:vAlign w:val="bottom"/>
          </w:tcPr>
          <w:p>
            <w:pPr>
              <w:spacing w:after="0"/>
              <w:rPr>
                <w:sz w:val="1"/>
                <w:szCs w:val="1"/>
                <w:color w:val="auto"/>
              </w:rPr>
            </w:pPr>
          </w:p>
        </w:tc>
      </w:tr>
      <w:tr>
        <w:trPr>
          <w:trHeight w:val="171"/>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211,592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45,643</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257,235</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-560070</wp:posOffset>
            </wp:positionV>
            <wp:extent cx="5554980" cy="1104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54980" cy="1104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-260350</wp:posOffset>
            </wp:positionV>
            <wp:extent cx="5554980" cy="1104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54980" cy="110490"/>
                    </a:xfrm>
                    <a:prstGeom prst="rect">
                      <a:avLst/>
                    </a:prstGeom>
                    <a:noFill/>
                  </pic:spPr>
                </pic:pic>
              </a:graphicData>
            </a:graphic>
          </wp:anchor>
        </w:drawing>
      </w:r>
    </w:p>
    <w:p>
      <w:pPr>
        <w:spacing w:after="0" w:line="3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Three Months Ended September 30,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Global Equities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3"/>
                <w:szCs w:val="13"/>
                <w:b w:val="1"/>
                <w:bCs w:val="1"/>
                <w:color w:val="auto"/>
              </w:rPr>
              <w:t>Global FICC,</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4"/>
              <w:spacing w:after="0" w:line="127" w:lineRule="exact"/>
              <w:rPr>
                <w:sz w:val="20"/>
                <w:szCs w:val="20"/>
                <w:color w:val="auto"/>
              </w:rPr>
            </w:pPr>
            <w:r>
              <w:rPr>
                <w:rFonts w:ascii="Times New Roman" w:cs="Times New Roman" w:eastAsia="Times New Roman" w:hAnsi="Times New Roman"/>
                <w:sz w:val="13"/>
                <w:szCs w:val="13"/>
                <w:b w:val="1"/>
                <w:bCs w:val="1"/>
                <w:color w:val="auto"/>
              </w:rPr>
              <w:t>Total Market</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Options and Other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0" w:type="dxa"/>
            <w:vAlign w:val="bottom"/>
          </w:tcPr>
          <w:p>
            <w:pPr>
              <w:spacing w:after="0"/>
              <w:rPr>
                <w:sz w:val="1"/>
                <w:szCs w:val="1"/>
                <w:color w:val="auto"/>
              </w:rPr>
            </w:pPr>
          </w:p>
        </w:tc>
      </w:tr>
      <w:tr>
        <w:trPr>
          <w:trHeight w:val="159"/>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166,031</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52,126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219,535</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7,252</w:t>
            </w: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(73,463)</w:t>
            </w:r>
          </w:p>
        </w:tc>
        <w:tc>
          <w:tcPr>
            <w:tcW w:w="0" w:type="dxa"/>
            <w:vAlign w:val="bottom"/>
          </w:tcPr>
          <w:p>
            <w:pPr>
              <w:spacing w:after="0"/>
              <w:rPr>
                <w:sz w:val="1"/>
                <w:szCs w:val="1"/>
                <w:color w:val="auto"/>
              </w:rPr>
            </w:pPr>
          </w:p>
        </w:tc>
      </w:tr>
      <w:tr>
        <w:trPr>
          <w:trHeight w:val="179"/>
        </w:trPr>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(11,605)</w:t>
            </w: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39,348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141,719</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-560070</wp:posOffset>
            </wp:positionV>
            <wp:extent cx="5554980" cy="1104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54980" cy="11049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-260350</wp:posOffset>
            </wp:positionV>
            <wp:extent cx="5554980" cy="1104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54980" cy="110490"/>
                    </a:xfrm>
                    <a:prstGeom prst="rect">
                      <a:avLst/>
                    </a:prstGeom>
                    <a:noFill/>
                  </pic:spPr>
                </pic:pic>
              </a:graphicData>
            </a:graphic>
          </wp:anchor>
        </w:drawing>
      </w:r>
    </w:p>
    <w:p>
      <w:pPr>
        <w:spacing w:after="0" w:line="3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Nine Months Ended 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Global Equities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7" w:lineRule="exact"/>
              <w:rPr>
                <w:sz w:val="20"/>
                <w:szCs w:val="20"/>
                <w:color w:val="auto"/>
              </w:rPr>
            </w:pPr>
            <w:r>
              <w:rPr>
                <w:rFonts w:ascii="Times New Roman" w:cs="Times New Roman" w:eastAsia="Times New Roman" w:hAnsi="Times New Roman"/>
                <w:sz w:val="13"/>
                <w:szCs w:val="13"/>
                <w:b w:val="1"/>
                <w:bCs w:val="1"/>
                <w:color w:val="auto"/>
              </w:rPr>
              <w:t>Global FICC,</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4"/>
              <w:spacing w:after="0" w:line="127" w:lineRule="exact"/>
              <w:rPr>
                <w:sz w:val="20"/>
                <w:szCs w:val="20"/>
                <w:color w:val="auto"/>
              </w:rPr>
            </w:pPr>
            <w:r>
              <w:rPr>
                <w:rFonts w:ascii="Times New Roman" w:cs="Times New Roman" w:eastAsia="Times New Roman" w:hAnsi="Times New Roman"/>
                <w:sz w:val="13"/>
                <w:szCs w:val="13"/>
                <w:b w:val="1"/>
                <w:bCs w:val="1"/>
                <w:color w:val="auto"/>
              </w:rPr>
              <w:t>Total Market</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Options and Other</w:t>
            </w: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0" w:type="dxa"/>
            <w:vAlign w:val="bottom"/>
          </w:tcPr>
          <w:p>
            <w:pPr>
              <w:spacing w:after="0"/>
              <w:rPr>
                <w:sz w:val="1"/>
                <w:szCs w:val="1"/>
                <w:color w:val="auto"/>
              </w:rPr>
            </w:pPr>
          </w:p>
        </w:tc>
      </w:tr>
      <w:tr>
        <w:trPr>
          <w:trHeight w:val="159"/>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1,754,309</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234,867</w:t>
            </w:r>
          </w:p>
        </w:tc>
        <w:tc>
          <w:tcPr>
            <w:tcW w:w="100" w:type="dxa"/>
            <w:vAlign w:val="bottom"/>
          </w:tcPr>
          <w:p>
            <w:pPr>
              <w:spacing w:after="0"/>
              <w:rPr>
                <w:sz w:val="13"/>
                <w:szCs w:val="13"/>
                <w:color w:val="auto"/>
              </w:rPr>
            </w:pPr>
          </w:p>
        </w:tc>
        <w:tc>
          <w:tcPr>
            <w:tcW w:w="960" w:type="dxa"/>
            <w:vAlign w:val="bottom"/>
            <w:tcBorders>
              <w:top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1,989,176</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(25,033)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(487,234)</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(49,846)</w:t>
            </w:r>
          </w:p>
        </w:tc>
        <w:tc>
          <w:tcPr>
            <w:tcW w:w="0" w:type="dxa"/>
            <w:vAlign w:val="bottom"/>
          </w:tcPr>
          <w:p>
            <w:pPr>
              <w:spacing w:after="0"/>
              <w:rPr>
                <w:sz w:val="1"/>
                <w:szCs w:val="1"/>
                <w:color w:val="auto"/>
              </w:rPr>
            </w:pPr>
          </w:p>
        </w:tc>
      </w:tr>
      <w:tr>
        <w:trPr>
          <w:trHeight w:val="171"/>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1,257,370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204,252</w:t>
            </w:r>
          </w:p>
        </w:tc>
        <w:tc>
          <w:tcPr>
            <w:tcW w:w="1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1,461,622</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-449580</wp:posOffset>
            </wp:positionV>
            <wp:extent cx="5554980" cy="189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54980" cy="18986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-149225</wp:posOffset>
            </wp:positionV>
            <wp:extent cx="5554980" cy="13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54980" cy="13462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-678815</wp:posOffset>
            </wp:positionV>
            <wp:extent cx="5554980" cy="1187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54980" cy="118745"/>
                    </a:xfrm>
                    <a:prstGeom prst="rect">
                      <a:avLst/>
                    </a:prstGeom>
                    <a:noFill/>
                  </pic:spPr>
                </pic:pic>
              </a:graphicData>
            </a:graphic>
          </wp:anchor>
        </w:drawing>
      </w:r>
    </w:p>
    <w:p>
      <w:pPr>
        <w:spacing w:after="0" w:line="3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Nine Months Ended September 30,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Global Equities</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60"/>
              <w:spacing w:after="0" w:line="127" w:lineRule="exact"/>
              <w:rPr>
                <w:sz w:val="20"/>
                <w:szCs w:val="20"/>
                <w:color w:val="auto"/>
              </w:rPr>
            </w:pPr>
            <w:r>
              <w:rPr>
                <w:rFonts w:ascii="Times New Roman" w:cs="Times New Roman" w:eastAsia="Times New Roman" w:hAnsi="Times New Roman"/>
                <w:sz w:val="13"/>
                <w:szCs w:val="13"/>
                <w:b w:val="1"/>
                <w:bCs w:val="1"/>
                <w:color w:val="auto"/>
              </w:rPr>
              <w:t>Global FICC,</w:t>
            </w: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Unallocated</w:t>
            </w: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154"/>
              <w:spacing w:after="0" w:line="127" w:lineRule="exact"/>
              <w:rPr>
                <w:sz w:val="20"/>
                <w:szCs w:val="20"/>
                <w:color w:val="auto"/>
              </w:rPr>
            </w:pPr>
            <w:r>
              <w:rPr>
                <w:rFonts w:ascii="Times New Roman" w:cs="Times New Roman" w:eastAsia="Times New Roman" w:hAnsi="Times New Roman"/>
                <w:sz w:val="13"/>
                <w:szCs w:val="13"/>
                <w:b w:val="1"/>
                <w:bCs w:val="1"/>
                <w:color w:val="auto"/>
              </w:rPr>
              <w:t>Total Market</w:t>
            </w: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Options and Other</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Making</w:t>
            </w:r>
          </w:p>
        </w:tc>
        <w:tc>
          <w:tcPr>
            <w:tcW w:w="0" w:type="dxa"/>
            <w:vAlign w:val="bottom"/>
          </w:tcPr>
          <w:p>
            <w:pPr>
              <w:spacing w:after="0"/>
              <w:rPr>
                <w:sz w:val="1"/>
                <w:szCs w:val="1"/>
                <w:color w:val="auto"/>
              </w:rPr>
            </w:pPr>
          </w:p>
        </w:tc>
      </w:tr>
      <w:tr>
        <w:trPr>
          <w:trHeight w:val="159"/>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537,708</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143,042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680,224</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0" w:type="dxa"/>
            <w:vAlign w:val="bottom"/>
          </w:tcPr>
          <w:p>
            <w:pPr>
              <w:spacing w:after="0"/>
              <w:rPr>
                <w:sz w:val="1"/>
                <w:szCs w:val="1"/>
                <w:color w:val="auto"/>
              </w:rPr>
            </w:pPr>
          </w:p>
        </w:tc>
      </w:tr>
      <w:tr>
        <w:trPr>
          <w:trHeight w:val="299"/>
        </w:trPr>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(173,494)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(203,660)</w:t>
            </w:r>
          </w:p>
        </w:tc>
        <w:tc>
          <w:tcPr>
            <w:tcW w:w="0" w:type="dxa"/>
            <w:vAlign w:val="bottom"/>
          </w:tcPr>
          <w:p>
            <w:pPr>
              <w:spacing w:after="0"/>
              <w:rPr>
                <w:sz w:val="1"/>
                <w:szCs w:val="1"/>
                <w:color w:val="auto"/>
              </w:rPr>
            </w:pPr>
          </w:p>
        </w:tc>
      </w:tr>
      <w:tr>
        <w:trPr>
          <w:trHeight w:val="179"/>
        </w:trPr>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(31,816)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(8,497)</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(40,473)</w:t>
            </w:r>
          </w:p>
        </w:tc>
        <w:tc>
          <w:tcPr>
            <w:tcW w:w="0" w:type="dxa"/>
            <w:vAlign w:val="bottom"/>
          </w:tcPr>
          <w:p>
            <w:pPr>
              <w:spacing w:after="0"/>
              <w:rPr>
                <w:sz w:val="1"/>
                <w:szCs w:val="1"/>
                <w:color w:val="auto"/>
              </w:rPr>
            </w:pPr>
          </w:p>
        </w:tc>
      </w:tr>
      <w:tr>
        <w:trPr>
          <w:trHeight w:val="171"/>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349,639</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103,781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453,304</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-449580</wp:posOffset>
            </wp:positionV>
            <wp:extent cx="5554980" cy="189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54980" cy="189865"/>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-149225</wp:posOffset>
            </wp:positionV>
            <wp:extent cx="5554980"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4980" cy="134620"/>
                    </a:xfrm>
                    <a:prstGeom prst="rect">
                      <a:avLst/>
                    </a:prstGeom>
                    <a:noFill/>
                  </pic:spPr>
                </pic:pic>
              </a:graphicData>
            </a:graphic>
          </wp:anchor>
        </w:drawing>
        <w:drawing>
          <wp:anchor simplePos="0" relativeHeight="251657728" behindDoc="1" locked="0" layoutInCell="0" allowOverlap="1">
            <wp:simplePos x="0" y="0"/>
            <wp:positionH relativeFrom="column">
              <wp:posOffset>-2300605</wp:posOffset>
            </wp:positionH>
            <wp:positionV relativeFrom="paragraph">
              <wp:posOffset>-678815</wp:posOffset>
            </wp:positionV>
            <wp:extent cx="5554980" cy="1187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54980" cy="1187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420"/>
            <w:col w:w="6040"/>
          </w:cols>
          <w:pgMar w:left="320" w:top="123" w:right="65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311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920"/>
          </w:cols>
          <w:pgMar w:left="320" w:top="123" w:right="659" w:bottom="1440" w:gutter="0" w:footer="0" w:header="0"/>
          <w:type w:val="continuous"/>
        </w:sectPr>
      </w:pPr>
    </w:p>
    <w:bookmarkStart w:id="73" w:name="page74"/>
    <w:bookmarkEnd w:id="7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20" w:firstLine="597"/>
        <w:spacing w:after="0" w:line="269" w:lineRule="auto"/>
        <w:rPr>
          <w:sz w:val="20"/>
          <w:szCs w:val="20"/>
          <w:color w:val="auto"/>
        </w:rPr>
      </w:pPr>
      <w:r>
        <w:rPr>
          <w:rFonts w:ascii="Times New Roman" w:cs="Times New Roman" w:eastAsia="Times New Roman" w:hAnsi="Times New Roman"/>
          <w:sz w:val="17"/>
          <w:szCs w:val="17"/>
          <w:color w:val="auto"/>
        </w:rPr>
        <w:t>The following table shows our Adjusted Net Trading Income, average daily Adjusted Net Trading Income and percentage of Adjusted Net Trading Income by asset class for the three and nine months ended September 30, 2020 and 2019:</w:t>
      </w:r>
    </w:p>
    <w:p>
      <w:pPr>
        <w:spacing w:after="0" w:line="265"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120" w:type="dxa"/>
            <w:vAlign w:val="bottom"/>
            <w:tcBorders>
              <w:bottom w:val="single" w:sz="8" w:color="auto"/>
            </w:tcBorders>
          </w:tcPr>
          <w:p>
            <w:pPr>
              <w:spacing w:after="0"/>
              <w:rPr>
                <w:sz w:val="15"/>
                <w:szCs w:val="15"/>
                <w:color w:val="auto"/>
              </w:rPr>
            </w:pPr>
          </w:p>
        </w:tc>
      </w:tr>
      <w:tr>
        <w:trPr>
          <w:trHeight w:val="174"/>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Trading Income by Category:</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3"/>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Market Making:</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Equities</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211,592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106.4%</w:t>
            </w:r>
          </w:p>
        </w:tc>
      </w:tr>
      <w:tr>
        <w:trPr>
          <w:trHeight w:val="173"/>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Global FICC, Options and Other</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16.0%</w:t>
            </w: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Unallocated(1)</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6"/>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Market Making</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257,235</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141,719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81.5%</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Execution Services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108,073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54"/>
              <w:spacing w:after="0"/>
              <w:rPr>
                <w:sz w:val="20"/>
                <w:szCs w:val="20"/>
                <w:color w:val="auto"/>
              </w:rPr>
            </w:pPr>
            <w:r>
              <w:rPr>
                <w:rFonts w:ascii="Times New Roman" w:cs="Times New Roman" w:eastAsia="Times New Roman" w:hAnsi="Times New Roman"/>
                <w:sz w:val="13"/>
                <w:szCs w:val="13"/>
                <w:color w:val="auto"/>
              </w:rPr>
              <w:t>(2.8)%</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67"/>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Trading Income</w:t>
            </w: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362,258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249,792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45.0%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164"/>
        </w:trPr>
        <w:tc>
          <w:tcPr>
            <w:tcW w:w="4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4"/>
        </w:trPr>
        <w:tc>
          <w:tcPr>
            <w:tcW w:w="4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center"/>
              <w:ind w:left="73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120" w:type="dxa"/>
            <w:vAlign w:val="bottom"/>
            <w:tcBorders>
              <w:bottom w:val="single" w:sz="8" w:color="auto"/>
            </w:tcBorders>
          </w:tcPr>
          <w:p>
            <w:pPr>
              <w:spacing w:after="0"/>
              <w:rPr>
                <w:sz w:val="15"/>
                <w:szCs w:val="15"/>
                <w:color w:val="auto"/>
              </w:rPr>
            </w:pPr>
          </w:p>
        </w:tc>
      </w:tr>
      <w:tr>
        <w:trPr>
          <w:trHeight w:val="167"/>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Average Daily Adjusted Net Trading Income by Category:</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 Making:</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3"/>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Global Equities</w:t>
            </w:r>
          </w:p>
        </w:tc>
        <w:tc>
          <w:tcPr>
            <w:tcW w:w="32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3,306</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106.5%</w:t>
            </w: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FICC, Options and Other</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16.0%</w:t>
            </w:r>
          </w:p>
        </w:tc>
      </w:tr>
      <w:tr>
        <w:trPr>
          <w:trHeight w:val="173"/>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Unallocated(1)</w:t>
            </w: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4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Market Making</w:t>
            </w: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CCEEFF"/>
            </w:tcBorders>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81.5%</w:t>
            </w:r>
          </w:p>
        </w:tc>
      </w:tr>
      <w:tr>
        <w:trPr>
          <w:trHeight w:val="199"/>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7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Execution Services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(2.8)%</w:t>
            </w:r>
          </w:p>
        </w:tc>
      </w:tr>
      <w:tr>
        <w:trPr>
          <w:trHeight w:val="199"/>
        </w:trPr>
        <w:tc>
          <w:tcPr>
            <w:tcW w:w="4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r>
      <w:tr>
        <w:trPr>
          <w:trHeight w:val="192"/>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Average Daily Adjusted Net Trading Income</w:t>
            </w: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45.0%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20" w:type="dxa"/>
            <w:vAlign w:val="bottom"/>
            <w:tcBorders>
              <w:bottom w:val="single" w:sz="8" w:color="auto"/>
            </w:tcBorders>
          </w:tcPr>
          <w:p>
            <w:pPr>
              <w:spacing w:after="0"/>
              <w:rPr>
                <w:sz w:val="24"/>
                <w:szCs w:val="24"/>
                <w:color w:val="auto"/>
              </w:rPr>
            </w:pPr>
          </w:p>
        </w:tc>
      </w:tr>
      <w:tr>
        <w:trPr>
          <w:trHeight w:val="174"/>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Trading Income by Category:</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3"/>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Market Making:</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Equities</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1,257,370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259.6%</w:t>
            </w:r>
          </w:p>
        </w:tc>
      </w:tr>
      <w:tr>
        <w:trPr>
          <w:trHeight w:val="173"/>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Global FICC, Options and Other</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103,781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96.8%</w:t>
            </w: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Unallocated(1)</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6"/>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Market Making</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1,461,622</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453,304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222.4%</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Execution Services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353,830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33.9%</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67"/>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Trading Income</w:t>
            </w: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1,815,452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717,521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153.0%</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33"/>
        </w:trPr>
        <w:tc>
          <w:tcPr>
            <w:tcW w:w="47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20" w:type="dxa"/>
            <w:vAlign w:val="bottom"/>
            <w:tcBorders>
              <w:bottom w:val="single" w:sz="8" w:color="auto"/>
            </w:tcBorders>
          </w:tcPr>
          <w:p>
            <w:pPr>
              <w:spacing w:after="0"/>
              <w:rPr>
                <w:sz w:val="24"/>
                <w:szCs w:val="24"/>
                <w:color w:val="auto"/>
              </w:rPr>
            </w:pPr>
          </w:p>
        </w:tc>
      </w:tr>
      <w:tr>
        <w:trPr>
          <w:trHeight w:val="17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Average Daily Adjusted Net Trading Income by Category:</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3"/>
        </w:trPr>
        <w:tc>
          <w:tcPr>
            <w:tcW w:w="4700" w:type="dxa"/>
            <w:vAlign w:val="bottom"/>
          </w:tcPr>
          <w:p>
            <w:pPr>
              <w:spacing w:after="0"/>
              <w:rPr>
                <w:sz w:val="20"/>
                <w:szCs w:val="20"/>
                <w:color w:val="auto"/>
              </w:rPr>
            </w:pPr>
            <w:r>
              <w:rPr>
                <w:rFonts w:ascii="Times New Roman" w:cs="Times New Roman" w:eastAsia="Times New Roman" w:hAnsi="Times New Roman"/>
                <w:sz w:val="13"/>
                <w:szCs w:val="13"/>
                <w:color w:val="auto"/>
              </w:rPr>
              <w:t>Market Making:</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Equities</w:t>
            </w:r>
          </w:p>
        </w:tc>
        <w:tc>
          <w:tcPr>
            <w:tcW w:w="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259.6%</w:t>
            </w:r>
          </w:p>
        </w:tc>
      </w:tr>
      <w:tr>
        <w:trPr>
          <w:trHeight w:val="173"/>
        </w:trPr>
        <w:tc>
          <w:tcPr>
            <w:tcW w:w="4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Global FICC, Options and Other</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96.8%</w:t>
            </w:r>
          </w:p>
        </w:tc>
      </w:tr>
      <w:tr>
        <w:trPr>
          <w:trHeight w:val="175"/>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Unallocated(1)</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6"/>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Market Making</w:t>
            </w: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7,733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222.5%</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3"/>
        </w:trPr>
        <w:tc>
          <w:tcPr>
            <w:tcW w:w="4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Execution Services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33.9%</w:t>
            </w:r>
          </w:p>
        </w:tc>
      </w:tr>
      <w:tr>
        <w:trPr>
          <w:trHeight w:val="200"/>
        </w:trPr>
        <w:tc>
          <w:tcPr>
            <w:tcW w:w="47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67"/>
        </w:trPr>
        <w:tc>
          <w:tcPr>
            <w:tcW w:w="4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Average Daily Adjusted Net Trading Income</w:t>
            </w:r>
          </w:p>
        </w:tc>
        <w:tc>
          <w:tcPr>
            <w:tcW w:w="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153.0%</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189865</wp:posOffset>
            </wp:positionV>
            <wp:extent cx="184086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4086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line="251" w:lineRule="auto"/>
        <w:tabs>
          <w:tab w:leader="none" w:pos="597"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our methodology for recording “trading income, net” in our Condensed Consolidated Statements of Comprehensive Income from Part I Item 1 “Financial Statements”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5"/>
          <w:szCs w:val="15"/>
          <w:color w:val="auto"/>
        </w:rPr>
        <w:t>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2020 Compared to Three Months Ended September 30, 2019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32" w:lineRule="exact"/>
        <w:rPr>
          <w:sz w:val="20"/>
          <w:szCs w:val="20"/>
          <w:color w:val="auto"/>
        </w:rPr>
      </w:pPr>
    </w:p>
    <w:p>
      <w:pPr>
        <w:ind w:firstLine="597"/>
        <w:spacing w:after="0" w:line="251" w:lineRule="auto"/>
        <w:rPr>
          <w:sz w:val="20"/>
          <w:szCs w:val="20"/>
          <w:color w:val="auto"/>
        </w:rPr>
      </w:pPr>
      <w:r>
        <w:rPr>
          <w:rFonts w:ascii="Times New Roman" w:cs="Times New Roman" w:eastAsia="Times New Roman" w:hAnsi="Times New Roman"/>
          <w:sz w:val="16"/>
          <w:szCs w:val="16"/>
          <w:color w:val="auto"/>
        </w:rPr>
        <w:t>Our total revenues increased $273.8 million, or 71.6%, to $656.1 million for the three months ended September 30, 2020, compared to $382.3 million for the three months ended September 30, 2019. The increase was primarily driven by an increase of $221.1 million in Trading income, net, which was driven by higher market volatility and trading volumes from the continued impacts of the COVID-19 pandemic during the three months ended September 30, 2020 compared to the prior period. There was a significant increase in Other, net of $70.8 million, which was primarily due to the gain on the sale of MATCHNow. On August 4, 2020, we completed the sale of MATCHNow to Cboe Global Markets, Inc.("CBOE") for total gross proceeds of $60.6 million in cash and recognized a gain on sale of $58.7 million, which is recorded in Other, net (see Note 4 "Sale of MATCHNow" of Part I Item 1 "Financial Statements" of this Quarterly Report on Form 10-Q).</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September 30, 2020 and 2019.</w:t>
      </w:r>
    </w:p>
    <w:p>
      <w:pPr>
        <w:spacing w:after="0" w:line="135" w:lineRule="exact"/>
        <w:rPr>
          <w:sz w:val="20"/>
          <w:szCs w:val="20"/>
          <w:color w:val="auto"/>
        </w:rPr>
      </w:pPr>
    </w:p>
    <w:tbl>
      <w:tblPr>
        <w:tblLayout w:type="fixed"/>
        <w:tblInd w:w="96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340" w:type="dxa"/>
            <w:vAlign w:val="bottom"/>
            <w:tcBorders>
              <w:bottom w:val="single" w:sz="8" w:color="auto"/>
            </w:tcBorders>
          </w:tcPr>
          <w:p>
            <w:pPr>
              <w:spacing w:after="0"/>
              <w:rPr>
                <w:sz w:val="15"/>
                <w:szCs w:val="15"/>
                <w:color w:val="auto"/>
              </w:rPr>
            </w:pPr>
          </w:p>
        </w:tc>
      </w:tr>
      <w:tr>
        <w:trPr>
          <w:trHeight w:val="174"/>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for percentage)</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3"/>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441,829</w:t>
            </w:r>
          </w:p>
        </w:tc>
        <w:tc>
          <w:tcPr>
            <w:tcW w:w="12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w w:val="99"/>
              </w:rPr>
              <w:t>101.3%</w:t>
            </w:r>
          </w:p>
        </w:tc>
      </w:tr>
      <w:tr>
        <w:trPr>
          <w:trHeight w:val="17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(52.4)%</w:t>
            </w:r>
          </w:p>
        </w:tc>
      </w:tr>
      <w:tr>
        <w:trPr>
          <w:trHeight w:val="173"/>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54"/>
              <w:spacing w:after="0"/>
              <w:rPr>
                <w:sz w:val="20"/>
                <w:szCs w:val="20"/>
                <w:color w:val="auto"/>
              </w:rPr>
            </w:pPr>
            <w:r>
              <w:rPr>
                <w:rFonts w:ascii="Times New Roman" w:cs="Times New Roman" w:eastAsia="Times New Roman" w:hAnsi="Times New Roman"/>
                <w:sz w:val="13"/>
                <w:szCs w:val="13"/>
                <w:color w:val="auto"/>
              </w:rPr>
              <w:t>29.5%</w:t>
            </w:r>
          </w:p>
        </w:tc>
      </w:tr>
      <w:tr>
        <w:trPr>
          <w:trHeight w:val="174"/>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12,615</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3,069.6%</w:t>
            </w: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revenues from Market Making</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474,598</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249,802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54"/>
              <w:spacing w:after="0"/>
              <w:rPr>
                <w:sz w:val="20"/>
                <w:szCs w:val="20"/>
                <w:color w:val="auto"/>
              </w:rPr>
            </w:pPr>
            <w:r>
              <w:rPr>
                <w:rFonts w:ascii="Times New Roman" w:cs="Times New Roman" w:eastAsia="Times New Roman" w:hAnsi="Times New Roman"/>
                <w:sz w:val="13"/>
                <w:szCs w:val="13"/>
                <w:color w:val="auto"/>
              </w:rPr>
              <w:t>90.0%</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64"/>
        </w:trPr>
        <w:tc>
          <w:tcPr>
            <w:tcW w:w="4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4"/>
        </w:trPr>
        <w:tc>
          <w:tcPr>
            <w:tcW w:w="4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4"/>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NM</w:t>
            </w:r>
          </w:p>
        </w:tc>
      </w:tr>
      <w:tr>
        <w:trPr>
          <w:trHeight w:val="173"/>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(77.0)%</w:t>
            </w:r>
          </w:p>
        </w:tc>
      </w:tr>
      <w:tr>
        <w:trPr>
          <w:trHeight w:val="17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124,462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132,375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(6.0)%</w:t>
            </w:r>
          </w:p>
        </w:tc>
      </w:tr>
      <w:tr>
        <w:trPr>
          <w:trHeight w:val="173"/>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58,583</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center"/>
              <w:ind w:right="254"/>
              <w:spacing w:after="0"/>
              <w:rPr>
                <w:sz w:val="20"/>
                <w:szCs w:val="20"/>
                <w:color w:val="auto"/>
              </w:rPr>
            </w:pPr>
            <w:r>
              <w:rPr>
                <w:rFonts w:ascii="Times New Roman" w:cs="Times New Roman" w:eastAsia="Times New Roman" w:hAnsi="Times New Roman"/>
                <w:sz w:val="13"/>
                <w:szCs w:val="13"/>
                <w:color w:val="auto"/>
              </w:rPr>
              <w:t>71,342.7%</w:t>
            </w:r>
          </w:p>
        </w:tc>
      </w:tr>
      <w:tr>
        <w:trPr>
          <w:trHeight w:val="193"/>
        </w:trPr>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revenues from Execution Services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182,680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133,805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36.5%</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4"/>
        </w:trPr>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3"/>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jc w:val="center"/>
              <w:ind w:right="254"/>
              <w:spacing w:after="0"/>
              <w:rPr>
                <w:sz w:val="20"/>
                <w:szCs w:val="20"/>
                <w:color w:val="auto"/>
              </w:rPr>
            </w:pPr>
            <w:r>
              <w:rPr>
                <w:rFonts w:ascii="Times New Roman" w:cs="Times New Roman" w:eastAsia="Times New Roman" w:hAnsi="Times New Roman"/>
                <w:sz w:val="13"/>
                <w:szCs w:val="13"/>
                <w:color w:val="auto"/>
              </w:rPr>
              <w:t>(8.0)</w:t>
            </w:r>
          </w:p>
        </w:tc>
      </w:tr>
      <w:tr>
        <w:trPr>
          <w:trHeight w:val="193"/>
        </w:trPr>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revenues from Corporate</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(8.0)</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4"/>
        </w:trPr>
        <w:tc>
          <w:tcPr>
            <w:tcW w:w="4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4"/>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3"/>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441,295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220,148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w w:val="99"/>
              </w:rPr>
              <w:t>100.5%</w:t>
            </w:r>
          </w:p>
        </w:tc>
      </w:tr>
      <w:tr>
        <w:trPr>
          <w:trHeight w:val="17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(53.2)%</w:t>
            </w:r>
          </w:p>
        </w:tc>
      </w:tr>
      <w:tr>
        <w:trPr>
          <w:trHeight w:val="173"/>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133,853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139,627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(4.1)%</w:t>
            </w:r>
          </w:p>
        </w:tc>
      </w:tr>
      <w:tr>
        <w:trPr>
          <w:trHeight w:val="174"/>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70,032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ind w:right="254"/>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42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revenues</w:t>
            </w: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656,112</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382,340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254"/>
              <w:spacing w:after="0"/>
              <w:rPr>
                <w:sz w:val="20"/>
                <w:szCs w:val="20"/>
                <w:color w:val="auto"/>
              </w:rPr>
            </w:pPr>
            <w:r>
              <w:rPr>
                <w:rFonts w:ascii="Times New Roman" w:cs="Times New Roman" w:eastAsia="Times New Roman" w:hAnsi="Times New Roman"/>
                <w:sz w:val="13"/>
                <w:szCs w:val="13"/>
                <w:color w:val="auto"/>
              </w:rPr>
              <w:t>71.6%</w:t>
            </w: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03"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$221.1 million, or 100.5%,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$441.3 million for the three months ended September 30, 2020, compared to $220.1 million for the three months ended September 30, 2019. The increase was primarily driven by the higher market volatility and trading volumes across global markets and major asset categories during the three months ended September 30, 2020 compared to the same period in 2019. Average daily realized volatility of the S&amp;P 500 Index increased 14.7% during the period as compared to the prior period, while average daily U.S. equity consolidated volumes increased 43.5%. Rather than analyzing trading income, net, in isolation, we evaluate it in the broader context of our Adjusted Net Trading Income, together with</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75" w:name="page76"/>
    <w:bookmarkEnd w:id="75"/>
    <w:p>
      <w:pPr>
        <w:ind w:right="280"/>
        <w:spacing w:after="0" w:line="269" w:lineRule="auto"/>
        <w:rPr>
          <w:sz w:val="20"/>
          <w:szCs w:val="20"/>
          <w:color w:val="auto"/>
        </w:rPr>
      </w:pPr>
      <w:r>
        <w:rPr>
          <w:rFonts w:ascii="Times New Roman" w:cs="Times New Roman" w:eastAsia="Times New Roman" w:hAnsi="Times New Roman"/>
          <w:sz w:val="17"/>
          <w:szCs w:val="17"/>
          <w:color w:val="auto"/>
        </w:rPr>
        <w:t>Interest and dividends income, Interest and dividends expense, Commissions, net and technology services and Brokerage, exchange, clearance fees and payments for order flow, net, each of which is described below.</w:t>
      </w:r>
    </w:p>
    <w:p>
      <w:pPr>
        <w:spacing w:after="0" w:line="180" w:lineRule="exact"/>
        <w:rPr>
          <w:sz w:val="20"/>
          <w:szCs w:val="20"/>
          <w:color w:val="auto"/>
        </w:rPr>
      </w:pPr>
    </w:p>
    <w:p>
      <w:pPr>
        <w:ind w:right="2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 decreased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$12.4 million, or 53.2%, to $10.9 million for the three months ended September 30, 2020, compared to $23.4 million for the three months ended September 30, 2019. This decrease was primarily attributable to the lower interest income earned on cash collateral posted as part of securities borrowing transactions driven by lower interest rates as well as a slight reduction in balances compared to the same period in 2019. As indicated above, rather than analyzing interest and dividends income in isolation, we evaluate it in the broader context of our Adjusted Net Trading Income.</w:t>
      </w:r>
    </w:p>
    <w:p>
      <w:pPr>
        <w:spacing w:after="0" w:line="197" w:lineRule="exact"/>
        <w:rPr>
          <w:sz w:val="20"/>
          <w:szCs w:val="20"/>
          <w:color w:val="auto"/>
        </w:rPr>
      </w:pPr>
    </w:p>
    <w:p>
      <w:pPr>
        <w:ind w:right="28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 segment.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Commissions, net and technology services revenues decreased $5.8 million, or 4.1%, to $133.9 million for the three months ended September 30, 2020, compared to $139.6 million for the three months ended September 30, 2019. The decrease was primarily attributable to a reduction in commissions associated with the previously registered U.S. broker dealer, Virtu Alternet Securities, whose SEC registration was withdrawn in August 2020, as well as the loss of revenues associated with MATCHNow, which was sold to CBOE on August 4, 2020.</w:t>
      </w:r>
    </w:p>
    <w:p>
      <w:pPr>
        <w:spacing w:after="0" w:line="197" w:lineRule="exact"/>
        <w:rPr>
          <w:sz w:val="20"/>
          <w:szCs w:val="20"/>
          <w:color w:val="auto"/>
        </w:rPr>
      </w:pPr>
    </w:p>
    <w:p>
      <w:pPr>
        <w:ind w:right="24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was $70.0 million for the three months ended September 30, 2020, compared to a loss of $(0.8)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2019. The increase was primarily due to a $58.7 million gain recognized on the sale of MATCHNow, as discussed in Note 4 "Sale of MATCHNow" of Part I Item 1 "Financial Statements" of this Quarterly Report on Form 10-Q. In addition, we recognized a $12.3 million gain on the minority investment in SBI Japannext (see Note 11 "Financial Assets and Liabilities" of Part I Item I "Financial Statements" of this Quarterly Report on Form 10-Q for details on the SBI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Adjusted Net Trading Income increased $112.5 million, or 45.0%, to $362.3 million for the three months ended September 30, 2020, compared to $249.8 million for the three months ended September 30, 2019. This increase was primarily attributable to higher Trading income, net in the Market Making segment driven by higher market volatility and trading volumes across major asset categories during the three months ended September 30, 2019 compared to the same period in 2019. In the Market Making segment, Global Equities increased by $109.1 million, or 106.4%, and Global FICC, Options and Other increased by $6.3 million, or 16.0%, for the three months ended September 30, 2020. Adjusted Net Trading Income per day increased $1.8 million, or 45.0%, to $5.7 million for the three months ended September 30, 2020, compared to $3.9 million for the three months ended September 30, 2019. There were 64 trading days for both the three months ended September 30, 2020 and 2019.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32" w:lineRule="exact"/>
        <w:rPr>
          <w:sz w:val="20"/>
          <w:szCs w:val="20"/>
          <w:color w:val="auto"/>
        </w:rPr>
      </w:pPr>
    </w:p>
    <w:p>
      <w:pPr>
        <w:ind w:right="40" w:firstLine="597"/>
        <w:spacing w:after="0" w:line="252" w:lineRule="auto"/>
        <w:rPr>
          <w:sz w:val="20"/>
          <w:szCs w:val="20"/>
          <w:color w:val="auto"/>
        </w:rPr>
      </w:pPr>
      <w:r>
        <w:rPr>
          <w:rFonts w:ascii="Times New Roman" w:cs="Times New Roman" w:eastAsia="Times New Roman" w:hAnsi="Times New Roman"/>
          <w:sz w:val="17"/>
          <w:szCs w:val="17"/>
          <w:color w:val="auto"/>
        </w:rPr>
        <w:t>Our operating expenses increased $15.4 million, or 4.0%, to $403.6 million for the three months ended September 30, 2020, compared to $388.2 million for the three months ended September 30, 2019. The increase in operating expenses is primarily due to an increase in brokerage, exchange, clearance fees and payments for order flow, net driven by higher market volatility and trading volumes partially offset by decreases in employee compensation and payroll taxes and other operating expenses described in more detail below.</w:t>
      </w:r>
    </w:p>
    <w:p>
      <w:pPr>
        <w:spacing w:after="0" w:line="195"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 increased $97.7</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or 98.9%, to $196.4 million for the three months ended September 30, 2020, compared to $98.8 million for the three months ended September 30, 2019. This increase was primarily attributable to the increase in payments for order flow as well as an increase in volumes we traded in Global Equities instruments and other asset categories. The increase in payments for order flow was driven by the increases in volumes from our broker-dealer clients eligible for payments for order flow, driven by high participation of retail investors in the market during the past quarter compared to the prior period. We evaluate this category representing direct costs associated with transacting business, in the broader context of our Adjusted Net Trading Income.</w:t>
      </w:r>
    </w:p>
    <w:p>
      <w:pPr>
        <w:spacing w:after="0" w:line="197" w:lineRule="exact"/>
        <w:rPr>
          <w:sz w:val="20"/>
          <w:szCs w:val="20"/>
          <w:color w:val="auto"/>
        </w:rPr>
      </w:pPr>
    </w:p>
    <w:p>
      <w:pPr>
        <w:jc w:val="both"/>
        <w:ind w:right="28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decreased $8.1 million, or 13.6%, to $51.6 million for the three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2020, compared to $59.8 million for the three months ended September 30, 2019. This decrease was primarily due to reductions in connectivity connections as a result of an on-going effort to consolidate various communication and data processing subscriptions.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76" w:name="page77"/>
    <w:bookmarkEnd w:id="76"/>
    <w:p>
      <w:pPr>
        <w:ind w:firstLine="597"/>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compensation and payroll taxes. </w:t>
      </w:r>
      <w:r>
        <w:rPr>
          <w:rFonts w:ascii="Times New Roman" w:cs="Times New Roman" w:eastAsia="Times New Roman" w:hAnsi="Times New Roman"/>
          <w:sz w:val="16"/>
          <w:szCs w:val="16"/>
          <w:color w:val="auto"/>
        </w:rPr>
        <w:t>Employee compensation and payroll taxes decreased $54.8 million, or 60.5%, to $35.8 million for the three months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2020, compared to $90.6 million for the three months ended September 30, 2019. The decrease in compensation levels was primarily attributable to a reduction in accrued incentive compensation in the third quarter, which is recorded at management’s discretion and is generally accrued in connection with the overall level of profitability on a year-to-date basis, as well as the anticipated mix of cash and stock-based awards. We have capitalized and therefore excluded employee compensation and benefits related to software development of $8.7 million and $8.6 million for the three months ended September 30, 2020, and 2019, respectively.</w:t>
      </w:r>
    </w:p>
    <w:p>
      <w:pPr>
        <w:spacing w:after="0" w:line="181" w:lineRule="exact"/>
        <w:rPr>
          <w:sz w:val="20"/>
          <w:szCs w:val="20"/>
          <w:color w:val="auto"/>
        </w:rPr>
      </w:pPr>
    </w:p>
    <w:p>
      <w:pPr>
        <w:jc w:val="both"/>
        <w:ind w:right="22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decreased $7.2 million, or 20.8%, to $27.4 million for the three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compared to $34.5 million for the three months ended September 30, 2019. This decrease was primarily attributable to lower interest expense incurred on cash collateral received as part of securities lending transactions, as well as a reduction in securities lending transactions for the period compared to the same period during the prior year. As indicated above, rather than analyzing interest and dividends expense in isolation, we evaluate it in the broader context of our Adjusted Net Trading Income.</w:t>
      </w:r>
    </w:p>
    <w:p>
      <w:pPr>
        <w:spacing w:after="0" w:line="197" w:lineRule="exact"/>
        <w:rPr>
          <w:sz w:val="20"/>
          <w:szCs w:val="20"/>
          <w:color w:val="auto"/>
        </w:rPr>
      </w:pPr>
    </w:p>
    <w:p>
      <w:pPr>
        <w:ind w:right="40" w:firstLine="597"/>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Operations and administrative. </w:t>
      </w:r>
      <w:r>
        <w:rPr>
          <w:rFonts w:ascii="Times New Roman" w:cs="Times New Roman" w:eastAsia="Times New Roman" w:hAnsi="Times New Roman"/>
          <w:sz w:val="16"/>
          <w:szCs w:val="16"/>
          <w:color w:val="auto"/>
        </w:rPr>
        <w:t>Operations and administrative expense decreased $0.7 million, or 2.8%, to $24.6 million for the three months ended September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30, 2020, compared to $25.3 million for the three months ended September 30, 2019. This decrease was primarily attributable to decreases in travel and entertainment due to the on-going effects of the COVID-19 pandemic as well as the on-going efforts to consolidate office premises and professional services after the ITG Acquisition.</w:t>
      </w:r>
    </w:p>
    <w:p>
      <w:pPr>
        <w:spacing w:after="0" w:line="170" w:lineRule="exact"/>
        <w:rPr>
          <w:sz w:val="20"/>
          <w:szCs w:val="20"/>
          <w:color w:val="auto"/>
        </w:rPr>
      </w:pPr>
    </w:p>
    <w:p>
      <w:pPr>
        <w:ind w:right="34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decreased $0.9 million, or 5.4%, to $16.7 million for the three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compared to $17.6 million for the three months ended September 30, 2019. This decrease was primarily attributable to certain assets being fully depreciated partially offset by an increase in capital expenditures on telecommunication, networking and other assets.</w:t>
      </w:r>
    </w:p>
    <w:p>
      <w:pPr>
        <w:spacing w:after="0" w:line="188" w:lineRule="exact"/>
        <w:rPr>
          <w:sz w:val="20"/>
          <w:szCs w:val="20"/>
          <w:color w:val="auto"/>
        </w:rPr>
      </w:pPr>
    </w:p>
    <w:p>
      <w:pPr>
        <w:jc w:val="both"/>
        <w:ind w:right="8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 decreased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$0.6 million, or 3.4%, to $18.3 million for the three months ended September 30, 2020, compared to $18.9 million for the three months ended September 30, 2019. This decrease was due to certain technology intangible assets acquired in connection with the KCG Acquisition being fully amortized.</w:t>
      </w:r>
    </w:p>
    <w:p>
      <w:pPr>
        <w:spacing w:after="0" w:line="188" w:lineRule="exact"/>
        <w:rPr>
          <w:sz w:val="20"/>
          <w:szCs w:val="20"/>
          <w:color w:val="auto"/>
        </w:rPr>
      </w:pPr>
    </w:p>
    <w:p>
      <w:pPr>
        <w:ind w:right="26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decreased $1.2 million, or 95.3%, to $0.1 million for the three months ended September 30,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$1.3 million for the three months ended September 30, 2019. The decrease in termination of office leases was due to the impairment of operating lease right-of-use assets and leasehold improvements and fixed assets incurred in 2019 for certain abandoned office space as part of the effort to integrate and consolidate office space in connection with the ITG Acquisition. There were minimal expenses incurred on termination of office leases for the three months ended September 30, 2019.</w:t>
      </w:r>
    </w:p>
    <w:p>
      <w:pPr>
        <w:spacing w:after="0" w:line="197" w:lineRule="exact"/>
        <w:rPr>
          <w:sz w:val="20"/>
          <w:szCs w:val="20"/>
          <w:color w:val="auto"/>
        </w:rPr>
      </w:pPr>
    </w:p>
    <w:p>
      <w:pPr>
        <w:ind w:right="2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and prepayment. </w:t>
      </w:r>
      <w:r>
        <w:rPr>
          <w:rFonts w:ascii="Times New Roman" w:cs="Times New Roman" w:eastAsia="Times New Roman" w:hAnsi="Times New Roman"/>
          <w:sz w:val="17"/>
          <w:szCs w:val="17"/>
          <w:color w:val="auto"/>
        </w:rPr>
        <w:t>Expense from debt issue costs related to debt refinancing, prepayment and commitment fees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$9.9 million for the three months ended September 30, 2020. There were no debt issue costs related to debt refinancing and prepayment for the three months ended September 30, 2019 as there were no refinancings or repayments during this period. The increase was primarily driven by the amortization of debt issue costs related to the Founder Member Loan Facility (as described in Note 10 “Borrowings” of Part I Item 1 “Financial Statements” of this Quarterly Report on Form 10-Q), in addition to debt issue costs related to the $100.0 million prepayment made during the three months ended September 30, 2020.</w:t>
      </w:r>
    </w:p>
    <w:p>
      <w:pPr>
        <w:spacing w:after="0" w:line="197" w:lineRule="exact"/>
        <w:rPr>
          <w:sz w:val="20"/>
          <w:szCs w:val="20"/>
          <w:color w:val="auto"/>
        </w:rPr>
      </w:pPr>
    </w:p>
    <w:p>
      <w:pPr>
        <w:ind w:right="20" w:firstLine="597"/>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decreased $4.7 million, or 65.6% to $2.5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2020, compared to $7.2 million during the three months ended September 30, 2019. The decrease was due to professional fees incurred in 2019 as a result of the ITG Acquisition. For the three months ended September 30, 2020, we incurred one-time transaction costs of $2.5 million in relation to the sale of MATCHNow, as discussed in Note 4 "Sale of MATCHNow" of Part I Item 1 "Financial Statements" of this Quarterly Report on Form 10-Q.</w:t>
      </w:r>
    </w:p>
    <w:p>
      <w:pPr>
        <w:spacing w:after="0" w:line="192" w:lineRule="exact"/>
        <w:rPr>
          <w:sz w:val="20"/>
          <w:szCs w:val="20"/>
          <w:color w:val="auto"/>
        </w:rPr>
      </w:pPr>
    </w:p>
    <w:p>
      <w:pPr>
        <w:ind w:right="20" w:firstLine="597"/>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decreased $13.8 million, or 40.5%, to $20.4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three months ended September 30, 2020, compared to $34.2 million for the three months ended September 30, 2019. This decrease was primarily attributable to the decrease in outstanding principal as a result of the prepayment on the First Lien Term Loan Facility in the second and third quarter of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232"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(benefit from) income taxes was $52.8 million for the three months ended September 30, 2020, compared to $(0.6) million for the three months ended September 30, 2019. The change was primarily due to the income before income taxes and noncontrolling interest for the three months ended September 30, 2020, compared to a loss before income taxes and noncontrolling interest for the three months ended September 30, 2019.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2020 Compared to Nine Months Ended September 30, 2019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32" w:lineRule="exact"/>
        <w:rPr>
          <w:sz w:val="20"/>
          <w:szCs w:val="20"/>
          <w:color w:val="auto"/>
        </w:rPr>
      </w:pPr>
    </w:p>
    <w:p>
      <w:pPr>
        <w:ind w:right="60" w:firstLine="597"/>
        <w:spacing w:after="0" w:line="250" w:lineRule="auto"/>
        <w:rPr>
          <w:sz w:val="20"/>
          <w:szCs w:val="20"/>
          <w:color w:val="auto"/>
        </w:rPr>
      </w:pPr>
      <w:r>
        <w:rPr>
          <w:rFonts w:ascii="Times New Roman" w:cs="Times New Roman" w:eastAsia="Times New Roman" w:hAnsi="Times New Roman"/>
          <w:sz w:val="17"/>
          <w:szCs w:val="17"/>
          <w:color w:val="auto"/>
        </w:rPr>
        <w:t>Our total revenues increased $1,444.8 million, or 129.2%, to $2,562.6 million for the nine months ended September 30, 2020, compared to $1,117.9 million for the nine months ended September 30, 2019. This increase was primarily attributable to an increase in Trading income, net, of $1,304.1 million, which was driven by higher market volatility and trading volumes during the first three quarters of 2020 compared to 2019, from the impacts of COVID-19 and the governmental and other responses thereto. In addition, 2020 included the results of ITG for the full first quarter of 2020 compared to the results of ITG from the ITG Closing Date through September 30, 2019 in the prior year.</w:t>
      </w:r>
    </w:p>
    <w:p>
      <w:pPr>
        <w:spacing w:after="0" w:line="201"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Though our total revenues increased during the period, Commissions, net and technology services within the Execution Services segment did not have the same relative increase in part because we selectively limited our client trading business during certain periods throughout the past nine months due to the extraordinary volume and volatility during the period and the operational challenges caused directly or indirectly by COVID-19, including working remotely and increases in short term liquidity requirements.</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shows the total revenues by segment for the nine months ended September 30, 2020 and 2019.</w:t>
      </w: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6"/>
          </w:tcPr>
          <w:p>
            <w:pPr>
              <w:ind w:left="11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360" w:type="dxa"/>
            <w:vAlign w:val="bottom"/>
            <w:tcBorders>
              <w:bottom w:val="single" w:sz="8" w:color="auto"/>
            </w:tcBorders>
          </w:tcPr>
          <w:p>
            <w:pPr>
              <w:spacing w:after="0"/>
              <w:rPr>
                <w:sz w:val="15"/>
                <w:szCs w:val="15"/>
                <w:color w:val="auto"/>
              </w:rPr>
            </w:pPr>
          </w:p>
        </w:tc>
      </w:tr>
      <w:tr>
        <w:trPr>
          <w:trHeight w:val="17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for percentage)</w:t>
            </w:r>
          </w:p>
        </w:tc>
        <w:tc>
          <w:tcPr>
            <w:tcW w:w="380" w:type="dxa"/>
            <w:vAlign w:val="bottom"/>
          </w:tcPr>
          <w:p>
            <w:pPr>
              <w:spacing w:after="0"/>
              <w:rPr>
                <w:sz w:val="15"/>
                <w:szCs w:val="15"/>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7"/>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Market Making</w:t>
            </w: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r>
      <w:tr>
        <w:trPr>
          <w:trHeight w:val="17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1,989,176</w:t>
            </w:r>
          </w:p>
        </w:tc>
        <w:tc>
          <w:tcPr>
            <w:tcW w:w="120" w:type="dxa"/>
            <w:vAlign w:val="bottom"/>
          </w:tcPr>
          <w:p>
            <w:pPr>
              <w:spacing w:after="0"/>
              <w:rPr>
                <w:sz w:val="15"/>
                <w:szCs w:val="15"/>
                <w:color w:val="auto"/>
              </w:rPr>
            </w:pPr>
          </w:p>
        </w:tc>
        <w:tc>
          <w:tcPr>
            <w:tcW w:w="3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680,224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w w:val="99"/>
              </w:rPr>
              <w:t>192.4%</w:t>
            </w:r>
          </w:p>
        </w:tc>
      </w:tr>
      <w:tr>
        <w:trPr>
          <w:trHeight w:val="17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14"/>
              <w:spacing w:after="0"/>
              <w:rPr>
                <w:sz w:val="20"/>
                <w:szCs w:val="20"/>
                <w:color w:val="auto"/>
              </w:rPr>
            </w:pPr>
            <w:r>
              <w:rPr>
                <w:rFonts w:ascii="Times New Roman" w:cs="Times New Roman" w:eastAsia="Times New Roman" w:hAnsi="Times New Roman"/>
                <w:sz w:val="13"/>
                <w:szCs w:val="13"/>
                <w:color w:val="auto"/>
              </w:rPr>
              <w:t>(28.2)%</w:t>
            </w:r>
          </w:p>
        </w:tc>
      </w:tr>
      <w:tr>
        <w:trPr>
          <w:trHeight w:val="17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rPr>
              <w:t>(44.7)%</w:t>
            </w:r>
          </w:p>
        </w:tc>
      </w:tr>
      <w:tr>
        <w:trPr>
          <w:trHeight w:val="174"/>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revenues from Market Making</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2,064,300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762,076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w w:val="99"/>
              </w:rPr>
              <w:t>170.9%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64"/>
        </w:trPr>
        <w:tc>
          <w:tcPr>
            <w:tcW w:w="4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7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Execution Services</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4"/>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7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rPr>
              <w:t>(95.3)%</w:t>
            </w:r>
          </w:p>
        </w:tc>
      </w:tr>
      <w:tr>
        <w:trPr>
          <w:trHeight w:val="17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442,807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342,681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29.2%</w:t>
            </w:r>
          </w:p>
        </w:tc>
      </w:tr>
      <w:tr>
        <w:trPr>
          <w:trHeight w:val="173"/>
        </w:trPr>
        <w:tc>
          <w:tcPr>
            <w:tcW w:w="4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58,662</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93"/>
        </w:trPr>
        <w:tc>
          <w:tcPr>
            <w:tcW w:w="4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revenues from Execution Services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500,621</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358,325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39.7%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44"/>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4"/>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3"/>
        </w:trPr>
        <w:tc>
          <w:tcPr>
            <w:tcW w:w="4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center"/>
              <w:ind w:right="214"/>
              <w:spacing w:after="0"/>
              <w:rPr>
                <w:sz w:val="20"/>
                <w:szCs w:val="20"/>
                <w:color w:val="auto"/>
              </w:rPr>
            </w:pPr>
            <w:r>
              <w:rPr>
                <w:rFonts w:ascii="Times New Roman" w:cs="Times New Roman" w:eastAsia="Times New Roman" w:hAnsi="Times New Roman"/>
                <w:sz w:val="13"/>
                <w:szCs w:val="13"/>
                <w:color w:val="auto"/>
              </w:rPr>
              <w:t>(9.6)%</w:t>
            </w:r>
          </w:p>
        </w:tc>
      </w:tr>
      <w:tr>
        <w:trPr>
          <w:trHeight w:val="193"/>
        </w:trPr>
        <w:tc>
          <w:tcPr>
            <w:tcW w:w="4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revenues from Corporate</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center"/>
              <w:ind w:right="214"/>
              <w:spacing w:after="0"/>
              <w:rPr>
                <w:sz w:val="20"/>
                <w:szCs w:val="20"/>
                <w:color w:val="auto"/>
              </w:rPr>
            </w:pPr>
            <w:r>
              <w:rPr>
                <w:rFonts w:ascii="Times New Roman" w:cs="Times New Roman" w:eastAsia="Times New Roman" w:hAnsi="Times New Roman"/>
                <w:sz w:val="13"/>
                <w:szCs w:val="13"/>
                <w:color w:val="auto"/>
              </w:rPr>
              <w:t>(9.6)%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44"/>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74"/>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7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Trading income, net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1,987,756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683,611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w w:val="99"/>
              </w:rPr>
              <w:t>190.8%</w:t>
            </w:r>
          </w:p>
        </w:tc>
      </w:tr>
      <w:tr>
        <w:trPr>
          <w:trHeight w:val="175"/>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46,788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14"/>
              <w:spacing w:after="0"/>
              <w:rPr>
                <w:sz w:val="20"/>
                <w:szCs w:val="20"/>
                <w:color w:val="auto"/>
              </w:rPr>
            </w:pPr>
            <w:r>
              <w:rPr>
                <w:rFonts w:ascii="Times New Roman" w:cs="Times New Roman" w:eastAsia="Times New Roman" w:hAnsi="Times New Roman"/>
                <w:sz w:val="13"/>
                <w:szCs w:val="13"/>
                <w:color w:val="auto"/>
              </w:rPr>
              <w:t>(39.0)%</w:t>
            </w:r>
          </w:p>
        </w:tc>
      </w:tr>
      <w:tr>
        <w:trPr>
          <w:trHeight w:val="173"/>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452,333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34"/>
              <w:spacing w:after="0"/>
              <w:rPr>
                <w:sz w:val="20"/>
                <w:szCs w:val="20"/>
                <w:color w:val="auto"/>
              </w:rPr>
            </w:pPr>
            <w:r>
              <w:rPr>
                <w:rFonts w:ascii="Times New Roman" w:cs="Times New Roman" w:eastAsia="Times New Roman" w:hAnsi="Times New Roman"/>
                <w:sz w:val="13"/>
                <w:szCs w:val="13"/>
                <w:color w:val="auto"/>
              </w:rPr>
              <w:t>25.7%</w:t>
            </w:r>
          </w:p>
        </w:tc>
      </w:tr>
      <w:tr>
        <w:trPr>
          <w:trHeight w:val="174"/>
        </w:trPr>
        <w:tc>
          <w:tcPr>
            <w:tcW w:w="4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75,758</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34"/>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Total revenues</w:t>
            </w: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2,562,635</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1,117,873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214"/>
              <w:spacing w:after="0"/>
              <w:rPr>
                <w:sz w:val="20"/>
                <w:szCs w:val="20"/>
                <w:color w:val="auto"/>
              </w:rPr>
            </w:pPr>
            <w:r>
              <w:rPr>
                <w:rFonts w:ascii="Times New Roman" w:cs="Times New Roman" w:eastAsia="Times New Roman" w:hAnsi="Times New Roman"/>
                <w:sz w:val="13"/>
                <w:szCs w:val="13"/>
                <w:color w:val="auto"/>
                <w:w w:val="99"/>
              </w:rPr>
              <w:t>129.2%</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$1,304.1 million, or 190.8%,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$1,987.8 million for the nine months ended September 30, 2020, compared to $683.6 million for the nine months ended September 30, 2019. The increase was primarily driven by the higher market volatility and trading volumes across global markets and major asset categories during the nine months ended September 30, 2020 compared to the same period in the prior year. Average daily realized volatility of the S&amp;P 500 Index increased 165.2% compared to the prior period, while average daily U.S. equity consolidated volumes increased 55.5%.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98" w:lineRule="exact"/>
        <w:rPr>
          <w:sz w:val="20"/>
          <w:szCs w:val="20"/>
          <w:color w:val="auto"/>
        </w:rPr>
      </w:pPr>
    </w:p>
    <w:p>
      <w:pPr>
        <w:ind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 decreased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$29.9 million, or 39.0%, to $46.8 million for the nine months ended September 30, 2020, compared to $76.6 million for the nine months ended September 30, 2019. This decrease was primarily attributable to lower interest income earned on cash collateral posted as part of securities borrowed transactions driven by lower interest rates and lower balances compared to the prior period. As indicated above, rather than analyzing interest and dividends income in isolation, we evaluate it in the broader context of our Adjusted Net Trading Income.</w:t>
      </w:r>
    </w:p>
    <w:p>
      <w:pPr>
        <w:spacing w:after="0" w:line="197" w:lineRule="exact"/>
        <w:rPr>
          <w:sz w:val="20"/>
          <w:szCs w:val="20"/>
          <w:color w:val="auto"/>
        </w:rPr>
      </w:pPr>
    </w:p>
    <w:p>
      <w:pPr>
        <w:ind w:right="6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 segment.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Commissions, net and technology services revenues increased $92.4 million, or 25.7%, to $452.3 million for the nine months ended September 30, 2020, compared to $359.9 million for the nine months ended September 30, 2019. The increase was primarily attributable to the results of ITG for the full first quarter of 2020 compared to the results of ITG from the ITG Closing Date through March 31, 2019. The ITG Acquisition brought recurring connectivity revenues generated from workflow technology and subscription revenues from analytics services to Commissions, net and technology services.</w:t>
      </w:r>
    </w:p>
    <w:p>
      <w:pPr>
        <w:spacing w:after="0" w:line="197" w:lineRule="exact"/>
        <w:rPr>
          <w:sz w:val="20"/>
          <w:szCs w:val="20"/>
          <w:color w:val="auto"/>
        </w:rPr>
      </w:pPr>
    </w:p>
    <w:p>
      <w:pPr>
        <w:ind w:right="80"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$78.0 million, or 3,427.1%, to $75.8 million for the nine months ended September 30, 2020, compared to $(2.3)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nine months ended September 30, 2019. The increase was primarily due to a $58.7 million gain recognized on the sale of MATCHNow (see Note 4 "Sale of MATCHNow" of Part I Item 1 "Financial Statements" of this Quarterly Report on Form 10-Q). In addition, we recognized a $17.4 million gain on the minority investment in SBI Japannext (see Note 11 "Financial Assets and Liability" of Part I Item I "Financial Statements" of this Quarterly Report on Form 10-Q for details on the SBI Investment).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32" w:lineRule="exact"/>
        <w:rPr>
          <w:sz w:val="20"/>
          <w:szCs w:val="20"/>
          <w:color w:val="auto"/>
        </w:rPr>
      </w:pPr>
    </w:p>
    <w:p>
      <w:pPr>
        <w:ind w:right="20" w:firstLine="597"/>
        <w:spacing w:after="0" w:line="246" w:lineRule="auto"/>
        <w:rPr>
          <w:sz w:val="20"/>
          <w:szCs w:val="20"/>
          <w:color w:val="auto"/>
        </w:rPr>
      </w:pPr>
      <w:r>
        <w:rPr>
          <w:rFonts w:ascii="Times New Roman" w:cs="Times New Roman" w:eastAsia="Times New Roman" w:hAnsi="Times New Roman"/>
          <w:sz w:val="17"/>
          <w:szCs w:val="17"/>
          <w:color w:val="auto"/>
        </w:rPr>
        <w:t>Adjusted Net Trading Income increased $1,097.9 million, or 153.0%, to $1,815.5 million for the nine months ended September 30, 2020, compared to $717.5 million for the nine months ended September 30, 2019. This increase was primarily attributable to higher Trading income, net, driven by higher market volatility and trading volumes across major asset categories during the nine months ended September 30, 2020 compared to the prior period. Average daily realized volatility of the S&amp;P 500 Index and average daily CVIX realized volatility increased 165.2% and 101.1%, respectively, compared to the prior period, while average daily U.S. equity consolidated volumes increased 55.5%. There were increases in Trading income, net in Global Equities of $907.7 million, and in Global FICC, Options and Other of $100.5 million, from the Market Making segment. There was also an increase of $89.6 million, or 33.9%, in the Execution Services segment primarily driven by the increase in Commissions, net and technology services that was primarily attributable to the results of ITG for the full first quarter of 2020 compared to the results of ITG from the ITG Closing Date through March 31, 2019. Adjusted Net Trading Income per day increased $5.8 million, or 153.0%, to $9.6 million for the nine months ended September 30, 2020, compared to $3.8 million for the nine months ended September 30, 2019. The number of trading days was 189 for both the nine months ended September 30, 2020 and 2019, respectively.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32" w:lineRule="exact"/>
        <w:rPr>
          <w:sz w:val="20"/>
          <w:szCs w:val="20"/>
          <w:color w:val="auto"/>
        </w:rPr>
      </w:pPr>
    </w:p>
    <w:p>
      <w:pPr>
        <w:ind w:right="120" w:firstLine="597"/>
        <w:spacing w:after="0" w:line="250" w:lineRule="auto"/>
        <w:rPr>
          <w:sz w:val="20"/>
          <w:szCs w:val="20"/>
          <w:color w:val="auto"/>
        </w:rPr>
      </w:pPr>
      <w:r>
        <w:rPr>
          <w:rFonts w:ascii="Times New Roman" w:cs="Times New Roman" w:eastAsia="Times New Roman" w:hAnsi="Times New Roman"/>
          <w:sz w:val="17"/>
          <w:szCs w:val="17"/>
          <w:color w:val="auto"/>
        </w:rPr>
        <w:t>Our operating expenses increased $232.9 million, or 19.3%, to $1,439.4 million for the nine months ended September 30, 2020, compared to $1,206.5 million for the nine months ended September 30, 2019. The increase in operating expenses was primarily due to higher trading related expenses as a result of the increases in volumes traded during the nine months ended September 30, 2020 compared to the prior period. Additionally, the results of ITG for the full first quarter of 2020 compared to the one-month results of ITG from the ITG Closing Date through March 31, 2019 caused an overall increase in expenses in multiple expense categories as described in more detail below.</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 increased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$287.9 million, or 100.7%, to $573.8 million for the nine months ended September 30, 2020, compared to $285.9 million for the nine months ended September 30, 2019. This increase was primarily attributable to an increase in payments for order flow and increases in volumes we traded in Global Equities instruments and other asset categories. The increase in payments for order flow was primarily attributable to the increase in volumes from our broker-dealer clients eligible for payments for order flow, driven by high participation of retail investors in the market during the past nine months compared to the same period during the prior year. We evaluate this category, representing direct costs associated with transacting our business in the broader context of our Adjusted Net Trading Income.</w:t>
      </w:r>
    </w:p>
    <w:p>
      <w:pPr>
        <w:spacing w:after="0" w:line="197" w:lineRule="exact"/>
        <w:rPr>
          <w:sz w:val="20"/>
          <w:szCs w:val="20"/>
          <w:color w:val="auto"/>
        </w:rPr>
      </w:pPr>
    </w:p>
    <w:p>
      <w:pPr>
        <w:ind w:firstLine="597"/>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$6.3 million, or 4.1%, to $162.3 million for the nine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2020, compared to $156.0 million for the nine months ended September 30, 2019. This increase was primarily attributatble to the results of ITG for the full first quarter in 2020 compared to the results of ITG from the ITG Closing Date through March 31, 2019, as well as additional telecommunication and networking services from activating our back-up facilities and enabling the majority of our employees to work from home. The increase was partially offset by reductions in connectivity connections as a result of an on-going effort to consolidate various communication and data processing subscriptions.</w:t>
      </w:r>
    </w:p>
    <w:p>
      <w:pPr>
        <w:spacing w:after="0" w:line="197"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$45.0 million, or 15.9%, to $327.1 million for the nine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ended September 30, 2020, compared to $282.1 million for the nine months ended September 30, 2019. The increase in compensation levels was primarily attributable to increased incentive compensation, which is recorded at management’s discretion and is generally accrued in connection with the overall level of profitability. Furthermore, we incurred additional compensation expense as a result of one-time cash bonuses awarded to certain employees to mitigate the effects of the COVID-19 pandemic. We have capitalized and therefore excluded employee compensation and benefits related to software development of $28.1 million and $25.3 million for the nine months ended September 30, 2020 and 2019, respectively.</w:t>
      </w:r>
    </w:p>
    <w:p>
      <w:pPr>
        <w:spacing w:after="0" w:line="197" w:lineRule="exact"/>
        <w:rPr>
          <w:sz w:val="20"/>
          <w:szCs w:val="20"/>
          <w:color w:val="auto"/>
        </w:rPr>
      </w:pPr>
    </w:p>
    <w:p>
      <w:pPr>
        <w:ind w:right="10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decreased $19.1 million, or 16.3%, to $97.7 million for the nine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compared to $116.7 million for the nine months ended September 30, 2019. This decrease was primarily attributable to lower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193" w:lineRule="exact"/>
        <w:rPr>
          <w:sz w:val="20"/>
          <w:szCs w:val="20"/>
          <w:color w:val="auto"/>
        </w:rPr>
      </w:pPr>
    </w:p>
    <w:p>
      <w:pPr>
        <w:jc w:val="both"/>
        <w:ind w:right="20" w:firstLine="597"/>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Operations and administrative. </w:t>
      </w:r>
      <w:r>
        <w:rPr>
          <w:rFonts w:ascii="Times New Roman" w:cs="Times New Roman" w:eastAsia="Times New Roman" w:hAnsi="Times New Roman"/>
          <w:sz w:val="16"/>
          <w:szCs w:val="16"/>
          <w:color w:val="auto"/>
        </w:rPr>
        <w:t>Operations and administrative expense decreased $2.8 million, or 3.7%, to $73.5 million for the nine months ended September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30, 2020, compared to $76.3 million for the nine months ended September 30, 2019.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170" w:lineRule="exact"/>
        <w:rPr>
          <w:sz w:val="20"/>
          <w:szCs w:val="20"/>
          <w:color w:val="auto"/>
        </w:rPr>
      </w:pPr>
    </w:p>
    <w:p>
      <w:pPr>
        <w:ind w:right="4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$1.9 million, or 3.8%, to $50.7 million for the nine months ended September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2020, compared to $48.9 million for the nine months ended September 30, 2019. This increase was primarily attributable to depreciation and amortization of additional assets resulting from the ITG acquisition for the full first quarter of 2020 compared to the prior period which excluded depreciation and amortization on ITG assets prior to the ITG Closing Date, partially offset by certain assets being fully depreciated in 2020.</w:t>
      </w:r>
    </w:p>
    <w:p>
      <w:pPr>
        <w:spacing w:after="0" w:line="193" w:lineRule="exact"/>
        <w:rPr>
          <w:sz w:val="20"/>
          <w:szCs w:val="20"/>
          <w:color w:val="auto"/>
        </w:rPr>
      </w:pPr>
    </w:p>
    <w:p>
      <w:pPr>
        <w:jc w:val="both"/>
        <w:ind w:right="4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 increased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$5.7 million, or 11.4%, to $56.2 million for the nine months ended September 30, 2020, compared to $50.4 million for the nine months ended September 30, 2019. This increase was due to the amortization of intangible assets acquired in connection with the ITG Acquisition for a full three quarters in 2020 versus the period from the ITG Closing Date through September 30, 2019.</w:t>
      </w:r>
    </w:p>
    <w:p>
      <w:pPr>
        <w:spacing w:after="0" w:line="193" w:lineRule="exact"/>
        <w:rPr>
          <w:sz w:val="20"/>
          <w:szCs w:val="20"/>
          <w:color w:val="auto"/>
        </w:rPr>
      </w:pPr>
    </w:p>
    <w:p>
      <w:pPr>
        <w:ind w:right="20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$0.3 million for the nine months ended September 30, 2020, compared to $66.5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nine months ended September 30, 2019. The decrease in termination of office leases was due to the impairment of operating lease right-of-use assets and leasehold improvements and fixed assets incurred in 2019 for certain abandoned office space as part of the effort to integrate and consolidate office space in connection with the ITG Acquisition.</w:t>
      </w:r>
    </w:p>
    <w:p>
      <w:pPr>
        <w:spacing w:after="0" w:line="193" w:lineRule="exact"/>
        <w:rPr>
          <w:sz w:val="20"/>
          <w:szCs w:val="20"/>
          <w:color w:val="auto"/>
        </w:rPr>
      </w:pPr>
    </w:p>
    <w:p>
      <w:pPr>
        <w:ind w:right="320" w:firstLine="597"/>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costs related to debt refinancing, prepayment and commitment fees. </w:t>
      </w:r>
      <w:r>
        <w:rPr>
          <w:rFonts w:ascii="Times New Roman" w:cs="Times New Roman" w:eastAsia="Times New Roman" w:hAnsi="Times New Roman"/>
          <w:sz w:val="17"/>
          <w:szCs w:val="17"/>
          <w:color w:val="auto"/>
        </w:rPr>
        <w:t>Expense from debt issue costs related to debt refinancing, prepayment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commitment fees increased $19.4 million, or 245.6%, to $27.3 million for the nine months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7"/>
          <w:szCs w:val="17"/>
          <w:color w:val="auto"/>
        </w:rPr>
        <w:t>ended September 30, 2020, compared to $7.9 million for the nine months ended September 30, 2019. This was primarily driven by amortization of debt issue costs related to the Founder Member Loan Facility (see Note 10 “Borrowings” of Part I Item 1 “Financial Statements” of this Quarterly Report on Form 10-Q), which expired as of September 20, 2020 , in addition to debt issue costs related to a $288.5 million prepayment made during the nine months ended September 30, 2020. The amount for the nine months ended September 30, 2019 mainly reflects costs incurred related to the termination of the Existing Term Loan Facility (as defined below) in the first quarter of 2019.</w:t>
      </w:r>
    </w:p>
    <w:p>
      <w:pPr>
        <w:spacing w:after="0" w:line="197" w:lineRule="exact"/>
        <w:rPr>
          <w:sz w:val="20"/>
          <w:szCs w:val="20"/>
          <w:color w:val="auto"/>
        </w:rPr>
      </w:pPr>
    </w:p>
    <w:p>
      <w:pPr>
        <w:ind w:right="2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decreased $21.3 million, or 88.6%, to $2.7 million for the nine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September 30, 2020, compared to $24.1 million for the nine months ended September 30, 2019. The decrease was primarily attributable to the ITG Acquisition, for which we incurred significant transaction advisory fees during 2019. The decrease was partially offset by increases related to the one-time transaction costs incurred as a result of the sale of MATCHNow.</w:t>
      </w:r>
    </w:p>
    <w:p>
      <w:pPr>
        <w:spacing w:after="0" w:line="193" w:lineRule="exact"/>
        <w:rPr>
          <w:sz w:val="20"/>
          <w:szCs w:val="20"/>
          <w:color w:val="auto"/>
        </w:rPr>
      </w:pPr>
    </w:p>
    <w:p>
      <w:pPr>
        <w:jc w:val="both"/>
        <w:ind w:right="20" w:firstLine="597"/>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decreased $23.9 million, or 26.1%, to $67.8 million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nine months ended September 30, 2020, compared to $91.7 million for the nine months ended September 30, 2019. This decrease was primarily attributable to a decrease in outstanding principal as a result of the First Lien Term Loan Facility and the Incremental Term Loans in addition to lower interest rates as discussed in Note 10 “Borrowings” of Part I Item 1 “Financial Statements” of this Quarterly Report on Form 10-Q.</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232"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$200.0 million for the nine months ended September 30, 2020, compared to a benefit from income taxes of $(14.3) million for the nine months ended September 30, 2019. The change was primarily due to the income before income taxes and noncontrolling interest for the nine months ended September 30, 2020, compared to a loss before taxes during the prior year period.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32"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As of September 30, 2020, we had $567.7 million in Cash and cash equivalents. This balance is maintained primarily to support operating activities for capital expenditures and for short-term access to liquidity, and for other general corporate purposes. As of September 30, 2020, we had borrowings under our prime brokerage credit facilities of approximately $163.6 million, borrowings under our broker dealer facilities of $78.0 million, short-term bank overdrafts of $47.0 million, and long-term debt outstanding in an aggregate principal amount of approximately $1,669.7 million. As of September 30, 2020, our regulatory capital requirements for Virtu Americas LLC, our domestic U.S. broker-dealer subsidiary, was $2.5 million.</w:t>
      </w:r>
    </w:p>
    <w:p>
      <w:pPr>
        <w:spacing w:after="0" w:line="201"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subsidiaries, as discussed in Note 10 “Borrowings” of Part I Item 1 “Financial Statements” of this Quarterly Report on Form 10-Q.</w:t>
      </w:r>
    </w:p>
    <w:p>
      <w:pPr>
        <w:spacing w:after="0" w:line="204" w:lineRule="exact"/>
        <w:rPr>
          <w:sz w:val="20"/>
          <w:szCs w:val="20"/>
          <w:color w:val="auto"/>
        </w:rPr>
      </w:pPr>
    </w:p>
    <w:p>
      <w:pPr>
        <w:ind w:firstLine="597"/>
        <w:spacing w:after="0" w:line="266" w:lineRule="auto"/>
        <w:rPr>
          <w:sz w:val="20"/>
          <w:szCs w:val="20"/>
          <w:color w:val="auto"/>
        </w:rPr>
      </w:pPr>
      <w:r>
        <w:rPr>
          <w:rFonts w:ascii="Times New Roman" w:cs="Times New Roman" w:eastAsia="Times New Roman" w:hAnsi="Times New Roman"/>
          <w:sz w:val="16"/>
          <w:szCs w:val="16"/>
          <w:color w:val="auto"/>
        </w:rPr>
        <w:t>As a result of the substantially elevated volume and volatility environment during the quarter attributable largely to the COVID-19 pandemic and governmental and other responses thereto, our trading activities both in our market making segment and in our execution services segment increased materially relative to the equivalent period in the prior year. This increase in our activity and our customers’ activity together with the extraordinary volatility during certain periods within the quarter has driven our short-term liquidity needs significantly higher as compared to prior periods, though these levels declined meaningfully during the second and third quarter relative to their peaks in the first quarter of 2020. In order to manage these increased daily funding obligations, we have taken steps to increase available short-term liquidity and to reduce our short term funding requirements. Increases to our available short-term liquidity included entering into the Founder Member Loan Facility (as defined below, and which expired in the third quarter of 2020), the Demand Loan (as defined below, which was fully repaid</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7"/>
          <w:szCs w:val="17"/>
          <w:color w:val="auto"/>
        </w:rPr>
        <w:t>during the second quarter of 2020) and certain changes to the Committed Broker Dealer Facility, each of which are described in further detail below as well as in Note 10 “Borrowings” of Part I Item 1 “Financial Statements” of this Quarterly Report on Form 10-Q. Steps taken to reduce our short-term funding requirements have included arranging for select clients trades to be cleared by another large financial institution, reducing limits on daily client trading activity on a client-by-client basis and selectively reducing our market making activities in certain asset classes or products.</w:t>
      </w:r>
    </w:p>
    <w:p>
      <w:pPr>
        <w:spacing w:after="0" w:line="199" w:lineRule="exact"/>
        <w:rPr>
          <w:sz w:val="20"/>
          <w:szCs w:val="20"/>
          <w:color w:val="auto"/>
        </w:rPr>
      </w:pPr>
    </w:p>
    <w:p>
      <w:pPr>
        <w:ind w:right="60" w:firstLine="597"/>
        <w:spacing w:after="0" w:line="249" w:lineRule="auto"/>
        <w:rPr>
          <w:sz w:val="20"/>
          <w:szCs w:val="20"/>
          <w:color w:val="auto"/>
        </w:rPr>
      </w:pPr>
      <w:r>
        <w:rPr>
          <w:rFonts w:ascii="Times New Roman" w:cs="Times New Roman" w:eastAsia="Times New Roman" w:hAnsi="Times New Roman"/>
          <w:sz w:val="17"/>
          <w:szCs w:val="17"/>
          <w:color w:val="auto"/>
        </w:rPr>
        <w:t>Based on our current level of operations and following the steps taken as detailed above,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 term financial condition or long term capital requirements.</w:t>
      </w:r>
    </w:p>
    <w:p>
      <w:pPr>
        <w:spacing w:after="0" w:line="202" w:lineRule="exact"/>
        <w:rPr>
          <w:sz w:val="20"/>
          <w:szCs w:val="20"/>
          <w:color w:val="auto"/>
        </w:rPr>
      </w:pPr>
    </w:p>
    <w:p>
      <w:pPr>
        <w:ind w:right="120" w:firstLine="597"/>
        <w:spacing w:after="0" w:line="252"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32"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6 “Tax Receivable Agreements” to the condensed consolidated financial statements included in Part I Item 1 “Financial Statements” of this Quarterly Report on Form 10-Q are expected to range from approximately $3.3 million to $20.7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and our third payment of $13.3 million in March 2020. Future payments under the tax receivable agreements in respect of subsequent exchanges would be in addition to these amounts. We currently expect to fund these payments from realized cash tax savings from the favorable tax attributes.</w:t>
      </w:r>
    </w:p>
    <w:p>
      <w:pPr>
        <w:spacing w:after="0" w:line="203" w:lineRule="exact"/>
        <w:rPr>
          <w:sz w:val="20"/>
          <w:szCs w:val="20"/>
          <w:color w:val="auto"/>
        </w:rPr>
      </w:pPr>
    </w:p>
    <w:p>
      <w:pPr>
        <w:jc w:val="both"/>
        <w:ind w:right="260" w:firstLine="597"/>
        <w:spacing w:after="0" w:line="266" w:lineRule="auto"/>
        <w:rPr>
          <w:sz w:val="20"/>
          <w:szCs w:val="20"/>
          <w:color w:val="auto"/>
        </w:rPr>
      </w:pPr>
      <w:r>
        <w:rPr>
          <w:rFonts w:ascii="Times New Roman" w:cs="Times New Roman" w:eastAsia="Times New Roman" w:hAnsi="Times New Roman"/>
          <w:sz w:val="16"/>
          <w:szCs w:val="16"/>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32" w:lineRule="exact"/>
        <w:rPr>
          <w:sz w:val="20"/>
          <w:szCs w:val="20"/>
          <w:color w:val="auto"/>
        </w:rPr>
      </w:pPr>
    </w:p>
    <w:p>
      <w:pPr>
        <w:ind w:right="300" w:firstLine="597"/>
        <w:spacing w:after="0" w:line="269" w:lineRule="auto"/>
        <w:rPr>
          <w:sz w:val="20"/>
          <w:szCs w:val="20"/>
          <w:color w:val="auto"/>
        </w:rPr>
      </w:pPr>
      <w:r>
        <w:rPr>
          <w:rFonts w:ascii="Times New Roman" w:cs="Times New Roman" w:eastAsia="Times New Roman" w:hAnsi="Times New Roman"/>
          <w:sz w:val="17"/>
          <w:szCs w:val="17"/>
          <w:color w:val="auto"/>
        </w:rPr>
        <w:t>Our principal U.S. subsidiary is subject to separate regulation and capital requirements in the United States and other jurisdictions. Virtu Americas LLC is a registered U.S. broker-dealer, and its primary regulator include the SEC and FINRA.</w:t>
      </w:r>
    </w:p>
    <w:p>
      <w:pPr>
        <w:spacing w:after="0" w:line="184" w:lineRule="exact"/>
        <w:rPr>
          <w:sz w:val="20"/>
          <w:szCs w:val="20"/>
          <w:color w:val="auto"/>
        </w:rPr>
      </w:pPr>
    </w:p>
    <w:p>
      <w:pPr>
        <w:ind w:right="40" w:firstLine="597"/>
        <w:spacing w:after="0" w:line="249"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rules set forth by NYSE and is required to maintain a certain level of capital in connection with the operation of its designated market maker business.</w:t>
      </w:r>
    </w:p>
    <w:p>
      <w:pPr>
        <w:spacing w:after="0" w:line="228"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Our Canadian subsidiaries, Virtu ITG Canada Corp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203" w:lineRule="exact"/>
        <w:rPr>
          <w:sz w:val="20"/>
          <w:szCs w:val="20"/>
          <w:color w:val="auto"/>
        </w:rPr>
      </w:pPr>
    </w:p>
    <w:p>
      <w:pPr>
        <w:ind w:right="280" w:firstLine="597"/>
        <w:spacing w:after="0" w:line="269" w:lineRule="auto"/>
        <w:rPr>
          <w:sz w:val="20"/>
          <w:szCs w:val="20"/>
          <w:color w:val="auto"/>
        </w:rPr>
      </w:pPr>
      <w:r>
        <w:rPr>
          <w:rFonts w:ascii="Times New Roman" w:cs="Times New Roman" w:eastAsia="Times New Roman" w:hAnsi="Times New Roman"/>
          <w:sz w:val="17"/>
          <w:szCs w:val="17"/>
          <w:color w:val="auto"/>
        </w:rPr>
        <w:t>See Note 20 “Regulatory Requirement” of Part I Item 1 “Financial Statements” of this Quarterly Report on Form 10-Q for a discussion of regulatory capital requirements of our regulated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32" w:lineRule="exact"/>
        <w:rPr>
          <w:sz w:val="20"/>
          <w:szCs w:val="20"/>
          <w:color w:val="auto"/>
        </w:rPr>
      </w:pPr>
    </w:p>
    <w:p>
      <w:pPr>
        <w:ind w:right="40" w:firstLine="597"/>
        <w:spacing w:after="0" w:line="270" w:lineRule="auto"/>
        <w:rPr>
          <w:sz w:val="20"/>
          <w:szCs w:val="20"/>
          <w:color w:val="auto"/>
        </w:rPr>
      </w:pPr>
      <w:r>
        <w:rPr>
          <w:rFonts w:ascii="Times New Roman" w:cs="Times New Roman" w:eastAsia="Times New Roman" w:hAnsi="Times New Roman"/>
          <w:sz w:val="16"/>
          <w:szCs w:val="16"/>
          <w:color w:val="auto"/>
        </w:rPr>
        <w:t>We maintain various broker-dealer facilities and short-term credit facilities as part of our daily trading operations. See Note 10 “Borrowings” of Part I Item 1 “Financial Statements” of this Quarterly Report on Form 10-Q for details on our various credit facilities. As of September 30, 2020, the outstanding principal balance on our broker-dealer facilities was $78.0 million and the outstanding aggregate short-term credit facilities with various prime brokers and other financial institutions from which the Company receives execution or clearing services was approximately $163.6 million, which was netted within Receivables from broker-dealers and clearing organizations on the Condensed Consolidated Statement of Financial Condition of Part I Item 1 “Financial Statements” of this Quarterly Report on Form 10-Q.</w:t>
      </w:r>
    </w:p>
    <w:p>
      <w:pPr>
        <w:spacing w:after="0" w:line="185" w:lineRule="exact"/>
        <w:rPr>
          <w:sz w:val="20"/>
          <w:szCs w:val="20"/>
          <w:color w:val="auto"/>
        </w:rPr>
      </w:pPr>
    </w:p>
    <w:p>
      <w:pPr>
        <w:jc w:val="both"/>
        <w:ind w:right="80" w:firstLine="597"/>
        <w:spacing w:after="0" w:line="280" w:lineRule="auto"/>
        <w:rPr>
          <w:sz w:val="20"/>
          <w:szCs w:val="20"/>
          <w:color w:val="auto"/>
        </w:rPr>
      </w:pPr>
      <w:r>
        <w:rPr>
          <w:rFonts w:ascii="Times New Roman" w:cs="Times New Roman" w:eastAsia="Times New Roman" w:hAnsi="Times New Roman"/>
          <w:sz w:val="16"/>
          <w:szCs w:val="16"/>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77"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Loan Agreement, the Company delivered to the Founder Member a warrant to purchase shares of the Company’s Class A Common Stock, as described below.</w:t>
      </w:r>
    </w:p>
    <w:p>
      <w:pPr>
        <w:spacing w:after="0" w:line="202"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6"/>
          <w:szCs w:val="16"/>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The number of shares would have been increased to 10,000,000 if, at any time during the term of the Founder Member Facility, Founder Member Loans equal to or greater than $100 million remained outstanding for a certain period of time specified in the Warrant, however as indicated above, no borrowings were made during the term of the Founder Member Loan Facility and therefore there was no such increase of shares issuable pursuant to the terms of the Warrant. The exercise price per share of the Class A Common Stock issuable pursuant to the Warrant is $22.98, and the Warrant may be exercised to purchase up to 3,000,000 shares of the Company's Class A Common Stock on or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17"/>
          <w:szCs w:val="17"/>
          <w:color w:val="auto"/>
        </w:rPr>
        <w:t>The foregoing descriptions of the Founder Member Loan Facility and the Warrant do not purport to be complete and are qualified in its entirety by reference to the complete text of the Founder Member Loan Facility and the Warrant, which are filed as exhibits to the Company's quarterly report on Form 10-Q for the period ending March 31, 2020, filed with the Securities and Exchange Commission on May 11, 2020.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32" w:lineRule="exact"/>
        <w:rPr>
          <w:sz w:val="20"/>
          <w:szCs w:val="20"/>
          <w:color w:val="auto"/>
        </w:rPr>
      </w:pPr>
    </w:p>
    <w:p>
      <w:pPr>
        <w:ind w:right="140" w:firstLine="597"/>
        <w:spacing w:after="0" w:line="269"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84" w:lineRule="exact"/>
        <w:rPr>
          <w:sz w:val="20"/>
          <w:szCs w:val="20"/>
          <w:color w:val="auto"/>
        </w:rPr>
      </w:pPr>
    </w:p>
    <w:p>
      <w:pPr>
        <w:ind w:right="160" w:firstLine="597"/>
        <w:spacing w:after="0" w:line="249" w:lineRule="auto"/>
        <w:rPr>
          <w:sz w:val="20"/>
          <w:szCs w:val="20"/>
          <w:color w:val="auto"/>
        </w:rPr>
      </w:pPr>
      <w:r>
        <w:rPr>
          <w:rFonts w:ascii="Times New Roman" w:cs="Times New Roman" w:eastAsia="Times New Roman" w:hAnsi="Times New Roman"/>
          <w:sz w:val="17"/>
          <w:szCs w:val="17"/>
          <w:color w:val="auto"/>
        </w:rPr>
        <w:t>The Credit Agreement provided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0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On October 9, 2019 (the “Amendment No. 1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No. 1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 terms, conditions and covenants applicable to the Incremental Term Loans are the same as the terms, conditions and covenants applicable to the existing term loans under the Credit Agreement, including a maturity date of March 1, 2026.</w:t>
      </w:r>
    </w:p>
    <w:p>
      <w:pPr>
        <w:spacing w:after="0" w:line="207" w:lineRule="exact"/>
        <w:rPr>
          <w:sz w:val="20"/>
          <w:szCs w:val="20"/>
          <w:color w:val="auto"/>
        </w:rPr>
      </w:pPr>
    </w:p>
    <w:p>
      <w:pPr>
        <w:ind w:right="60" w:firstLine="597"/>
        <w:spacing w:after="0" w:line="265" w:lineRule="auto"/>
        <w:rPr>
          <w:sz w:val="20"/>
          <w:szCs w:val="20"/>
          <w:color w:val="auto"/>
        </w:rPr>
      </w:pPr>
      <w:r>
        <w:rPr>
          <w:rFonts w:ascii="Times New Roman" w:cs="Times New Roman" w:eastAsia="Times New Roman" w:hAnsi="Times New Roman"/>
          <w:sz w:val="16"/>
          <w:szCs w:val="16"/>
          <w:color w:val="auto"/>
        </w:rPr>
        <w:t>On March 2, 2020 (the “Amendment No. 2 Closing Date”), VFH entered into Amendment No. 2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w:t>
      </w:r>
    </w:p>
    <w:p>
      <w:pPr>
        <w:spacing w:after="0" w:line="245" w:lineRule="auto"/>
        <w:tabs>
          <w:tab w:leader="none" w:pos="22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5"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On January 29, 2020, the Company entered into a five-year $1,000 million floating-to-fixed interest rate swap agreement. The Company also previously entered into a five-year $525 million floating-to-fixed interest rate swap agreement in the fourth quarter of 2019. These two interest rate swaps meet the criteria to be considered and were designated as qualifying cash flow hedges under ASC 815 in the first quarter of 2020, and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201" w:lineRule="exact"/>
        <w:rPr>
          <w:sz w:val="20"/>
          <w:szCs w:val="20"/>
          <w:color w:val="auto"/>
        </w:rPr>
      </w:pPr>
    </w:p>
    <w:p>
      <w:pPr>
        <w:ind w:right="120" w:firstLine="597"/>
        <w:spacing w:after="0" w:line="250" w:lineRule="auto"/>
        <w:rPr>
          <w:sz w:val="20"/>
          <w:szCs w:val="20"/>
          <w:color w:val="auto"/>
        </w:rPr>
      </w:pPr>
      <w:r>
        <w:rPr>
          <w:rFonts w:ascii="Times New Roman" w:cs="Times New Roman" w:eastAsia="Times New Roman" w:hAnsi="Times New Roman"/>
          <w:sz w:val="17"/>
          <w:szCs w:val="17"/>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80" w:firstLine="597"/>
        <w:spacing w:after="0" w:line="269" w:lineRule="auto"/>
        <w:rPr>
          <w:sz w:val="20"/>
          <w:szCs w:val="20"/>
          <w:color w:val="auto"/>
        </w:rPr>
      </w:pPr>
      <w:r>
        <w:rPr>
          <w:rFonts w:ascii="Times New Roman" w:cs="Times New Roman" w:eastAsia="Times New Roman" w:hAnsi="Times New Roman"/>
          <w:sz w:val="17"/>
          <w:szCs w:val="17"/>
          <w:color w:val="auto"/>
        </w:rPr>
        <w:t>Under the Amended Credit Agreement, term loans will mature on March 1, 2026. The term loans amortize in annual installments equal to 1.0% of the original aggregate principal amount of the term loans. The revolving commitments will terminate on March 1, 2022.</w:t>
      </w:r>
    </w:p>
    <w:p>
      <w:pPr>
        <w:spacing w:after="0" w:line="184" w:lineRule="exact"/>
        <w:rPr>
          <w:sz w:val="20"/>
          <w:szCs w:val="20"/>
          <w:color w:val="auto"/>
        </w:rPr>
      </w:pPr>
    </w:p>
    <w:p>
      <w:pPr>
        <w:ind w:right="40" w:firstLine="597"/>
        <w:spacing w:after="0" w:line="252" w:lineRule="auto"/>
        <w:rPr>
          <w:sz w:val="20"/>
          <w:szCs w:val="20"/>
          <w:color w:val="auto"/>
        </w:rPr>
      </w:pPr>
      <w:r>
        <w:rPr>
          <w:rFonts w:ascii="Times New Roman" w:cs="Times New Roman" w:eastAsia="Times New Roman" w:hAnsi="Times New Roman"/>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199" w:lineRule="exact"/>
        <w:rPr>
          <w:sz w:val="20"/>
          <w:szCs w:val="20"/>
          <w:color w:val="auto"/>
        </w:rPr>
      </w:pPr>
    </w:p>
    <w:p>
      <w:pPr>
        <w:ind w:right="200" w:firstLine="597"/>
        <w:spacing w:after="0" w:line="280" w:lineRule="auto"/>
        <w:rPr>
          <w:sz w:val="20"/>
          <w:szCs w:val="20"/>
          <w:color w:val="auto"/>
        </w:rPr>
      </w:pPr>
      <w:r>
        <w:rPr>
          <w:rFonts w:ascii="Times New Roman" w:cs="Times New Roman" w:eastAsia="Times New Roman" w:hAnsi="Times New Roman"/>
          <w:sz w:val="16"/>
          <w:szCs w:val="16"/>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were in compliance with all applicable covenants under the Amended Credit Agreement as of September 30, 2020.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11" w:lineRule="exact"/>
        <w:rPr>
          <w:sz w:val="20"/>
          <w:szCs w:val="20"/>
          <w:color w:val="auto"/>
        </w:rPr>
      </w:pPr>
    </w:p>
    <w:p>
      <w:pPr>
        <w:ind w:right="220" w:firstLine="597"/>
        <w:spacing w:after="0" w:line="269"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nine months ended September 30, 2020 and 2019.</w:t>
      </w:r>
    </w:p>
    <w:p>
      <w:pPr>
        <w:spacing w:after="0" w:line="259" w:lineRule="exact"/>
        <w:rPr>
          <w:sz w:val="20"/>
          <w:szCs w:val="20"/>
          <w:color w:val="auto"/>
        </w:rPr>
      </w:pPr>
    </w:p>
    <w:tbl>
      <w:tblPr>
        <w:tblLayout w:type="fixed"/>
        <w:tblInd w:w="126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w:t>
            </w:r>
          </w:p>
        </w:tc>
        <w:tc>
          <w:tcPr>
            <w:tcW w:w="32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2019</w:t>
            </w:r>
          </w:p>
        </w:tc>
      </w:tr>
      <w:tr>
        <w:trPr>
          <w:trHeight w:val="167"/>
        </w:trPr>
        <w:tc>
          <w:tcPr>
            <w:tcW w:w="55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activities</w:t>
            </w: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483,598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(346,222)</w:t>
            </w:r>
          </w:p>
        </w:tc>
      </w:tr>
      <w:tr>
        <w:trPr>
          <w:trHeight w:val="173"/>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Investing activities</w:t>
            </w:r>
          </w:p>
        </w:tc>
        <w:tc>
          <w:tcPr>
            <w:tcW w:w="320" w:type="dxa"/>
            <w:vAlign w:val="bottom"/>
          </w:tcPr>
          <w:p>
            <w:pPr>
              <w:spacing w:after="0"/>
              <w:rPr>
                <w:sz w:val="15"/>
                <w:szCs w:val="15"/>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3,444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(882,820)</w:t>
            </w:r>
          </w:p>
        </w:tc>
      </w:tr>
      <w:tr>
        <w:trPr>
          <w:trHeight w:val="175"/>
        </w:trPr>
        <w:tc>
          <w:tcPr>
            <w:tcW w:w="5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activities</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897,810</w:t>
            </w:r>
          </w:p>
        </w:tc>
      </w:tr>
      <w:tr>
        <w:trPr>
          <w:trHeight w:val="173"/>
        </w:trPr>
        <w:tc>
          <w:tcPr>
            <w:tcW w:w="5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color w:val="auto"/>
              </w:rPr>
              <w:t>3,860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(9,996)</w:t>
            </w:r>
          </w:p>
        </w:tc>
      </w:tr>
      <w:tr>
        <w:trPr>
          <w:trHeight w:val="193"/>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32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(107,318)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(341,228)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0"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17"/>
          <w:szCs w:val="17"/>
          <w:color w:val="auto"/>
        </w:rPr>
        <w:t>Net cash provided by operating activities was $483.6 million for the nine months ended September 30, 2020, compared to net cash used in operating activities of $346.2 million for the nine months ended September 30, 2019. The increase in net cash provided by operating activities was primarily attributable to increases in trading income, net for the nine months ended September 30, 2020 compared to the prior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30"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Net cash provided by investing activities was $3.4 million for the nine months ended September 30, 2020, compared to net cash used in investing activities of $882.8 million for the nine months ended September 30, 2019. The decrease in cash provided by investing activities for the nine months ended September 30, 2020 was primarily attributable to the $835.6 million cash used for the ITG Acquisition on the ITG Closing Date during the same period of 2019 (see Note 3 “ITG Acquisition” of Part I Item 1 “Financial Statements” of this Quarterly Report on Form 10-Q), partially offset by $60.6 million cash provided by the sale of MATCHNow in the third quarter of 2020 (see Note 4 "Sale of MATCHNow" of Part I Item 1 “Financial Statements”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30"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Net cash used in financing activities was $598.2 million for the nine months ended September 30, 2020, while net cash provided by financing activities was $897.8 million for the nine months ended September 30, 2019. The cash used in financing activities for the nine months ended September 30, 2020 was primarily attributable to a $288.5 million prepayment on our long-term borrowings and by distributions made to noncontrolling interests of $247.8 million. The cash provided by financing activities of $897.8 million during the same period of 2019 primarily reflects net proceeds from long-term borrowings associated with our entering into the Credit Agreement on the ITG Closing Date, as described above.</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Secondary Offerings</w:t>
      </w:r>
    </w:p>
    <w:p>
      <w:pPr>
        <w:spacing w:after="0" w:line="232" w:lineRule="exact"/>
        <w:rPr>
          <w:sz w:val="20"/>
          <w:szCs w:val="20"/>
          <w:color w:val="auto"/>
        </w:rPr>
      </w:pPr>
    </w:p>
    <w:p>
      <w:pPr>
        <w:ind w:right="40" w:firstLine="597"/>
        <w:spacing w:after="0" w:line="266" w:lineRule="auto"/>
        <w:rPr>
          <w:sz w:val="20"/>
          <w:szCs w:val="20"/>
          <w:color w:val="auto"/>
        </w:rPr>
      </w:pPr>
      <w:r>
        <w:rPr>
          <w:rFonts w:ascii="Times New Roman" w:cs="Times New Roman" w:eastAsia="Times New Roman" w:hAnsi="Times New Roman"/>
          <w:sz w:val="16"/>
          <w:szCs w:val="16"/>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90" w:lineRule="exact"/>
        <w:rPr>
          <w:sz w:val="20"/>
          <w:szCs w:val="20"/>
          <w:color w:val="auto"/>
        </w:rPr>
      </w:pPr>
    </w:p>
    <w:p>
      <w:pPr>
        <w:ind w:right="80" w:firstLine="597"/>
        <w:spacing w:after="0" w:line="250" w:lineRule="auto"/>
        <w:rPr>
          <w:sz w:val="20"/>
          <w:szCs w:val="20"/>
          <w:color w:val="auto"/>
        </w:rPr>
      </w:pPr>
      <w:r>
        <w:rPr>
          <w:rFonts w:ascii="Times New Roman" w:cs="Times New Roman" w:eastAsia="Times New Roman" w:hAnsi="Times New Roman"/>
          <w:sz w:val="17"/>
          <w:szCs w:val="17"/>
          <w:color w:val="auto"/>
        </w:rPr>
        <w:t>In connection with the May 2018 Secondary Offering, the Company, TJMT Holdings LLC,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201" w:lineRule="exact"/>
        <w:rPr>
          <w:sz w:val="20"/>
          <w:szCs w:val="20"/>
          <w:color w:val="auto"/>
        </w:rPr>
      </w:pPr>
    </w:p>
    <w:p>
      <w:pPr>
        <w:jc w:val="both"/>
        <w:ind w:right="180" w:firstLine="597"/>
        <w:spacing w:after="0" w:line="252" w:lineRule="auto"/>
        <w:rPr>
          <w:sz w:val="20"/>
          <w:szCs w:val="20"/>
          <w:color w:val="auto"/>
        </w:rPr>
      </w:pPr>
      <w:r>
        <w:rPr>
          <w:rFonts w:ascii="Times New Roman" w:cs="Times New Roman" w:eastAsia="Times New Roman" w:hAnsi="Times New Roman"/>
          <w:sz w:val="17"/>
          <w:szCs w:val="17"/>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32" w:lineRule="exact"/>
        <w:rPr>
          <w:sz w:val="20"/>
          <w:szCs w:val="20"/>
          <w:color w:val="auto"/>
        </w:rPr>
      </w:pPr>
    </w:p>
    <w:p>
      <w:pPr>
        <w:ind w:right="60" w:firstLine="597"/>
        <w:spacing w:after="0" w:line="256" w:lineRule="auto"/>
        <w:rPr>
          <w:sz w:val="20"/>
          <w:szCs w:val="20"/>
          <w:color w:val="auto"/>
        </w:rPr>
      </w:pPr>
      <w:r>
        <w:rPr>
          <w:rFonts w:ascii="Times New Roman" w:cs="Times New Roman" w:eastAsia="Times New Roman" w:hAnsi="Times New Roman"/>
          <w:sz w:val="17"/>
          <w:szCs w:val="17"/>
          <w:color w:val="auto"/>
        </w:rPr>
        <w:t>As of September 30, 2020,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32" w:lineRule="exact"/>
        <w:rPr>
          <w:sz w:val="20"/>
          <w:szCs w:val="20"/>
          <w:color w:val="auto"/>
        </w:rPr>
      </w:pPr>
    </w:p>
    <w:p>
      <w:pPr>
        <w:ind w:right="120" w:firstLine="597"/>
        <w:spacing w:after="0" w:line="269" w:lineRule="auto"/>
        <w:rPr>
          <w:sz w:val="20"/>
          <w:szCs w:val="20"/>
          <w:color w:val="auto"/>
        </w:rPr>
      </w:pPr>
      <w:r>
        <w:rPr>
          <w:rFonts w:ascii="Times New Roman" w:cs="Times New Roman" w:eastAsia="Times New Roman" w:hAnsi="Times New Roman"/>
          <w:sz w:val="17"/>
          <w:szCs w:val="17"/>
          <w:color w:val="auto"/>
        </w:rPr>
        <w:t>We believe inflation has not had a material effect on our financial condition as of September 30, 2020, and December 31, 2019, or on our results of operations and cash flows for the three and nine months ended September 30, 2020 and 2019.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32"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86" w:name="page87"/>
    <w:bookmarkEnd w:id="8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32" w:lineRule="exact"/>
        <w:rPr>
          <w:sz w:val="20"/>
          <w:szCs w:val="20"/>
          <w:color w:val="auto"/>
        </w:rPr>
      </w:pPr>
    </w:p>
    <w:p>
      <w:pPr>
        <w:ind w:firstLine="597"/>
        <w:spacing w:after="0" w:line="250"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201" w:lineRule="exact"/>
        <w:rPr>
          <w:sz w:val="20"/>
          <w:szCs w:val="20"/>
          <w:color w:val="auto"/>
        </w:rPr>
      </w:pPr>
    </w:p>
    <w:p>
      <w:pPr>
        <w:jc w:val="both"/>
        <w:ind w:right="400" w:firstLine="597"/>
        <w:spacing w:after="0" w:line="25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Level 2 — Quoted prices in markets that are not active and financial instruments for which all significant inputs are observable, either directly or indirectly; or</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28" w:lineRule="exact"/>
        <w:rPr>
          <w:sz w:val="20"/>
          <w:szCs w:val="20"/>
          <w:color w:val="auto"/>
        </w:rPr>
      </w:pPr>
    </w:p>
    <w:p>
      <w:pPr>
        <w:ind w:right="120" w:firstLine="597"/>
        <w:spacing w:after="0" w:line="273" w:lineRule="auto"/>
        <w:rPr>
          <w:sz w:val="20"/>
          <w:szCs w:val="20"/>
          <w:color w:val="auto"/>
        </w:rPr>
      </w:pPr>
      <w:r>
        <w:rPr>
          <w:rFonts w:ascii="Times New Roman" w:cs="Times New Roman" w:eastAsia="Times New Roman" w:hAnsi="Times New Roman"/>
          <w:sz w:val="16"/>
          <w:szCs w:val="16"/>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Part I Item 1 “Financial Statements” of this Quarterly Report on Form 10-Q for further information about fair value measurements.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30" w:lineRule="exact"/>
        <w:rPr>
          <w:sz w:val="20"/>
          <w:szCs w:val="20"/>
          <w:color w:val="auto"/>
        </w:rPr>
      </w:pPr>
    </w:p>
    <w:p>
      <w:pPr>
        <w:jc w:val="both"/>
        <w:ind w:right="20" w:firstLine="597"/>
        <w:spacing w:after="0" w:line="25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30" w:lineRule="exact"/>
        <w:rPr>
          <w:sz w:val="20"/>
          <w:szCs w:val="20"/>
          <w:color w:val="auto"/>
        </w:rPr>
      </w:pPr>
    </w:p>
    <w:p>
      <w:pPr>
        <w:ind w:right="220" w:firstLine="597"/>
        <w:spacing w:after="0" w:line="25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30"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 The Company recognizes the related revenue when the third-party research services are rendered and payments are made to the service provider.</w:t>
      </w:r>
    </w:p>
    <w:p>
      <w:pPr>
        <w:spacing w:after="0" w:line="201" w:lineRule="exact"/>
        <w:rPr>
          <w:sz w:val="20"/>
          <w:szCs w:val="20"/>
          <w:color w:val="auto"/>
        </w:rPr>
      </w:pPr>
    </w:p>
    <w:p>
      <w:pPr>
        <w:jc w:val="both"/>
        <w:ind w:right="200" w:firstLine="597"/>
        <w:spacing w:after="0" w:line="256" w:lineRule="auto"/>
        <w:rPr>
          <w:sz w:val="20"/>
          <w:szCs w:val="20"/>
          <w:color w:val="auto"/>
        </w:rPr>
      </w:pPr>
      <w:r>
        <w:rPr>
          <w:rFonts w:ascii="Times New Roman" w:cs="Times New Roman" w:eastAsia="Times New Roman" w:hAnsi="Times New Roman"/>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3" w:lineRule="exact"/>
        <w:rPr>
          <w:sz w:val="20"/>
          <w:szCs w:val="20"/>
          <w:color w:val="auto"/>
        </w:rPr>
      </w:pPr>
    </w:p>
    <w:p>
      <w:pPr>
        <w:ind w:right="520" w:firstLine="597"/>
        <w:spacing w:after="0" w:line="269"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84" w:lineRule="exact"/>
        <w:rPr>
          <w:sz w:val="20"/>
          <w:szCs w:val="20"/>
          <w:color w:val="auto"/>
        </w:rPr>
      </w:pPr>
    </w:p>
    <w:p>
      <w:pPr>
        <w:ind w:right="140" w:firstLine="597"/>
        <w:spacing w:after="0" w:line="252"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9" w:lineRule="exact"/>
        <w:rPr>
          <w:sz w:val="20"/>
          <w:szCs w:val="20"/>
          <w:color w:val="auto"/>
        </w:rPr>
      </w:pPr>
    </w:p>
    <w:p>
      <w:pPr>
        <w:ind w:right="500" w:firstLine="597"/>
        <w:spacing w:after="0" w:line="269"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84" w:lineRule="exact"/>
        <w:rPr>
          <w:sz w:val="20"/>
          <w:szCs w:val="20"/>
          <w:color w:val="auto"/>
        </w:rPr>
      </w:pPr>
    </w:p>
    <w:p>
      <w:pPr>
        <w:ind w:right="20" w:firstLine="597"/>
        <w:spacing w:after="0" w:line="252"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9" w:lineRule="exact"/>
        <w:rPr>
          <w:sz w:val="20"/>
          <w:szCs w:val="20"/>
          <w:color w:val="auto"/>
        </w:rPr>
      </w:pPr>
    </w:p>
    <w:p>
      <w:pPr>
        <w:ind w:firstLine="597"/>
        <w:spacing w:after="0" w:line="249"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2" w:lineRule="exact"/>
        <w:rPr>
          <w:sz w:val="20"/>
          <w:szCs w:val="20"/>
          <w:color w:val="auto"/>
        </w:rPr>
      </w:pPr>
    </w:p>
    <w:p>
      <w:pPr>
        <w:ind w:right="60" w:firstLine="597"/>
        <w:spacing w:after="0" w:line="301" w:lineRule="auto"/>
        <w:rPr>
          <w:sz w:val="20"/>
          <w:szCs w:val="20"/>
          <w:color w:val="auto"/>
        </w:rPr>
      </w:pPr>
      <w:r>
        <w:rPr>
          <w:rFonts w:ascii="Times New Roman" w:cs="Times New Roman" w:eastAsia="Times New Roman" w:hAnsi="Times New Roman"/>
          <w:sz w:val="16"/>
          <w:szCs w:val="16"/>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36" w:lineRule="exact"/>
        <w:rPr>
          <w:sz w:val="20"/>
          <w:szCs w:val="20"/>
          <w:color w:val="auto"/>
        </w:rPr>
      </w:pPr>
    </w:p>
    <w:p>
      <w:pPr>
        <w:ind w:left="1200" w:right="160" w:hanging="603"/>
        <w:spacing w:after="0" w:line="254" w:lineRule="auto"/>
        <w:tabs>
          <w:tab w:leader="none" w:pos="119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spacing w:after="0" w:line="1" w:lineRule="exact"/>
        <w:rPr>
          <w:rFonts w:ascii="Times New Roman" w:cs="Times New Roman" w:eastAsia="Times New Roman" w:hAnsi="Times New Roman"/>
          <w:sz w:val="17"/>
          <w:szCs w:val="17"/>
          <w:color w:val="auto"/>
        </w:rPr>
      </w:pPr>
    </w:p>
    <w:p>
      <w:pPr>
        <w:ind w:left="1180" w:hanging="583"/>
        <w:spacing w:after="0"/>
        <w:tabs>
          <w:tab w:leader="none" w:pos="1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211" w:lineRule="exact"/>
        <w:rPr>
          <w:sz w:val="20"/>
          <w:szCs w:val="20"/>
          <w:color w:val="auto"/>
        </w:rPr>
      </w:pPr>
    </w:p>
    <w:p>
      <w:pPr>
        <w:ind w:right="360" w:firstLine="597"/>
        <w:spacing w:after="0" w:line="25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32" w:lineRule="exact"/>
        <w:rPr>
          <w:sz w:val="20"/>
          <w:szCs w:val="20"/>
          <w:color w:val="auto"/>
        </w:rPr>
      </w:pPr>
    </w:p>
    <w:p>
      <w:pPr>
        <w:ind w:right="40" w:firstLine="597"/>
        <w:spacing w:after="0" w:line="25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6" w:lineRule="exact"/>
        <w:rPr>
          <w:sz w:val="20"/>
          <w:szCs w:val="20"/>
          <w:color w:val="auto"/>
        </w:rPr>
      </w:pPr>
    </w:p>
    <w:p>
      <w:pPr>
        <w:ind w:right="80" w:firstLine="597"/>
        <w:spacing w:after="0" w:line="250"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With respect to the RSUs, we account for forfeitures as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6"/>
          <w:szCs w:val="16"/>
          <w:color w:val="auto"/>
        </w:rPr>
        <w:t>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restricted stock units or the exercise of stock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32" w:lineRule="exact"/>
        <w:rPr>
          <w:sz w:val="20"/>
          <w:szCs w:val="20"/>
          <w:color w:val="auto"/>
        </w:rPr>
      </w:pPr>
    </w:p>
    <w:p>
      <w:pPr>
        <w:ind w:right="20" w:firstLine="597"/>
        <w:spacing w:after="0" w:line="269"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4" w:lineRule="exact"/>
        <w:rPr>
          <w:sz w:val="20"/>
          <w:szCs w:val="20"/>
          <w:color w:val="auto"/>
        </w:rPr>
      </w:pPr>
    </w:p>
    <w:p>
      <w:pPr>
        <w:ind w:right="300" w:firstLine="597"/>
        <w:spacing w:after="0" w:line="25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6" w:lineRule="exact"/>
        <w:rPr>
          <w:sz w:val="20"/>
          <w:szCs w:val="20"/>
          <w:color w:val="auto"/>
        </w:rPr>
      </w:pPr>
    </w:p>
    <w:p>
      <w:pPr>
        <w:ind w:firstLine="597"/>
        <w:spacing w:after="0" w:line="247"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32" w:lineRule="exact"/>
        <w:rPr>
          <w:sz w:val="20"/>
          <w:szCs w:val="20"/>
          <w:color w:val="auto"/>
        </w:rPr>
      </w:pPr>
    </w:p>
    <w:p>
      <w:pPr>
        <w:jc w:val="both"/>
        <w:ind w:right="80" w:firstLine="597"/>
        <w:spacing w:after="0" w:line="256"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6" w:lineRule="exact"/>
        <w:rPr>
          <w:sz w:val="20"/>
          <w:szCs w:val="20"/>
          <w:color w:val="auto"/>
        </w:rPr>
      </w:pPr>
    </w:p>
    <w:p>
      <w:pPr>
        <w:ind w:right="100" w:firstLine="597"/>
        <w:spacing w:after="0" w:line="256"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71" w:lineRule="exact"/>
        <w:rPr>
          <w:sz w:val="20"/>
          <w:szCs w:val="20"/>
          <w:color w:val="auto"/>
        </w:rPr>
      </w:pPr>
    </w:p>
    <w:p>
      <w:pPr>
        <w:ind w:left="1180" w:hanging="285"/>
        <w:spacing w:after="0"/>
        <w:tabs>
          <w:tab w:leader="none" w:pos="1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20" w:lineRule="exact"/>
        <w:rPr>
          <w:rFonts w:ascii="Times New Roman" w:cs="Times New Roman" w:eastAsia="Times New Roman" w:hAnsi="Times New Roman"/>
          <w:sz w:val="17"/>
          <w:szCs w:val="17"/>
          <w:color w:val="auto"/>
        </w:rPr>
      </w:pPr>
    </w:p>
    <w:p>
      <w:pPr>
        <w:ind w:left="1180" w:hanging="285"/>
        <w:spacing w:after="0"/>
        <w:tabs>
          <w:tab w:leader="none" w:pos="1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3" w:lineRule="exact"/>
        <w:rPr>
          <w:rFonts w:ascii="Times New Roman" w:cs="Times New Roman" w:eastAsia="Times New Roman" w:hAnsi="Times New Roman"/>
          <w:sz w:val="17"/>
          <w:szCs w:val="17"/>
          <w:color w:val="auto"/>
        </w:rPr>
      </w:pPr>
    </w:p>
    <w:p>
      <w:pPr>
        <w:ind w:left="1180" w:hanging="285"/>
        <w:spacing w:after="0"/>
        <w:tabs>
          <w:tab w:leader="none" w:pos="1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3" w:lineRule="exact"/>
        <w:rPr>
          <w:rFonts w:ascii="Times New Roman" w:cs="Times New Roman" w:eastAsia="Times New Roman" w:hAnsi="Times New Roman"/>
          <w:sz w:val="17"/>
          <w:szCs w:val="17"/>
          <w:color w:val="auto"/>
        </w:rPr>
      </w:pPr>
    </w:p>
    <w:p>
      <w:pPr>
        <w:jc w:val="both"/>
        <w:ind w:left="600" w:right="280" w:firstLine="295"/>
        <w:spacing w:after="0" w:line="244" w:lineRule="auto"/>
        <w:tabs>
          <w:tab w:leader="none" w:pos="119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1" w:lineRule="exact"/>
        <w:rPr>
          <w:rFonts w:ascii="Times New Roman" w:cs="Times New Roman" w:eastAsia="Times New Roman" w:hAnsi="Times New Roman"/>
          <w:sz w:val="17"/>
          <w:szCs w:val="17"/>
          <w:color w:val="auto"/>
        </w:rPr>
      </w:pPr>
    </w:p>
    <w:p>
      <w:pPr>
        <w:ind w:left="1180" w:hanging="285"/>
        <w:spacing w:after="0"/>
        <w:tabs>
          <w:tab w:leader="none" w:pos="11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3" w:lineRule="exact"/>
        <w:rPr>
          <w:rFonts w:ascii="Times New Roman" w:cs="Times New Roman" w:eastAsia="Times New Roman" w:hAnsi="Times New Roman"/>
          <w:sz w:val="17"/>
          <w:szCs w:val="17"/>
          <w:color w:val="auto"/>
        </w:rPr>
      </w:pPr>
    </w:p>
    <w:p>
      <w:pPr>
        <w:ind w:left="600" w:right="100" w:firstLine="295"/>
        <w:spacing w:after="0" w:line="244" w:lineRule="auto"/>
        <w:tabs>
          <w:tab w:leader="none" w:pos="119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1180" w:hanging="285"/>
        <w:spacing w:after="0"/>
        <w:tabs>
          <w:tab w:leader="none" w:pos="11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relevant entity-specific events such as changes in management, key personnel, strategy, or customers, contemplation of bankruptcy, or litigation.</w:t>
      </w:r>
    </w:p>
    <w:p>
      <w:pPr>
        <w:spacing w:after="0" w:line="222" w:lineRule="exact"/>
        <w:rPr>
          <w:sz w:val="20"/>
          <w:szCs w:val="20"/>
          <w:color w:val="auto"/>
        </w:rPr>
      </w:pPr>
    </w:p>
    <w:p>
      <w:pPr>
        <w:ind w:right="60" w:firstLine="597"/>
        <w:spacing w:after="0" w:line="269"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597"/>
        <w:spacing w:after="0" w:line="256"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96" w:lineRule="exact"/>
        <w:rPr>
          <w:sz w:val="20"/>
          <w:szCs w:val="20"/>
          <w:color w:val="auto"/>
        </w:rPr>
      </w:pPr>
    </w:p>
    <w:p>
      <w:pPr>
        <w:ind w:right="340" w:firstLine="597"/>
        <w:spacing w:after="0" w:line="301" w:lineRule="auto"/>
        <w:rPr>
          <w:sz w:val="20"/>
          <w:szCs w:val="20"/>
          <w:color w:val="auto"/>
        </w:rPr>
      </w:pPr>
      <w:r>
        <w:rPr>
          <w:rFonts w:ascii="Times New Roman" w:cs="Times New Roman" w:eastAsia="Times New Roman" w:hAnsi="Times New Roman"/>
          <w:sz w:val="16"/>
          <w:szCs w:val="16"/>
          <w:color w:val="auto"/>
        </w:rPr>
        <w:t>We assess goodwill for impairment on an annual basis as of July 1st and on an interim basis when certain events or circumstances exist. In the impairment assessment as of July 1, 2020, we performed a qualitative assessment as described above for each reporting unit. No impairment of goodwill was identified.</w:t>
      </w:r>
    </w:p>
    <w:p>
      <w:pPr>
        <w:spacing w:after="0" w:line="161"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32" w:lineRule="exact"/>
        <w:rPr>
          <w:sz w:val="20"/>
          <w:szCs w:val="20"/>
          <w:color w:val="auto"/>
        </w:rPr>
      </w:pPr>
    </w:p>
    <w:p>
      <w:pPr>
        <w:ind w:right="40" w:firstLine="597"/>
        <w:spacing w:after="0" w:line="269"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90" w:name="page91"/>
    <w:bookmarkEnd w:id="90"/>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32" w:lineRule="exact"/>
        <w:rPr>
          <w:sz w:val="20"/>
          <w:szCs w:val="20"/>
          <w:color w:val="auto"/>
        </w:rPr>
      </w:pPr>
    </w:p>
    <w:p>
      <w:pPr>
        <w:ind w:right="380" w:firstLine="597"/>
        <w:spacing w:after="0" w:line="269"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4" w:lineRule="exact"/>
        <w:rPr>
          <w:sz w:val="20"/>
          <w:szCs w:val="20"/>
          <w:color w:val="auto"/>
        </w:rPr>
      </w:pPr>
    </w:p>
    <w:p>
      <w:pPr>
        <w:ind w:right="40" w:firstLine="597"/>
        <w:spacing w:after="0" w:line="248"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4" w:lineRule="exact"/>
        <w:rPr>
          <w:sz w:val="20"/>
          <w:szCs w:val="20"/>
          <w:color w:val="auto"/>
        </w:rPr>
      </w:pPr>
    </w:p>
    <w:p>
      <w:pPr>
        <w:ind w:right="80" w:firstLine="597"/>
        <w:spacing w:after="0" w:line="25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6" w:lineRule="exact"/>
        <w:rPr>
          <w:sz w:val="20"/>
          <w:szCs w:val="20"/>
          <w:color w:val="auto"/>
        </w:rPr>
      </w:pPr>
    </w:p>
    <w:p>
      <w:pPr>
        <w:ind w:firstLine="597"/>
        <w:spacing w:after="0" w:line="252"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Market risk was elevated during the period, largely as a result of the COVID-19 pandemic and the governmental and other responses thereto.</w:t>
      </w:r>
    </w:p>
    <w:p>
      <w:pPr>
        <w:spacing w:after="0" w:line="199" w:lineRule="exact"/>
        <w:rPr>
          <w:sz w:val="20"/>
          <w:szCs w:val="20"/>
          <w:color w:val="auto"/>
        </w:rPr>
      </w:pPr>
    </w:p>
    <w:p>
      <w:pPr>
        <w:ind w:right="40" w:firstLine="597"/>
        <w:spacing w:after="0" w:line="249"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2"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September 30, 2020 and December 31, 2019 was $2.8 billion and $2.8 billion, respectively, in long positions and $2.8 billion and $2.5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01" w:lineRule="exact"/>
        <w:rPr>
          <w:sz w:val="20"/>
          <w:szCs w:val="20"/>
          <w:color w:val="auto"/>
        </w:rPr>
      </w:pPr>
    </w:p>
    <w:p>
      <w:pPr>
        <w:ind w:right="140" w:firstLine="597"/>
        <w:spacing w:after="0" w:line="280" w:lineRule="auto"/>
        <w:rPr>
          <w:sz w:val="20"/>
          <w:szCs w:val="20"/>
          <w:color w:val="auto"/>
        </w:rPr>
      </w:pPr>
      <w:r>
        <w:rPr>
          <w:rFonts w:ascii="Times New Roman" w:cs="Times New Roman" w:eastAsia="Times New Roman" w:hAnsi="Times New Roman"/>
          <w:sz w:val="16"/>
          <w:szCs w:val="16"/>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77" w:lineRule="exact"/>
        <w:rPr>
          <w:sz w:val="20"/>
          <w:szCs w:val="20"/>
          <w:color w:val="auto"/>
        </w:rPr>
      </w:pPr>
    </w:p>
    <w:p>
      <w:pPr>
        <w:ind w:right="60" w:firstLine="597"/>
        <w:spacing w:after="0" w:line="273" w:lineRule="auto"/>
        <w:rPr>
          <w:sz w:val="20"/>
          <w:szCs w:val="20"/>
          <w:color w:val="auto"/>
        </w:rPr>
      </w:pPr>
      <w:r>
        <w:rPr>
          <w:rFonts w:ascii="Times New Roman" w:cs="Times New Roman" w:eastAsia="Times New Roman" w:hAnsi="Times New Roman"/>
          <w:sz w:val="16"/>
          <w:szCs w:val="16"/>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32" w:lineRule="exact"/>
        <w:rPr>
          <w:sz w:val="20"/>
          <w:szCs w:val="20"/>
          <w:color w:val="auto"/>
        </w:rPr>
      </w:pPr>
    </w:p>
    <w:p>
      <w:pPr>
        <w:ind w:right="100" w:firstLine="597"/>
        <w:spacing w:after="0" w:line="250"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201" w:lineRule="exact"/>
        <w:rPr>
          <w:sz w:val="20"/>
          <w:szCs w:val="20"/>
          <w:color w:val="auto"/>
        </w:rPr>
      </w:pPr>
    </w:p>
    <w:p>
      <w:pPr>
        <w:ind w:right="20" w:firstLine="597"/>
        <w:spacing w:after="0" w:line="247"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1" w:lineRule="exact"/>
        <w:rPr>
          <w:sz w:val="20"/>
          <w:szCs w:val="20"/>
          <w:color w:val="auto"/>
        </w:rPr>
      </w:pPr>
    </w:p>
    <w:p>
      <w:pPr>
        <w:ind w:firstLine="597"/>
        <w:spacing w:after="0" w:line="251"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7" w:lineRule="exact"/>
        <w:rPr>
          <w:sz w:val="20"/>
          <w:szCs w:val="20"/>
          <w:color w:val="auto"/>
        </w:rPr>
      </w:pPr>
    </w:p>
    <w:p>
      <w:pPr>
        <w:ind w:right="200" w:firstLine="597"/>
        <w:spacing w:after="0" w:line="271"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 clearing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with a view to limiting potential losses resulting from counterparty insolvency.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32" w:lineRule="exact"/>
        <w:rPr>
          <w:sz w:val="20"/>
          <w:szCs w:val="20"/>
          <w:color w:val="auto"/>
        </w:rPr>
      </w:pPr>
    </w:p>
    <w:p>
      <w:pPr>
        <w:ind w:right="20" w:firstLine="597"/>
        <w:spacing w:after="0" w:line="250"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01" w:lineRule="exact"/>
        <w:rPr>
          <w:sz w:val="20"/>
          <w:szCs w:val="20"/>
          <w:color w:val="auto"/>
        </w:rPr>
      </w:pPr>
    </w:p>
    <w:p>
      <w:pPr>
        <w:ind w:right="40" w:firstLine="597"/>
        <w:spacing w:after="0" w:line="250" w:lineRule="auto"/>
        <w:rPr>
          <w:sz w:val="20"/>
          <w:szCs w:val="20"/>
          <w:color w:val="auto"/>
        </w:rPr>
      </w:pPr>
      <w:r>
        <w:rPr>
          <w:rFonts w:ascii="Times New Roman" w:cs="Times New Roman" w:eastAsia="Times New Roman" w:hAnsi="Times New Roman"/>
          <w:sz w:val="17"/>
          <w:szCs w:val="17"/>
          <w:color w:val="auto"/>
        </w:rPr>
        <w:t>Approximately 26.1% and 27.3% of our revenues for the three months ended September 30, 2020 and 2019, respectively, and approximately 20.2% and 25.1% of our total revenues for the nine months ended September 30, 2020 and 2019, respectively, were denominated in non-U.S. Dollar currencies. We estimate that a hypothetical 10% adverse change in the value of the U.S. dollar relative to our foreign denominated earnings would have resulted in decreases in revenues of $17.2 million and $10.4 million for the three months ended September 30, 2020 and 2019, respectively, and $51.7 million and $28.1 million for the nine months ended September 30, 2020 and 2019, respectively.</w:t>
      </w:r>
    </w:p>
    <w:p>
      <w:pPr>
        <w:spacing w:after="0" w:line="201" w:lineRule="exact"/>
        <w:rPr>
          <w:sz w:val="20"/>
          <w:szCs w:val="20"/>
          <w:color w:val="auto"/>
        </w:rPr>
      </w:pPr>
    </w:p>
    <w:p>
      <w:pPr>
        <w:ind w:right="140" w:firstLine="597"/>
        <w:spacing w:after="0" w:line="250"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92" w:name="page93"/>
    <w:bookmarkEnd w:id="9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32" w:lineRule="exact"/>
        <w:rPr>
          <w:sz w:val="20"/>
          <w:szCs w:val="20"/>
          <w:color w:val="auto"/>
        </w:rPr>
      </w:pPr>
    </w:p>
    <w:p>
      <w:pPr>
        <w:ind w:right="100" w:firstLine="597"/>
        <w:spacing w:after="0" w:line="252"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9"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32"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6"/>
          <w:szCs w:val="16"/>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September 30, 2020. Based upon that evaluation, our Chief Executive Officer and Chief Financial Officer concluded that, as of September 30, 2020,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6" w:lineRule="exact"/>
        <w:rPr>
          <w:sz w:val="20"/>
          <w:szCs w:val="20"/>
          <w:color w:val="auto"/>
        </w:rPr>
      </w:pPr>
    </w:p>
    <w:p>
      <w:pPr>
        <w:ind w:right="20" w:firstLine="597"/>
        <w:spacing w:after="0" w:line="248"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4" w:lineRule="exact"/>
        <w:rPr>
          <w:sz w:val="20"/>
          <w:szCs w:val="20"/>
          <w:color w:val="auto"/>
        </w:rPr>
      </w:pPr>
    </w:p>
    <w:p>
      <w:pPr>
        <w:ind w:right="20" w:firstLine="597"/>
        <w:spacing w:after="0" w:line="252"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32" w:lineRule="exact"/>
        <w:rPr>
          <w:sz w:val="20"/>
          <w:szCs w:val="20"/>
          <w:color w:val="auto"/>
        </w:rPr>
      </w:pPr>
    </w:p>
    <w:p>
      <w:pPr>
        <w:ind w:right="460" w:firstLine="597"/>
        <w:spacing w:after="0" w:line="269"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September 30, 2020 that has or is reasonably likely to materially affect, our internal control over financial reporting.</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32" w:lineRule="exact"/>
        <w:rPr>
          <w:sz w:val="20"/>
          <w:szCs w:val="20"/>
          <w:color w:val="auto"/>
        </w:rPr>
      </w:pPr>
    </w:p>
    <w:p>
      <w:pPr>
        <w:ind w:right="660" w:firstLine="597"/>
        <w:spacing w:after="0" w:line="269"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15 “Commitments, Contingencies and Guarantees” to the Company’s condensed consolidated financial statements included in Part I Item 1 “Financial Statements”, which is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2019 Form 10-K, except for the following:</w:t>
      </w:r>
    </w:p>
    <w:p>
      <w:pPr>
        <w:spacing w:after="0" w:line="22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The effects of the outbreak of the novel coronavirus (COVID-19) have negatively affected the global economy, the United States economy and the global financial markets, and may disrupt our operations and our clients' operations, which could have an adverse effect on our business, financial condition and results of operations.</w:t>
      </w:r>
    </w:p>
    <w:p>
      <w:pPr>
        <w:spacing w:after="0" w:line="192" w:lineRule="exact"/>
        <w:rPr>
          <w:sz w:val="20"/>
          <w:szCs w:val="20"/>
          <w:color w:val="auto"/>
        </w:rPr>
      </w:pPr>
    </w:p>
    <w:p>
      <w:pPr>
        <w:ind w:firstLine="597"/>
        <w:spacing w:after="0" w:line="248" w:lineRule="auto"/>
        <w:rPr>
          <w:sz w:val="20"/>
          <w:szCs w:val="20"/>
          <w:color w:val="auto"/>
        </w:rPr>
      </w:pPr>
      <w:r>
        <w:rPr>
          <w:rFonts w:ascii="Times New Roman" w:cs="Times New Roman" w:eastAsia="Times New Roman" w:hAnsi="Times New Roman"/>
          <w:sz w:val="17"/>
          <w:szCs w:val="17"/>
          <w:color w:val="auto"/>
        </w:rPr>
        <w:t>The ongoing COVID-19 global and national health emergency has caused significant disruption in the international and United States economies and financial markets. On March 11, 2020, the World Health Organization declared the COVID-19 outbreak a pandemic. The spread of COVID-19 has caused, among other matters, illness, death, quarantines, cancellation of events and travel, business and school shutdowns, reduction in business activity and financial transactions, labor shortages, supply chain interruptions and overall economic and financial market instability. The United States now has the world’s most reported COVID-19 cases, and all 50 states and the District of Columbia have reported cases of infected individuals. Similar impacts have been experienced in every country in which we do business. The full impact this virus may have on the global financial markets and the overall economy is not currently known. Impacts to our business could be widespread and global, and material impacts may be possible, including the following:</w:t>
      </w:r>
    </w:p>
    <w:p>
      <w:pPr>
        <w:spacing w:after="0" w:line="204" w:lineRule="exact"/>
        <w:rPr>
          <w:sz w:val="20"/>
          <w:szCs w:val="20"/>
          <w:color w:val="auto"/>
        </w:rPr>
      </w:pPr>
    </w:p>
    <w:p>
      <w:pPr>
        <w:ind w:left="600" w:hanging="302"/>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including our senior executives, contracting COVID-19;</w:t>
      </w:r>
    </w:p>
    <w:p>
      <w:pPr>
        <w:spacing w:after="0" w:line="20" w:lineRule="exact"/>
        <w:rPr>
          <w:rFonts w:ascii="Times New Roman" w:cs="Times New Roman" w:eastAsia="Times New Roman" w:hAnsi="Times New Roman"/>
          <w:sz w:val="17"/>
          <w:szCs w:val="17"/>
          <w:color w:val="auto"/>
        </w:rPr>
      </w:pPr>
    </w:p>
    <w:p>
      <w:pPr>
        <w:ind w:left="600" w:right="20" w:hanging="302"/>
        <w:spacing w:after="0" w:line="244"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our operating effectiveness or efficiency as a significant number of our employees currently work from home and potential disruptions or adverse impacts as and when we implement a return to work policy for certain employees;</w:t>
      </w:r>
    </w:p>
    <w:p>
      <w:pPr>
        <w:ind w:left="600" w:hanging="302"/>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Unprecedented volatility in global financial markets, which may increase the risk or potential magnitude of operational errors;</w:t>
      </w:r>
    </w:p>
    <w:p>
      <w:pPr>
        <w:spacing w:after="0" w:line="3" w:lineRule="exact"/>
        <w:rPr>
          <w:rFonts w:ascii="Times New Roman" w:cs="Times New Roman" w:eastAsia="Times New Roman" w:hAnsi="Times New Roman"/>
          <w:sz w:val="17"/>
          <w:szCs w:val="17"/>
          <w:color w:val="auto"/>
        </w:rPr>
      </w:pPr>
    </w:p>
    <w:p>
      <w:pPr>
        <w:ind w:left="600" w:right="280" w:hanging="302"/>
        <w:spacing w:after="0" w:line="244"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liquidity needs, including but not limited to margin funding requirements with clearinghouses or prime brokers, for our business and challenges obtaining sufficient liquidity sources to meet such needs or requirements;</w:t>
      </w:r>
    </w:p>
    <w:p>
      <w:pPr>
        <w:ind w:left="600" w:right="400" w:hanging="302"/>
        <w:spacing w:after="0" w:line="244" w:lineRule="auto"/>
        <w:tabs>
          <w:tab w:leader="none" w:pos="5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impacts on our clients, counterparties, vendors and other business partners on whom we rely for order flow, funding, and critical technological or operational services and the potential increase in risk of counterparty default or insolvency event;</w:t>
      </w:r>
    </w:p>
    <w:p>
      <w:pPr>
        <w:ind w:left="600" w:hanging="302"/>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of our offices or the offices of our clients; and</w:t>
      </w:r>
    </w:p>
    <w:p>
      <w:pPr>
        <w:spacing w:after="0" w:line="3" w:lineRule="exact"/>
        <w:rPr>
          <w:rFonts w:ascii="Times New Roman" w:cs="Times New Roman" w:eastAsia="Times New Roman" w:hAnsi="Times New Roman"/>
          <w:sz w:val="17"/>
          <w:szCs w:val="17"/>
          <w:color w:val="auto"/>
        </w:rPr>
      </w:pPr>
    </w:p>
    <w:p>
      <w:pPr>
        <w:ind w:left="600" w:hanging="302"/>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restrictions limiting our ability to collaborate internally and engage with current and potential clients and counterparties externally.</w:t>
      </w:r>
    </w:p>
    <w:p>
      <w:pPr>
        <w:spacing w:after="0" w:line="211" w:lineRule="exact"/>
        <w:rPr>
          <w:sz w:val="20"/>
          <w:szCs w:val="20"/>
          <w:color w:val="auto"/>
        </w:rPr>
      </w:pPr>
    </w:p>
    <w:p>
      <w:pPr>
        <w:jc w:val="both"/>
        <w:ind w:right="60" w:firstLine="597"/>
        <w:spacing w:after="0" w:line="256" w:lineRule="auto"/>
        <w:rPr>
          <w:sz w:val="20"/>
          <w:szCs w:val="20"/>
          <w:color w:val="auto"/>
        </w:rPr>
      </w:pPr>
      <w:r>
        <w:rPr>
          <w:rFonts w:ascii="Times New Roman" w:cs="Times New Roman" w:eastAsia="Times New Roman" w:hAnsi="Times New Roman"/>
          <w:sz w:val="17"/>
          <w:szCs w:val="17"/>
          <w:color w:val="auto"/>
        </w:rPr>
        <w:t>We are taking precautions to protect the safety and well-being of our employees, customers and business partners. However, we cannot be certain that the steps we have taken or will take will be deemed to be adequate or appropriate, nor can we predict the level of disruption which will occur to our employee's ability to perform their functions.</w:t>
      </w:r>
    </w:p>
    <w:p>
      <w:pPr>
        <w:spacing w:after="0" w:line="196" w:lineRule="exact"/>
        <w:rPr>
          <w:sz w:val="20"/>
          <w:szCs w:val="20"/>
          <w:color w:val="auto"/>
        </w:rPr>
      </w:pPr>
    </w:p>
    <w:p>
      <w:pPr>
        <w:jc w:val="both"/>
        <w:ind w:right="260" w:firstLine="597"/>
        <w:spacing w:after="0" w:line="280" w:lineRule="auto"/>
        <w:rPr>
          <w:sz w:val="20"/>
          <w:szCs w:val="20"/>
          <w:color w:val="auto"/>
        </w:rPr>
      </w:pPr>
      <w:r>
        <w:rPr>
          <w:rFonts w:ascii="Times New Roman" w:cs="Times New Roman" w:eastAsia="Times New Roman" w:hAnsi="Times New Roman"/>
          <w:sz w:val="16"/>
          <w:szCs w:val="16"/>
          <w:color w:val="auto"/>
        </w:rPr>
        <w:t>The further spread of the COVID-19 outbreak may materially disrupt financial activity generally and in the areas in which we operate. This could result in a decline in demand for our products and services, which would negatively impact our liquidity position and our results. Any one or more of these developments could have a material adverse effect on our and our consolidated subsidiaries' business, operations, consolidated financial condition, and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4" w:name="page95"/>
    <w:bookmarkEnd w:id="94"/>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Significant market volatility relating to the outbreak of the novel coronavirus (COVID-19) has significantly increased and could in the future significantly increase our liquidity needs, which could impact our business, financial condition and results of operations if we face challenges in obtaining liquidity.</w:t>
      </w:r>
    </w:p>
    <w:p>
      <w:pPr>
        <w:spacing w:after="0" w:line="180" w:lineRule="exact"/>
        <w:rPr>
          <w:sz w:val="20"/>
          <w:szCs w:val="20"/>
          <w:color w:val="auto"/>
        </w:rPr>
      </w:pPr>
    </w:p>
    <w:p>
      <w:pPr>
        <w:ind w:right="40" w:firstLine="597"/>
        <w:spacing w:after="0" w:line="264" w:lineRule="auto"/>
        <w:rPr>
          <w:sz w:val="20"/>
          <w:szCs w:val="20"/>
          <w:color w:val="auto"/>
        </w:rPr>
      </w:pPr>
      <w:r>
        <w:rPr>
          <w:rFonts w:ascii="Times New Roman" w:cs="Times New Roman" w:eastAsia="Times New Roman" w:hAnsi="Times New Roman"/>
          <w:sz w:val="16"/>
          <w:szCs w:val="16"/>
          <w:color w:val="auto"/>
        </w:rPr>
        <w:t>The COVID-19 pandemic and governmental and other responses thereto has caused and may continue to cause substantially elevated volume and volatility, which has and may continue to result in material increases in our trading activities both in our market making segment and in our execution services segment. This increase in our activity and our customers’ activity together with the extraordinary volatility has resulted in, and may continue to result in, significantly increased margin requirements with the National Securities Clearing Corporation (“NSCC”), the Options Clearing Corporation (“OCC”), as well as certain prime brokers, clearing brokers, and other counterparties. In order to manage these increased daily funding obligations, we have taken and may continue to have to take measures to increase available short-term liquidity and to reduce our short term funding requirements, which may require us to depend on additional sources of liquidity and upon the availability of third parties for services such as trade clearing, and has required and may continue to require us to limit certain of our activities in certain asset classes or products. If such sources of short-term liquidity or third-party services are not available, or if we encounter challenges obtaining such short-term liquidity or third-party services on terms favorable to us or at all, then our business, financial condition and results of operations may be adversely impacted.</w:t>
      </w:r>
    </w:p>
    <w:p>
      <w:pPr>
        <w:spacing w:after="0" w:line="190"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In response to the effects of the outbreak of the novel coronavirus (COVID-19) and in accordance with applicable governmental orders and the guidelines of the Center for Disease Control (CDC), we have implemented our business continuity plan (BCP), which may disrupt or negatively impact our business.</w:t>
      </w:r>
    </w:p>
    <w:p>
      <w:pPr>
        <w:spacing w:after="0" w:line="180" w:lineRule="exact"/>
        <w:rPr>
          <w:sz w:val="20"/>
          <w:szCs w:val="20"/>
          <w:color w:val="auto"/>
        </w:rPr>
      </w:pPr>
    </w:p>
    <w:p>
      <w:pPr>
        <w:ind w:firstLine="597"/>
        <w:spacing w:after="0" w:line="270" w:lineRule="auto"/>
        <w:rPr>
          <w:sz w:val="20"/>
          <w:szCs w:val="20"/>
          <w:color w:val="auto"/>
        </w:rPr>
      </w:pPr>
      <w:r>
        <w:rPr>
          <w:rFonts w:ascii="Times New Roman" w:cs="Times New Roman" w:eastAsia="Times New Roman" w:hAnsi="Times New Roman"/>
          <w:sz w:val="16"/>
          <w:szCs w:val="16"/>
          <w:color w:val="auto"/>
        </w:rPr>
        <w:t>As of September 30, 2020, under our BCP a significant majority of our global work force was working remotely, which may increase various risks to our business. These include the risks associated with a computer systems and software failure, cyber risks, capacity constraints, malfunctions and delays. Risks associated with trading operations, financial reporting, internal controls and other key functions and responsibilities may also be elevated, as employees rely on critical technologies to communicate and collaborate and perform core functions remotely. The risk of further disruption or adverse impact may also be heightened as and when governmental orders are lifted or relaxed and we begin to reintegrate our personnel and business into our office locations pursuant to our return to office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32" w:lineRule="exact"/>
        <w:rPr>
          <w:sz w:val="20"/>
          <w:szCs w:val="20"/>
          <w:color w:val="auto"/>
        </w:rPr>
      </w:pPr>
    </w:p>
    <w:p>
      <w:pPr>
        <w:ind w:right="160" w:firstLine="597"/>
        <w:spacing w:after="0" w:line="252"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share repurchases for the three months ended September 30, 2020 were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Total 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Approximate Dollar</w:t>
            </w:r>
          </w:p>
        </w:tc>
        <w:tc>
          <w:tcPr>
            <w:tcW w:w="0" w:type="dxa"/>
            <w:vAlign w:val="bottom"/>
          </w:tcPr>
          <w:p>
            <w:pPr>
              <w:spacing w:after="0"/>
              <w:rPr>
                <w:sz w:val="1"/>
                <w:szCs w:val="1"/>
                <w:color w:val="auto"/>
              </w:rPr>
            </w:pPr>
          </w:p>
        </w:tc>
      </w:tr>
      <w:tr>
        <w:trPr>
          <w:trHeight w:val="124"/>
        </w:trPr>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Average Price Paid</w:t>
            </w:r>
          </w:p>
        </w:tc>
        <w:tc>
          <w:tcPr>
            <w:tcW w:w="15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Purchased as Part of</w:t>
            </w: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Value of Shares that May</w:t>
            </w:r>
          </w:p>
        </w:tc>
        <w:tc>
          <w:tcPr>
            <w:tcW w:w="0" w:type="dxa"/>
            <w:vAlign w:val="bottom"/>
          </w:tcPr>
          <w:p>
            <w:pPr>
              <w:spacing w:after="0"/>
              <w:rPr>
                <w:sz w:val="1"/>
                <w:szCs w:val="1"/>
                <w:color w:val="auto"/>
              </w:rPr>
            </w:pPr>
          </w:p>
        </w:tc>
      </w:tr>
      <w:tr>
        <w:trPr>
          <w:trHeight w:val="124"/>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Period</w:t>
            </w:r>
          </w:p>
        </w:tc>
        <w:tc>
          <w:tcPr>
            <w:tcW w:w="1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6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3"/>
                <w:szCs w:val="13"/>
                <w:b w:val="1"/>
                <w:bCs w:val="1"/>
                <w:color w:val="auto"/>
              </w:rPr>
              <w:t>Publicly Announced</w:t>
            </w:r>
          </w:p>
        </w:tc>
        <w:tc>
          <w:tcPr>
            <w:tcW w:w="1480" w:type="dxa"/>
            <w:vAlign w:val="bottom"/>
          </w:tcPr>
          <w:p>
            <w:pPr>
              <w:jc w:val="center"/>
              <w:spacing w:after="0" w:line="124" w:lineRule="exact"/>
              <w:rPr>
                <w:sz w:val="20"/>
                <w:szCs w:val="20"/>
                <w:color w:val="auto"/>
              </w:rPr>
            </w:pPr>
            <w:r>
              <w:rPr>
                <w:rFonts w:ascii="Times New Roman" w:cs="Times New Roman" w:eastAsia="Times New Roman" w:hAnsi="Times New Roman"/>
                <w:sz w:val="13"/>
                <w:szCs w:val="13"/>
                <w:b w:val="1"/>
                <w:bCs w:val="1"/>
                <w:color w:val="auto"/>
              </w:rPr>
              <w:t>Yet Be Purchased Under</w:t>
            </w:r>
          </w:p>
        </w:tc>
        <w:tc>
          <w:tcPr>
            <w:tcW w:w="0" w:type="dxa"/>
            <w:vAlign w:val="bottom"/>
          </w:tcPr>
          <w:p>
            <w:pPr>
              <w:spacing w:after="0"/>
              <w:rPr>
                <w:sz w:val="1"/>
                <w:szCs w:val="1"/>
                <w:color w:val="auto"/>
              </w:rPr>
            </w:pPr>
          </w:p>
        </w:tc>
      </w:tr>
      <w:tr>
        <w:trPr>
          <w:trHeight w:val="174"/>
        </w:trPr>
        <w:tc>
          <w:tcPr>
            <w:tcW w:w="5280" w:type="dxa"/>
            <w:vAlign w:val="bottom"/>
            <w:gridSpan w:val="2"/>
            <w:vMerge w:val="continue"/>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 Purchased (1)</w:t>
            </w:r>
          </w:p>
        </w:tc>
        <w:tc>
          <w:tcPr>
            <w:tcW w:w="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Plans or 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 Plans or Programs</w:t>
            </w:r>
          </w:p>
        </w:tc>
        <w:tc>
          <w:tcPr>
            <w:tcW w:w="0" w:type="dxa"/>
            <w:vAlign w:val="bottom"/>
          </w:tcPr>
          <w:p>
            <w:pPr>
              <w:spacing w:after="0"/>
              <w:rPr>
                <w:sz w:val="1"/>
                <w:szCs w:val="1"/>
                <w:color w:val="auto"/>
              </w:rPr>
            </w:pPr>
          </w:p>
        </w:tc>
      </w:tr>
      <w:tr>
        <w:trPr>
          <w:trHeight w:val="167"/>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July 1, 2020 - July 31, 2020</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24.07</w:t>
            </w: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5"/>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August 1, 2020 - August 31, 2020</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w:t>
            </w: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5"/>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C Common Stock/ Virtu Financial Units repurchases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1, 2020 - September 30, 2020</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75"/>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C Common Stock/ Virtu Financial Unit repurchases</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Common Stock / Virtu Financial Unit repurchases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79,570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Comprises the repurchase of 79,570 shares from employees in order to satisfy statutory tax withholding requirements upon the net settlement of equity awards for the three months ended September 30, 2020.</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560" w:type="dxa"/>
            <w:vAlign w:val="bottom"/>
            <w:tcBorders>
              <w:bottom w:val="single" w:sz="8" w:color="FEFEFE"/>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gridSpan w:val="8"/>
          </w:tcPr>
          <w:p>
            <w:pPr>
              <w:ind w:left="34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20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56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rFonts w:ascii="Times New Roman" w:cs="Times New Roman" w:eastAsia="Times New Roman" w:hAnsi="Times New Roman"/>
                <w:sz w:val="17"/>
                <w:szCs w:val="17"/>
                <w:u w:val="single" w:color="auto"/>
                <w:color w:val="0000FF"/>
              </w:rPr>
            </w:pPr>
            <w:hyperlink w:anchor="page99">
              <w:r>
                <w:rPr>
                  <w:rFonts w:ascii="Times New Roman" w:cs="Times New Roman" w:eastAsia="Times New Roman" w:hAnsi="Times New Roman"/>
                  <w:sz w:val="17"/>
                  <w:szCs w:val="17"/>
                  <w:u w:val="single" w:color="auto"/>
                  <w:color w:val="0000FF"/>
                </w:rPr>
                <w:t>Employment Agreement, dated as of August 7, 2020, by and between Virtu Financial Operating LLC and Sean Galvin.</w:t>
              </w:r>
            </w:hyperlink>
          </w:p>
        </w:tc>
        <w:tc>
          <w:tcPr>
            <w:tcW w:w="0" w:type="dxa"/>
            <w:vAlign w:val="bottom"/>
          </w:tcPr>
          <w:p>
            <w:pPr>
              <w:spacing w:after="0"/>
              <w:rPr>
                <w:sz w:val="1"/>
                <w:szCs w:val="1"/>
                <w:color w:val="auto"/>
              </w:rPr>
            </w:pPr>
          </w:p>
        </w:tc>
      </w:tr>
      <w:tr>
        <w:trPr>
          <w:trHeight w:val="174"/>
        </w:trPr>
        <w:tc>
          <w:tcPr>
            <w:tcW w:w="1440" w:type="dxa"/>
            <w:vAlign w:val="bottom"/>
            <w:shd w:val="clear" w:color="auto" w:fill="FEFEFE"/>
          </w:tcPr>
          <w:p>
            <w:pPr>
              <w:ind w:left="20"/>
              <w:spacing w:after="0" w:line="174" w:lineRule="exact"/>
              <w:rPr>
                <w:sz w:val="20"/>
                <w:szCs w:val="20"/>
                <w:color w:val="auto"/>
              </w:rPr>
            </w:pPr>
            <w:r>
              <w:rPr>
                <w:rFonts w:ascii="Times New Roman" w:cs="Times New Roman" w:eastAsia="Times New Roman" w:hAnsi="Times New Roman"/>
                <w:sz w:val="17"/>
                <w:szCs w:val="17"/>
                <w:color w:val="auto"/>
              </w:rPr>
              <w:t>10.2*†</w:t>
            </w:r>
          </w:p>
        </w:tc>
        <w:tc>
          <w:tcPr>
            <w:tcW w:w="56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10"/>
            <w:shd w:val="clear" w:color="auto" w:fill="FEFEFE"/>
          </w:tcPr>
          <w:p>
            <w:pPr>
              <w:spacing w:after="0" w:line="174" w:lineRule="exact"/>
              <w:rPr>
                <w:rFonts w:ascii="Times New Roman" w:cs="Times New Roman" w:eastAsia="Times New Roman" w:hAnsi="Times New Roman"/>
                <w:sz w:val="17"/>
                <w:szCs w:val="17"/>
                <w:color w:val="0000FF"/>
                <w:w w:val="97"/>
              </w:rPr>
            </w:pPr>
            <w:hyperlink w:anchor="page110">
              <w:r>
                <w:rPr>
                  <w:rFonts w:ascii="Times New Roman" w:cs="Times New Roman" w:eastAsia="Times New Roman" w:hAnsi="Times New Roman"/>
                  <w:sz w:val="17"/>
                  <w:szCs w:val="17"/>
                  <w:color w:val="0000FF"/>
                  <w:w w:val="97"/>
                </w:rPr>
                <w:t>Virtu Financial, Inc. Amended and Restated 2015 Management Incentive Plan Employee Restricted Stock Unit and Common Stock Award</w:t>
              </w:r>
            </w:hyperlink>
          </w:p>
        </w:tc>
        <w:tc>
          <w:tcPr>
            <w:tcW w:w="0" w:type="dxa"/>
            <w:vAlign w:val="bottom"/>
          </w:tcPr>
          <w:p>
            <w:pPr>
              <w:spacing w:after="0"/>
              <w:rPr>
                <w:sz w:val="1"/>
                <w:szCs w:val="1"/>
                <w:color w:val="auto"/>
              </w:rPr>
            </w:pPr>
          </w:p>
        </w:tc>
      </w:tr>
      <w:tr>
        <w:trPr>
          <w:trHeight w:val="142"/>
        </w:trPr>
        <w:tc>
          <w:tcPr>
            <w:tcW w:w="144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6360" w:type="dxa"/>
            <w:vAlign w:val="bottom"/>
            <w:tcBorders>
              <w:top w:val="single" w:sz="8" w:color="0000FF"/>
              <w:bottom w:val="single" w:sz="8" w:color="0000FF"/>
            </w:tcBorders>
            <w:gridSpan w:val="4"/>
            <w:shd w:val="clear" w:color="auto" w:fill="FEFEFE"/>
          </w:tcPr>
          <w:p>
            <w:pPr>
              <w:spacing w:after="0" w:line="142" w:lineRule="exact"/>
              <w:rPr>
                <w:rFonts w:ascii="Times New Roman" w:cs="Times New Roman" w:eastAsia="Times New Roman" w:hAnsi="Times New Roman"/>
                <w:sz w:val="16"/>
                <w:szCs w:val="16"/>
                <w:color w:val="0000FF"/>
              </w:rPr>
            </w:pPr>
            <w:hyperlink w:anchor="page110">
              <w:r>
                <w:rPr>
                  <w:rFonts w:ascii="Times New Roman" w:cs="Times New Roman" w:eastAsia="Times New Roman" w:hAnsi="Times New Roman"/>
                  <w:sz w:val="16"/>
                  <w:szCs w:val="16"/>
                  <w:color w:val="0000FF"/>
                </w:rPr>
                <w:t>Agreement, dated as of August 12, 2020, by and between Virtu Financial, Inc. and Sean Galvin.</w:t>
              </w:r>
            </w:hyperlink>
          </w:p>
        </w:tc>
        <w:tc>
          <w:tcPr>
            <w:tcW w:w="2860" w:type="dxa"/>
            <w:vAlign w:val="bottom"/>
            <w:tcBorders>
              <w:top w:val="single" w:sz="8" w:color="0000FF"/>
              <w:bottom w:val="single" w:sz="8" w:color="FEFEFE"/>
            </w:tcBorders>
            <w:gridSpan w:val="5"/>
            <w:shd w:val="clear" w:color="auto" w:fill="FEFEFE"/>
          </w:tcPr>
          <w:p>
            <w:pPr>
              <w:spacing w:after="0"/>
              <w:rPr>
                <w:sz w:val="12"/>
                <w:szCs w:val="12"/>
                <w:color w:val="auto"/>
              </w:rPr>
            </w:pPr>
          </w:p>
        </w:tc>
        <w:tc>
          <w:tcPr>
            <w:tcW w:w="20" w:type="dxa"/>
            <w:vAlign w:val="bottom"/>
            <w:tcBorders>
              <w:top w:val="single" w:sz="8" w:color="FEFEFE"/>
              <w:bottom w:val="single" w:sz="8" w:color="FEFEFE"/>
            </w:tcBorders>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40" w:type="dxa"/>
            <w:vAlign w:val="bottom"/>
            <w:shd w:val="clear" w:color="auto" w:fill="FEFEFE"/>
          </w:tcPr>
          <w:p>
            <w:pPr>
              <w:ind w:left="20"/>
              <w:spacing w:after="0" w:line="192" w:lineRule="exact"/>
              <w:rPr>
                <w:sz w:val="20"/>
                <w:szCs w:val="20"/>
                <w:color w:val="auto"/>
              </w:rPr>
            </w:pPr>
            <w:r>
              <w:rPr>
                <w:rFonts w:ascii="Times New Roman" w:cs="Times New Roman" w:eastAsia="Times New Roman" w:hAnsi="Times New Roman"/>
                <w:sz w:val="17"/>
                <w:szCs w:val="17"/>
                <w:color w:val="auto"/>
              </w:rPr>
              <w:t>31.1*</w:t>
            </w:r>
          </w:p>
        </w:tc>
        <w:tc>
          <w:tcPr>
            <w:tcW w:w="560" w:type="dxa"/>
            <w:vAlign w:val="bottom"/>
            <w:tcBorders>
              <w:right w:val="single" w:sz="8" w:color="FEFEFE"/>
            </w:tcBorders>
            <w:shd w:val="clear" w:color="auto" w:fill="FEFEFE"/>
          </w:tcPr>
          <w:p>
            <w:pPr>
              <w:spacing w:after="0"/>
              <w:rPr>
                <w:sz w:val="16"/>
                <w:szCs w:val="16"/>
                <w:color w:val="auto"/>
              </w:rPr>
            </w:pPr>
          </w:p>
        </w:tc>
        <w:tc>
          <w:tcPr>
            <w:tcW w:w="9240" w:type="dxa"/>
            <w:vAlign w:val="bottom"/>
            <w:gridSpan w:val="10"/>
            <w:shd w:val="clear" w:color="auto" w:fill="FEFEFE"/>
          </w:tcPr>
          <w:p>
            <w:pPr>
              <w:spacing w:after="0" w:line="192" w:lineRule="exact"/>
              <w:rPr>
                <w:rFonts w:ascii="Times New Roman" w:cs="Times New Roman" w:eastAsia="Times New Roman" w:hAnsi="Times New Roman"/>
                <w:sz w:val="17"/>
                <w:szCs w:val="17"/>
                <w:color w:val="0000FF"/>
                <w:w w:val="98"/>
              </w:rPr>
            </w:pPr>
            <w:hyperlink w:anchor="page117">
              <w:r>
                <w:rPr>
                  <w:rFonts w:ascii="Times New Roman" w:cs="Times New Roman" w:eastAsia="Times New Roman" w:hAnsi="Times New Roman"/>
                  <w:sz w:val="17"/>
                  <w:szCs w:val="17"/>
                  <w:color w:val="0000FF"/>
                  <w:w w:val="98"/>
                </w:rPr>
                <w:t>Certification of Chief Executive Officer required by Rule 13a-14(a)/15d-14(a) under the Securities Exchange Act of 1934, as amended, as</w:t>
              </w:r>
            </w:hyperlink>
          </w:p>
        </w:tc>
        <w:tc>
          <w:tcPr>
            <w:tcW w:w="0" w:type="dxa"/>
            <w:vAlign w:val="bottom"/>
          </w:tcPr>
          <w:p>
            <w:pPr>
              <w:spacing w:after="0"/>
              <w:rPr>
                <w:sz w:val="1"/>
                <w:szCs w:val="1"/>
                <w:color w:val="auto"/>
              </w:rPr>
            </w:pPr>
          </w:p>
        </w:tc>
      </w:tr>
      <w:tr>
        <w:trPr>
          <w:trHeight w:val="142"/>
        </w:trPr>
        <w:tc>
          <w:tcPr>
            <w:tcW w:w="144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4540" w:type="dxa"/>
            <w:vAlign w:val="bottom"/>
            <w:tcBorders>
              <w:top w:val="single" w:sz="8" w:color="0000FF"/>
              <w:bottom w:val="single" w:sz="8" w:color="0000FF"/>
            </w:tcBorders>
            <w:gridSpan w:val="3"/>
            <w:shd w:val="clear" w:color="auto" w:fill="FEFEFE"/>
          </w:tcPr>
          <w:p>
            <w:pPr>
              <w:spacing w:after="0" w:line="142" w:lineRule="exact"/>
              <w:rPr>
                <w:rFonts w:ascii="Times New Roman" w:cs="Times New Roman" w:eastAsia="Times New Roman" w:hAnsi="Times New Roman"/>
                <w:sz w:val="16"/>
                <w:szCs w:val="16"/>
                <w:color w:val="0000FF"/>
              </w:rPr>
            </w:pPr>
            <w:hyperlink w:anchor="page117">
              <w:r>
                <w:rPr>
                  <w:rFonts w:ascii="Times New Roman" w:cs="Times New Roman" w:eastAsia="Times New Roman" w:hAnsi="Times New Roman"/>
                  <w:sz w:val="16"/>
                  <w:szCs w:val="16"/>
                  <w:color w:val="0000FF"/>
                </w:rPr>
                <w:t>adopted pursuant to Section 302 of the Sarbanes-Oxley Act of 2002.</w:t>
              </w:r>
            </w:hyperlink>
          </w:p>
        </w:tc>
        <w:tc>
          <w:tcPr>
            <w:tcW w:w="4620" w:type="dxa"/>
            <w:vAlign w:val="bottom"/>
            <w:tcBorders>
              <w:top w:val="single" w:sz="8" w:color="0000FF"/>
              <w:bottom w:val="single" w:sz="8" w:color="FEFEFE"/>
            </w:tcBorders>
            <w:gridSpan w:val="4"/>
            <w:shd w:val="clear" w:color="auto" w:fill="FEFEFE"/>
          </w:tcPr>
          <w:p>
            <w:pPr>
              <w:spacing w:after="0"/>
              <w:rPr>
                <w:sz w:val="12"/>
                <w:szCs w:val="12"/>
                <w:color w:val="auto"/>
              </w:rPr>
            </w:pPr>
          </w:p>
        </w:tc>
        <w:tc>
          <w:tcPr>
            <w:tcW w:w="40" w:type="dxa"/>
            <w:vAlign w:val="bottom"/>
            <w:tcBorders>
              <w:top w:val="single" w:sz="8" w:color="FEFEFE"/>
              <w:bottom w:val="single" w:sz="8" w:color="FEFEFE"/>
            </w:tcBorders>
            <w:shd w:val="clear" w:color="auto" w:fill="FEFEFE"/>
          </w:tcPr>
          <w:p>
            <w:pPr>
              <w:spacing w:after="0"/>
              <w:rPr>
                <w:sz w:val="12"/>
                <w:szCs w:val="12"/>
                <w:color w:val="auto"/>
              </w:rPr>
            </w:pPr>
          </w:p>
        </w:tc>
        <w:tc>
          <w:tcPr>
            <w:tcW w:w="40" w:type="dxa"/>
            <w:vAlign w:val="bottom"/>
            <w:tcBorders>
              <w:top w:val="single" w:sz="8" w:color="FEFEFE"/>
              <w:bottom w:val="single" w:sz="8" w:color="FEFEFE"/>
            </w:tcBorders>
            <w:gridSpan w:val="2"/>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40" w:type="dxa"/>
            <w:vAlign w:val="bottom"/>
            <w:shd w:val="clear" w:color="auto" w:fill="FEFEFE"/>
          </w:tcPr>
          <w:p>
            <w:pPr>
              <w:ind w:left="20"/>
              <w:spacing w:after="0" w:line="192" w:lineRule="exact"/>
              <w:rPr>
                <w:sz w:val="20"/>
                <w:szCs w:val="20"/>
                <w:color w:val="auto"/>
              </w:rPr>
            </w:pPr>
            <w:r>
              <w:rPr>
                <w:rFonts w:ascii="Times New Roman" w:cs="Times New Roman" w:eastAsia="Times New Roman" w:hAnsi="Times New Roman"/>
                <w:sz w:val="17"/>
                <w:szCs w:val="17"/>
                <w:color w:val="auto"/>
              </w:rPr>
              <w:t>31.2*</w:t>
            </w:r>
          </w:p>
        </w:tc>
        <w:tc>
          <w:tcPr>
            <w:tcW w:w="560" w:type="dxa"/>
            <w:vAlign w:val="bottom"/>
            <w:tcBorders>
              <w:right w:val="single" w:sz="8" w:color="FEFEFE"/>
            </w:tcBorders>
            <w:shd w:val="clear" w:color="auto" w:fill="FEFEFE"/>
          </w:tcPr>
          <w:p>
            <w:pPr>
              <w:spacing w:after="0"/>
              <w:rPr>
                <w:sz w:val="16"/>
                <w:szCs w:val="16"/>
                <w:color w:val="auto"/>
              </w:rPr>
            </w:pPr>
          </w:p>
        </w:tc>
        <w:tc>
          <w:tcPr>
            <w:tcW w:w="9240" w:type="dxa"/>
            <w:vAlign w:val="bottom"/>
            <w:gridSpan w:val="10"/>
            <w:shd w:val="clear" w:color="auto" w:fill="FEFEFE"/>
          </w:tcPr>
          <w:p>
            <w:pPr>
              <w:spacing w:after="0" w:line="192" w:lineRule="exact"/>
              <w:rPr>
                <w:rFonts w:ascii="Times New Roman" w:cs="Times New Roman" w:eastAsia="Times New Roman" w:hAnsi="Times New Roman"/>
                <w:sz w:val="17"/>
                <w:szCs w:val="17"/>
                <w:color w:val="0000FF"/>
                <w:w w:val="98"/>
              </w:rPr>
            </w:pPr>
            <w:hyperlink w:anchor="page118">
              <w:r>
                <w:rPr>
                  <w:rFonts w:ascii="Times New Roman" w:cs="Times New Roman" w:eastAsia="Times New Roman" w:hAnsi="Times New Roman"/>
                  <w:sz w:val="17"/>
                  <w:szCs w:val="17"/>
                  <w:color w:val="0000FF"/>
                  <w:w w:val="98"/>
                </w:rPr>
                <w:t>Certification of Chief Financial Officer required by Rule 13a-14(a)/15d-14(a) under the Securities Exchange Act of 1934, as amended, as</w:t>
              </w:r>
            </w:hyperlink>
          </w:p>
        </w:tc>
        <w:tc>
          <w:tcPr>
            <w:tcW w:w="0" w:type="dxa"/>
            <w:vAlign w:val="bottom"/>
          </w:tcPr>
          <w:p>
            <w:pPr>
              <w:spacing w:after="0"/>
              <w:rPr>
                <w:sz w:val="1"/>
                <w:szCs w:val="1"/>
                <w:color w:val="auto"/>
              </w:rPr>
            </w:pPr>
          </w:p>
        </w:tc>
      </w:tr>
      <w:tr>
        <w:trPr>
          <w:trHeight w:val="142"/>
        </w:trPr>
        <w:tc>
          <w:tcPr>
            <w:tcW w:w="1440" w:type="dxa"/>
            <w:vAlign w:val="bottom"/>
            <w:tcBorders>
              <w:top w:val="single" w:sz="8" w:color="FEFEFE"/>
              <w:bottom w:val="single" w:sz="8" w:color="FEFEFE"/>
            </w:tcBorders>
            <w:shd w:val="clear" w:color="auto" w:fill="FEFEFE"/>
          </w:tcPr>
          <w:p>
            <w:pPr>
              <w:spacing w:after="0"/>
              <w:rPr>
                <w:sz w:val="12"/>
                <w:szCs w:val="12"/>
                <w:color w:val="auto"/>
              </w:rPr>
            </w:pPr>
          </w:p>
        </w:tc>
        <w:tc>
          <w:tcPr>
            <w:tcW w:w="560" w:type="dxa"/>
            <w:vAlign w:val="bottom"/>
            <w:tcBorders>
              <w:top w:val="single" w:sz="8" w:color="FEFEFE"/>
              <w:bottom w:val="single" w:sz="8" w:color="FEFEFE"/>
              <w:right w:val="single" w:sz="8" w:color="FEFEFE"/>
            </w:tcBorders>
            <w:shd w:val="clear" w:color="auto" w:fill="FEFEFE"/>
          </w:tcPr>
          <w:p>
            <w:pPr>
              <w:spacing w:after="0"/>
              <w:rPr>
                <w:sz w:val="12"/>
                <w:szCs w:val="12"/>
                <w:color w:val="auto"/>
              </w:rPr>
            </w:pPr>
          </w:p>
        </w:tc>
        <w:tc>
          <w:tcPr>
            <w:tcW w:w="4540" w:type="dxa"/>
            <w:vAlign w:val="bottom"/>
            <w:tcBorders>
              <w:top w:val="single" w:sz="8" w:color="0000FF"/>
              <w:bottom w:val="single" w:sz="8" w:color="0000FF"/>
            </w:tcBorders>
            <w:gridSpan w:val="3"/>
            <w:shd w:val="clear" w:color="auto" w:fill="FEFEFE"/>
          </w:tcPr>
          <w:p>
            <w:pPr>
              <w:spacing w:after="0" w:line="142" w:lineRule="exact"/>
              <w:rPr>
                <w:rFonts w:ascii="Times New Roman" w:cs="Times New Roman" w:eastAsia="Times New Roman" w:hAnsi="Times New Roman"/>
                <w:sz w:val="16"/>
                <w:szCs w:val="16"/>
                <w:color w:val="0000FF"/>
              </w:rPr>
            </w:pPr>
            <w:hyperlink w:anchor="page118">
              <w:r>
                <w:rPr>
                  <w:rFonts w:ascii="Times New Roman" w:cs="Times New Roman" w:eastAsia="Times New Roman" w:hAnsi="Times New Roman"/>
                  <w:sz w:val="16"/>
                  <w:szCs w:val="16"/>
                  <w:color w:val="0000FF"/>
                </w:rPr>
                <w:t>adopted pursuant to Section 302 of the Sarbanes-Oxley Act of 2002.</w:t>
              </w:r>
            </w:hyperlink>
          </w:p>
        </w:tc>
        <w:tc>
          <w:tcPr>
            <w:tcW w:w="4560" w:type="dxa"/>
            <w:vAlign w:val="bottom"/>
            <w:tcBorders>
              <w:top w:val="single" w:sz="8" w:color="0000FF"/>
              <w:bottom w:val="single" w:sz="8" w:color="FEFEFE"/>
            </w:tcBorders>
            <w:gridSpan w:val="3"/>
            <w:shd w:val="clear" w:color="auto" w:fill="FEFEFE"/>
          </w:tcPr>
          <w:p>
            <w:pPr>
              <w:spacing w:after="0"/>
              <w:rPr>
                <w:sz w:val="12"/>
                <w:szCs w:val="12"/>
                <w:color w:val="auto"/>
              </w:rPr>
            </w:pPr>
          </w:p>
        </w:tc>
        <w:tc>
          <w:tcPr>
            <w:tcW w:w="100" w:type="dxa"/>
            <w:vAlign w:val="bottom"/>
            <w:tcBorders>
              <w:top w:val="single" w:sz="8" w:color="FEFEFE"/>
              <w:bottom w:val="single" w:sz="8" w:color="FEFEFE"/>
            </w:tcBorders>
            <w:gridSpan w:val="2"/>
            <w:shd w:val="clear" w:color="auto" w:fill="FEFEFE"/>
          </w:tcPr>
          <w:p>
            <w:pPr>
              <w:spacing w:after="0"/>
              <w:rPr>
                <w:sz w:val="12"/>
                <w:szCs w:val="12"/>
                <w:color w:val="auto"/>
              </w:rPr>
            </w:pPr>
          </w:p>
        </w:tc>
        <w:tc>
          <w:tcPr>
            <w:tcW w:w="40" w:type="dxa"/>
            <w:vAlign w:val="bottom"/>
            <w:tcBorders>
              <w:top w:val="single" w:sz="8" w:color="FEFEFE"/>
              <w:bottom w:val="single" w:sz="8" w:color="FEFEFE"/>
            </w:tcBorders>
            <w:gridSpan w:val="2"/>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40" w:type="dxa"/>
            <w:vAlign w:val="bottom"/>
            <w:shd w:val="clear" w:color="auto" w:fill="FEFEFE"/>
          </w:tcPr>
          <w:p>
            <w:pPr>
              <w:ind w:left="20"/>
              <w:spacing w:after="0" w:line="192" w:lineRule="exact"/>
              <w:rPr>
                <w:sz w:val="20"/>
                <w:szCs w:val="20"/>
                <w:color w:val="auto"/>
              </w:rPr>
            </w:pPr>
            <w:r>
              <w:rPr>
                <w:rFonts w:ascii="Times New Roman" w:cs="Times New Roman" w:eastAsia="Times New Roman" w:hAnsi="Times New Roman"/>
                <w:sz w:val="17"/>
                <w:szCs w:val="17"/>
                <w:color w:val="auto"/>
              </w:rPr>
              <w:t>32.1*</w:t>
            </w:r>
          </w:p>
        </w:tc>
        <w:tc>
          <w:tcPr>
            <w:tcW w:w="560" w:type="dxa"/>
            <w:vAlign w:val="bottom"/>
            <w:tcBorders>
              <w:right w:val="single" w:sz="8" w:color="FEFEFE"/>
            </w:tcBorders>
            <w:shd w:val="clear" w:color="auto" w:fill="FEFEFE"/>
          </w:tcPr>
          <w:p>
            <w:pPr>
              <w:spacing w:after="0"/>
              <w:rPr>
                <w:sz w:val="16"/>
                <w:szCs w:val="16"/>
                <w:color w:val="auto"/>
              </w:rPr>
            </w:pPr>
          </w:p>
        </w:tc>
        <w:tc>
          <w:tcPr>
            <w:tcW w:w="9240" w:type="dxa"/>
            <w:vAlign w:val="bottom"/>
            <w:gridSpan w:val="10"/>
            <w:shd w:val="clear" w:color="auto" w:fill="FEFEFE"/>
          </w:tcPr>
          <w:p>
            <w:pPr>
              <w:spacing w:after="0" w:line="192" w:lineRule="exact"/>
              <w:rPr>
                <w:rFonts w:ascii="Times New Roman" w:cs="Times New Roman" w:eastAsia="Times New Roman" w:hAnsi="Times New Roman"/>
                <w:sz w:val="17"/>
                <w:szCs w:val="17"/>
                <w:color w:val="0000FF"/>
              </w:rPr>
            </w:pPr>
            <w:hyperlink w:anchor="page119">
              <w:r>
                <w:rPr>
                  <w:rFonts w:ascii="Times New Roman" w:cs="Times New Roman" w:eastAsia="Times New Roman" w:hAnsi="Times New Roman"/>
                  <w:sz w:val="17"/>
                  <w:szCs w:val="17"/>
                  <w:color w:val="0000FF"/>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2"/>
        </w:trPr>
        <w:tc>
          <w:tcPr>
            <w:tcW w:w="1440" w:type="dxa"/>
            <w:vAlign w:val="bottom"/>
            <w:tcBorders>
              <w:top w:val="single" w:sz="8" w:color="FEFEFE"/>
            </w:tcBorders>
            <w:shd w:val="clear" w:color="auto" w:fill="FEFEFE"/>
          </w:tcPr>
          <w:p>
            <w:pPr>
              <w:spacing w:after="0"/>
              <w:rPr>
                <w:sz w:val="12"/>
                <w:szCs w:val="12"/>
                <w:color w:val="auto"/>
              </w:rPr>
            </w:pPr>
          </w:p>
        </w:tc>
        <w:tc>
          <w:tcPr>
            <w:tcW w:w="560" w:type="dxa"/>
            <w:vAlign w:val="bottom"/>
            <w:tcBorders>
              <w:top w:val="single" w:sz="8" w:color="FEFEFE"/>
              <w:right w:val="single" w:sz="8" w:color="FEFEFE"/>
            </w:tcBorders>
            <w:shd w:val="clear" w:color="auto" w:fill="FEFEFE"/>
          </w:tcPr>
          <w:p>
            <w:pPr>
              <w:spacing w:after="0"/>
              <w:rPr>
                <w:sz w:val="12"/>
                <w:szCs w:val="12"/>
                <w:color w:val="auto"/>
              </w:rPr>
            </w:pPr>
          </w:p>
        </w:tc>
        <w:tc>
          <w:tcPr>
            <w:tcW w:w="8960" w:type="dxa"/>
            <w:vAlign w:val="bottom"/>
            <w:tcBorders>
              <w:top w:val="single" w:sz="8" w:color="0000FF"/>
            </w:tcBorders>
            <w:gridSpan w:val="5"/>
            <w:shd w:val="clear" w:color="auto" w:fill="FEFEFE"/>
          </w:tcPr>
          <w:p>
            <w:pPr>
              <w:spacing w:after="0" w:line="142" w:lineRule="exact"/>
              <w:rPr>
                <w:rFonts w:ascii="Times New Roman" w:cs="Times New Roman" w:eastAsia="Times New Roman" w:hAnsi="Times New Roman"/>
                <w:sz w:val="16"/>
                <w:szCs w:val="16"/>
                <w:color w:val="0000FF"/>
              </w:rPr>
            </w:pPr>
            <w:hyperlink w:anchor="page119">
              <w:r>
                <w:rPr>
                  <w:rFonts w:ascii="Times New Roman" w:cs="Times New Roman" w:eastAsia="Times New Roman" w:hAnsi="Times New Roman"/>
                  <w:sz w:val="16"/>
                  <w:szCs w:val="16"/>
                  <w:color w:val="0000FF"/>
                </w:rPr>
                <w:t>Act of 2002.</w:t>
              </w:r>
            </w:hyperlink>
          </w:p>
        </w:tc>
        <w:tc>
          <w:tcPr>
            <w:tcW w:w="240" w:type="dxa"/>
            <w:vAlign w:val="bottom"/>
            <w:tcBorders>
              <w:top w:val="single" w:sz="8" w:color="FEFEFE"/>
            </w:tcBorders>
            <w:gridSpan w:val="3"/>
            <w:shd w:val="clear" w:color="auto" w:fill="FEFEFE"/>
          </w:tcPr>
          <w:p>
            <w:pPr>
              <w:spacing w:after="0"/>
              <w:rPr>
                <w:sz w:val="12"/>
                <w:szCs w:val="12"/>
                <w:color w:val="auto"/>
              </w:rPr>
            </w:pPr>
          </w:p>
        </w:tc>
        <w:tc>
          <w:tcPr>
            <w:tcW w:w="40" w:type="dxa"/>
            <w:vAlign w:val="bottom"/>
            <w:tcBorders>
              <w:top w:val="single" w:sz="8" w:color="FEFEFE"/>
            </w:tcBorders>
            <w:gridSpan w:val="2"/>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6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380" w:type="dxa"/>
            <w:vAlign w:val="bottom"/>
            <w:gridSpan w:val="6"/>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40" w:type="dxa"/>
            <w:vAlign w:val="bottom"/>
            <w:shd w:val="clear" w:color="auto" w:fill="FEFEFE"/>
          </w:tcPr>
          <w:p>
            <w:pPr>
              <w:ind w:left="20"/>
              <w:spacing w:after="0" w:line="192" w:lineRule="exact"/>
              <w:rPr>
                <w:sz w:val="20"/>
                <w:szCs w:val="20"/>
                <w:color w:val="auto"/>
              </w:rPr>
            </w:pPr>
            <w:r>
              <w:rPr>
                <w:rFonts w:ascii="Times New Roman" w:cs="Times New Roman" w:eastAsia="Times New Roman" w:hAnsi="Times New Roman"/>
                <w:sz w:val="17"/>
                <w:szCs w:val="17"/>
                <w:color w:val="auto"/>
              </w:rPr>
              <w:t>32.2*</w:t>
            </w:r>
          </w:p>
        </w:tc>
        <w:tc>
          <w:tcPr>
            <w:tcW w:w="560" w:type="dxa"/>
            <w:vAlign w:val="bottom"/>
            <w:tcBorders>
              <w:right w:val="single" w:sz="8" w:color="FEFEFE"/>
            </w:tcBorders>
            <w:shd w:val="clear" w:color="auto" w:fill="FEFEFE"/>
          </w:tcPr>
          <w:p>
            <w:pPr>
              <w:spacing w:after="0"/>
              <w:rPr>
                <w:sz w:val="16"/>
                <w:szCs w:val="16"/>
                <w:color w:val="auto"/>
              </w:rPr>
            </w:pPr>
          </w:p>
        </w:tc>
        <w:tc>
          <w:tcPr>
            <w:tcW w:w="9240" w:type="dxa"/>
            <w:vAlign w:val="bottom"/>
            <w:gridSpan w:val="10"/>
            <w:shd w:val="clear" w:color="auto" w:fill="FEFEFE"/>
          </w:tcPr>
          <w:p>
            <w:pPr>
              <w:spacing w:after="0" w:line="192" w:lineRule="exact"/>
              <w:rPr>
                <w:rFonts w:ascii="Times New Roman" w:cs="Times New Roman" w:eastAsia="Times New Roman" w:hAnsi="Times New Roman"/>
                <w:sz w:val="17"/>
                <w:szCs w:val="17"/>
                <w:color w:val="0000FF"/>
                <w:w w:val="97"/>
              </w:rPr>
            </w:pPr>
            <w:hyperlink w:anchor="page120">
              <w:r>
                <w:rPr>
                  <w:rFonts w:ascii="Times New Roman" w:cs="Times New Roman" w:eastAsia="Times New Roman" w:hAnsi="Times New Roman"/>
                  <w:sz w:val="17"/>
                  <w:szCs w:val="17"/>
                  <w:color w:val="0000FF"/>
                  <w:w w:val="97"/>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42"/>
        </w:trPr>
        <w:tc>
          <w:tcPr>
            <w:tcW w:w="1440" w:type="dxa"/>
            <w:vAlign w:val="bottom"/>
            <w:tcBorders>
              <w:top w:val="single" w:sz="8" w:color="FEFEFE"/>
            </w:tcBorders>
            <w:shd w:val="clear" w:color="auto" w:fill="FEFEFE"/>
          </w:tcPr>
          <w:p>
            <w:pPr>
              <w:spacing w:after="0"/>
              <w:rPr>
                <w:sz w:val="12"/>
                <w:szCs w:val="12"/>
                <w:color w:val="auto"/>
              </w:rPr>
            </w:pPr>
          </w:p>
        </w:tc>
        <w:tc>
          <w:tcPr>
            <w:tcW w:w="560" w:type="dxa"/>
            <w:vAlign w:val="bottom"/>
            <w:tcBorders>
              <w:top w:val="single" w:sz="8" w:color="FEFEFE"/>
              <w:right w:val="single" w:sz="8" w:color="FEFEFE"/>
            </w:tcBorders>
            <w:shd w:val="clear" w:color="auto" w:fill="FEFEFE"/>
          </w:tcPr>
          <w:p>
            <w:pPr>
              <w:spacing w:after="0"/>
              <w:rPr>
                <w:sz w:val="12"/>
                <w:szCs w:val="12"/>
                <w:color w:val="auto"/>
              </w:rPr>
            </w:pPr>
          </w:p>
        </w:tc>
        <w:tc>
          <w:tcPr>
            <w:tcW w:w="9200" w:type="dxa"/>
            <w:vAlign w:val="bottom"/>
            <w:tcBorders>
              <w:top w:val="single" w:sz="8" w:color="0000FF"/>
            </w:tcBorders>
            <w:gridSpan w:val="8"/>
            <w:shd w:val="clear" w:color="auto" w:fill="FEFEFE"/>
          </w:tcPr>
          <w:p>
            <w:pPr>
              <w:spacing w:after="0" w:line="142" w:lineRule="exact"/>
              <w:rPr>
                <w:rFonts w:ascii="Times New Roman" w:cs="Times New Roman" w:eastAsia="Times New Roman" w:hAnsi="Times New Roman"/>
                <w:sz w:val="16"/>
                <w:szCs w:val="16"/>
                <w:color w:val="0000FF"/>
              </w:rPr>
            </w:pPr>
            <w:hyperlink w:anchor="page120">
              <w:r>
                <w:rPr>
                  <w:rFonts w:ascii="Times New Roman" w:cs="Times New Roman" w:eastAsia="Times New Roman" w:hAnsi="Times New Roman"/>
                  <w:sz w:val="16"/>
                  <w:szCs w:val="16"/>
                  <w:color w:val="0000FF"/>
                </w:rPr>
                <w:t>of 2002.</w:t>
              </w:r>
            </w:hyperlink>
          </w:p>
        </w:tc>
        <w:tc>
          <w:tcPr>
            <w:tcW w:w="40" w:type="dxa"/>
            <w:vAlign w:val="bottom"/>
            <w:tcBorders>
              <w:top w:val="single" w:sz="8" w:color="FEFEFE"/>
            </w:tcBorders>
            <w:gridSpan w:val="2"/>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60" w:type="dxa"/>
            <w:vAlign w:val="bottom"/>
            <w:tcBorders>
              <w:right w:val="single" w:sz="8" w:color="FEFEFE"/>
            </w:tcBorders>
            <w:shd w:val="clear" w:color="auto" w:fill="FEFEFE"/>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700" w:type="dxa"/>
            <w:vAlign w:val="bottom"/>
            <w:gridSpan w:val="9"/>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24"/>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60" w:type="dxa"/>
            <w:vAlign w:val="bottom"/>
            <w:tcBorders>
              <w:right w:val="single" w:sz="8" w:color="FEFEFE"/>
            </w:tcBorders>
            <w:shd w:val="clear" w:color="auto" w:fill="FEFEFE"/>
          </w:tcPr>
          <w:p>
            <w:pPr>
              <w:spacing w:after="0"/>
              <w:rPr>
                <w:sz w:val="19"/>
                <w:szCs w:val="19"/>
                <w:color w:val="auto"/>
              </w:rPr>
            </w:pPr>
          </w:p>
        </w:tc>
        <w:tc>
          <w:tcPr>
            <w:tcW w:w="9240" w:type="dxa"/>
            <w:vAlign w:val="bottom"/>
            <w:gridSpan w:val="10"/>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87"/>
        </w:trPr>
        <w:tc>
          <w:tcPr>
            <w:tcW w:w="1440" w:type="dxa"/>
            <w:vAlign w:val="bottom"/>
            <w:shd w:val="clear" w:color="auto" w:fill="FEFEFE"/>
          </w:tcPr>
          <w:p>
            <w:pPr>
              <w:spacing w:after="0"/>
              <w:rPr>
                <w:sz w:val="7"/>
                <w:szCs w:val="7"/>
                <w:color w:val="auto"/>
              </w:rPr>
            </w:pPr>
          </w:p>
        </w:tc>
        <w:tc>
          <w:tcPr>
            <w:tcW w:w="56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10"/>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440" w:type="dxa"/>
            <w:vAlign w:val="bottom"/>
            <w:shd w:val="clear" w:color="auto" w:fill="FEFEFE"/>
          </w:tcPr>
          <w:p>
            <w:pPr>
              <w:spacing w:after="0"/>
              <w:rPr>
                <w:sz w:val="6"/>
                <w:szCs w:val="6"/>
                <w:color w:val="auto"/>
              </w:rPr>
            </w:pPr>
          </w:p>
        </w:tc>
        <w:tc>
          <w:tcPr>
            <w:tcW w:w="560" w:type="dxa"/>
            <w:vAlign w:val="bottom"/>
            <w:tcBorders>
              <w:right w:val="single" w:sz="8" w:color="FEFEFE"/>
            </w:tcBorders>
            <w:shd w:val="clear" w:color="auto" w:fill="FEFEFE"/>
          </w:tcPr>
          <w:p>
            <w:pPr>
              <w:spacing w:after="0"/>
              <w:rPr>
                <w:sz w:val="6"/>
                <w:szCs w:val="6"/>
                <w:color w:val="auto"/>
              </w:rPr>
            </w:pPr>
          </w:p>
        </w:tc>
        <w:tc>
          <w:tcPr>
            <w:tcW w:w="540" w:type="dxa"/>
            <w:vAlign w:val="bottom"/>
            <w:shd w:val="clear" w:color="auto" w:fill="FEFEFE"/>
          </w:tcPr>
          <w:p>
            <w:pPr>
              <w:spacing w:after="0"/>
              <w:rPr>
                <w:sz w:val="6"/>
                <w:szCs w:val="6"/>
                <w:color w:val="auto"/>
              </w:rPr>
            </w:pPr>
          </w:p>
        </w:tc>
        <w:tc>
          <w:tcPr>
            <w:tcW w:w="280" w:type="dxa"/>
            <w:vAlign w:val="bottom"/>
            <w:shd w:val="clear" w:color="auto" w:fill="FEFEFE"/>
          </w:tcPr>
          <w:p>
            <w:pPr>
              <w:spacing w:after="0"/>
              <w:rPr>
                <w:sz w:val="6"/>
                <w:szCs w:val="6"/>
                <w:color w:val="auto"/>
              </w:rPr>
            </w:pPr>
          </w:p>
        </w:tc>
        <w:tc>
          <w:tcPr>
            <w:tcW w:w="3720" w:type="dxa"/>
            <w:vAlign w:val="bottom"/>
            <w:shd w:val="clear" w:color="auto" w:fill="FEFEFE"/>
          </w:tcPr>
          <w:p>
            <w:pPr>
              <w:spacing w:after="0"/>
              <w:rPr>
                <w:sz w:val="6"/>
                <w:szCs w:val="6"/>
                <w:color w:val="auto"/>
              </w:rPr>
            </w:pPr>
          </w:p>
        </w:tc>
        <w:tc>
          <w:tcPr>
            <w:tcW w:w="1820" w:type="dxa"/>
            <w:vAlign w:val="bottom"/>
            <w:shd w:val="clear" w:color="auto" w:fill="FEFEFE"/>
          </w:tcPr>
          <w:p>
            <w:pPr>
              <w:spacing w:after="0"/>
              <w:rPr>
                <w:sz w:val="6"/>
                <w:szCs w:val="6"/>
                <w:color w:val="auto"/>
              </w:rPr>
            </w:pPr>
          </w:p>
        </w:tc>
        <w:tc>
          <w:tcPr>
            <w:tcW w:w="2600" w:type="dxa"/>
            <w:vAlign w:val="bottom"/>
            <w:shd w:val="clear" w:color="auto" w:fill="FEFEFE"/>
          </w:tcPr>
          <w:p>
            <w:pPr>
              <w:spacing w:after="0"/>
              <w:rPr>
                <w:sz w:val="6"/>
                <w:szCs w:val="6"/>
                <w:color w:val="auto"/>
              </w:rPr>
            </w:pPr>
          </w:p>
        </w:tc>
        <w:tc>
          <w:tcPr>
            <w:tcW w:w="140" w:type="dxa"/>
            <w:vAlign w:val="bottom"/>
            <w:shd w:val="clear" w:color="auto" w:fill="FEFEFE"/>
          </w:tcPr>
          <w:p>
            <w:pPr>
              <w:spacing w:after="0"/>
              <w:rPr>
                <w:sz w:val="6"/>
                <w:szCs w:val="6"/>
                <w:color w:val="auto"/>
              </w:rPr>
            </w:pPr>
          </w:p>
        </w:tc>
        <w:tc>
          <w:tcPr>
            <w:tcW w:w="6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20" w:type="dxa"/>
            <w:vAlign w:val="bottom"/>
            <w:shd w:val="clear" w:color="auto" w:fill="FEFEFE"/>
          </w:tcPr>
          <w:p>
            <w:pPr>
              <w:spacing w:after="0"/>
              <w:rPr>
                <w:sz w:val="6"/>
                <w:szCs w:val="6"/>
                <w:color w:val="auto"/>
              </w:rPr>
            </w:pPr>
          </w:p>
        </w:tc>
        <w:tc>
          <w:tcPr>
            <w:tcW w:w="2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14311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7" w:name="page98"/>
    <w:bookmarkEnd w:id="97"/>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56" w:lineRule="exact"/>
        <w:rPr>
          <w:sz w:val="20"/>
          <w:szCs w:val="20"/>
          <w:color w:val="auto"/>
        </w:rPr>
      </w:pPr>
    </w:p>
    <w:p>
      <w:pPr>
        <w:ind w:firstLine="597"/>
        <w:spacing w:after="0" w:line="26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09"/>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November 6, 2020</w:t>
            </w:r>
          </w:p>
        </w:tc>
        <w:tc>
          <w:tcPr>
            <w:tcW w:w="1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00"/>
        </w:trPr>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16"/>
        </w:trPr>
        <w:tc>
          <w:tcPr>
            <w:tcW w:w="1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09"/>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4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November 6, 2020</w:t>
            </w:r>
          </w:p>
        </w:tc>
        <w:tc>
          <w:tcPr>
            <w:tcW w:w="11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00"/>
        </w:trPr>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Sean P. Galvin</w:t>
            </w:r>
          </w:p>
        </w:tc>
      </w:tr>
      <w:tr>
        <w:trPr>
          <w:trHeight w:val="216"/>
        </w:trPr>
        <w:tc>
          <w:tcPr>
            <w:tcW w:w="11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09"/>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97</w:t>
            </w:r>
          </w:p>
        </w:tc>
      </w:tr>
    </w:tbl>
    <w:p>
      <w:pPr>
        <w:sectPr>
          <w:pgSz w:w="11900" w:h="16838" w:orient="portrait"/>
          <w:cols w:equalWidth="0" w:num="1">
            <w:col w:w="10980"/>
          </w:cols>
          <w:pgMar w:left="320" w:top="123" w:right="59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 xml:space="preserve">t: </w:t>
      </w:r>
      <w:r>
        <w:rPr>
          <w:rFonts w:ascii="Arial" w:cs="Arial" w:eastAsia="Arial" w:hAnsi="Arial"/>
          <w:sz w:val="13"/>
          <w:szCs w:val="13"/>
          <w:color w:val="auto"/>
        </w:rPr>
        <w:t>1 212 418 0100</w:t>
      </w:r>
    </w:p>
    <w:p>
      <w:pPr>
        <w:spacing w:after="0" w:line="89" w:lineRule="exact"/>
        <w:rPr>
          <w:sz w:val="20"/>
          <w:szCs w:val="20"/>
          <w:color w:val="auto"/>
        </w:rPr>
      </w:pPr>
    </w:p>
    <w:p>
      <w:pPr>
        <w:ind w:right="10180"/>
        <w:spacing w:after="0" w:line="272" w:lineRule="auto"/>
        <w:tabs>
          <w:tab w:leader="none" w:pos="138"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auto"/>
        </w:rPr>
        <w:t>1 212 418 0123 www.virtu.com</w:t>
      </w:r>
    </w:p>
    <w:p>
      <w:pPr>
        <w:ind w:right="9500"/>
        <w:spacing w:after="0" w:line="239" w:lineRule="auto"/>
        <w:rPr>
          <w:rFonts w:ascii="Arial" w:cs="Arial" w:eastAsia="Arial" w:hAnsi="Arial"/>
          <w:sz w:val="13"/>
          <w:szCs w:val="13"/>
          <w:b w:val="1"/>
          <w:bCs w:val="1"/>
          <w:color w:val="auto"/>
        </w:rPr>
      </w:pPr>
      <w:r>
        <w:rPr>
          <w:rFonts w:ascii="Arial" w:cs="Arial" w:eastAsia="Arial" w:hAnsi="Arial"/>
          <w:sz w:val="13"/>
          <w:szCs w:val="13"/>
          <w:color w:val="auto"/>
        </w:rPr>
        <w:t>Virtu Financial Operating LLC 165 Broadway</w:t>
      </w:r>
    </w:p>
    <w:p>
      <w:pPr>
        <w:spacing w:after="0"/>
        <w:rPr>
          <w:rFonts w:ascii="Arial" w:cs="Arial" w:eastAsia="Arial" w:hAnsi="Arial"/>
          <w:sz w:val="13"/>
          <w:szCs w:val="13"/>
          <w:b w:val="1"/>
          <w:bCs w:val="1"/>
          <w:color w:val="auto"/>
        </w:rPr>
      </w:pPr>
      <w:r>
        <w:rPr>
          <w:rFonts w:ascii="Arial" w:cs="Arial" w:eastAsia="Arial" w:hAnsi="Arial"/>
          <w:sz w:val="13"/>
          <w:szCs w:val="13"/>
          <w:color w:val="auto"/>
        </w:rPr>
        <w:t>New York, NY 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335405" cy="419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5405" cy="41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7, 2020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Sean Galvin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 the address on file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Sean:</w:t>
      </w:r>
    </w:p>
    <w:p>
      <w:pPr>
        <w:spacing w:after="0" w:line="203"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Virtu Financial Operating LLC, a Delaware limited liability company (together with all parents, affiliates and subsidiaries as the "Company"), is pleased to offer you the position of Chief Financial Officer, with a start date of August 10, 2020, or such other date as is agreed between you and the Company. This agreement is intended to describe the new terms and conditions of our employment agreement, effective your start date, and to welcome you to the Company.</w:t>
      </w:r>
    </w:p>
    <w:p>
      <w:pPr>
        <w:spacing w:after="0" w:line="19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This is a full-time regular position, and you agree to devote all of your business time and attention to the business of the Company and, where appropriate, its affiliates. Your starting salary will be the semi-monthly equivalent of $250,000 per year (the “Base Salary”), payable in accordance with our normal payroll procedures. For the avoidance of doubt, the position is exempt from any and all overtime laws.</w:t>
      </w:r>
    </w:p>
    <w:p>
      <w:pPr>
        <w:spacing w:after="0" w:line="19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Subject to th following paragraph, you will also be eligible for discretionary bonuses, in the sole and absolute discretion of the Company. You understand that, except as set forth below, all bonuses are discretionary and are not considered earned until final approval by the Company, and you must be an employee of the Company or one if its affiliates on the date that bonuses are paid by the Company for such year in order to be eligible for any bonus for such period.</w:t>
      </w:r>
    </w:p>
    <w:p>
      <w:pPr>
        <w:spacing w:after="0" w:line="196"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You will be eligible to receive a $450,000 bonus for the 2020 performance year (your start date to December 31) (the “2020 Bonus”), provided you are in Virtu’s employment on the date such bonus is paid and that no notice to terminate your employment has been given or received by that date. Thereafter, you will be eligible for discretionary performance bonuses as described below. Each annual bonus may be paid in cash, deferred cash (but without further vesting conditions) and/or in long-term equity or a combination of all three, and the proportion between cash, deferred cash (but without further vesting conditions) and/or long-term equity will be entirely within the discretion of the Company.</w:t>
      </w:r>
    </w:p>
    <w:p>
      <w:pPr>
        <w:spacing w:after="0" w:line="201" w:lineRule="exact"/>
        <w:rPr>
          <w:sz w:val="20"/>
          <w:szCs w:val="20"/>
          <w:color w:val="auto"/>
        </w:rPr>
      </w:pPr>
    </w:p>
    <w:p>
      <w:pPr>
        <w:jc w:val="both"/>
        <w:ind w:firstLine="597"/>
        <w:spacing w:after="0" w:line="250" w:lineRule="auto"/>
        <w:rPr>
          <w:sz w:val="20"/>
          <w:szCs w:val="20"/>
          <w:color w:val="auto"/>
        </w:rPr>
      </w:pPr>
      <w:r>
        <w:rPr>
          <w:rFonts w:ascii="Times New Roman" w:cs="Times New Roman" w:eastAsia="Times New Roman" w:hAnsi="Times New Roman"/>
          <w:sz w:val="17"/>
          <w:szCs w:val="17"/>
          <w:color w:val="auto"/>
        </w:rPr>
        <w:t>Shortly following the commencement of your employment with the Company, you will be granted restricted stock units of Virtu in an amount equal to $300,000 divided by the per share issue price as defined in the applicable award agreement and the Amended and Restated 2015 Virtu Financial, Inc. Management Incentive Plan (as the same may be amended or amended and restated from time to time, the “Plan”), vesting in three equal annual installments on each of the first three anniversaries of the grant date. The equity award granted to you will be issued pursuant to the Plan and will be subject to the terms and conditions of the Plan and a separate award agreement, which shall include the approval of the Compensation Committee of Virtu’s Board of Directors.</w:t>
      </w:r>
    </w:p>
    <w:p>
      <w:pPr>
        <w:spacing w:after="0" w:line="201"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In addition, after any applicable waiting period, you will be eligible for all employee benefits offered by the Company to employees in similar positions. The Company retains the right to modify or change its benefits and compensation policy from time to time, as it deems necessary, other than those provided for you in this employment agreement. The Company also retains the right to assign your employment agreement to a Company affiliate, subject to the terms and conditions of this Agreement.</w:t>
      </w:r>
    </w:p>
    <w:p>
      <w:pPr>
        <w:sectPr>
          <w:pgSz w:w="11900" w:h="16838" w:orient="portrait"/>
          <w:cols w:equalWidth="0" w:num="1">
            <w:col w:w="11240"/>
          </w:cols>
          <w:pgMar w:left="320" w:top="1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At-Will Employment Agreement</w:t>
      </w:r>
    </w:p>
    <w:p>
      <w:pPr>
        <w:spacing w:after="0" w:line="228"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Either Virtu or you may terminate your employment at any time for any reason, or for no reason, by giving at least 60 days’ prior notice to the other, except for immediate termination by Virtu for Cause (defined below). During that 60-day period, Virtu may require you to assist in a transition of your duties to others, or to be on paid leave or not to report to work at Virtu or perform any work duties, or be paid in lieu. Your employment may be terminated by Virtu for Cause immediately upon written notice to you, subject to the cure provisions below.</w:t>
      </w:r>
    </w:p>
    <w:p>
      <w:pPr>
        <w:spacing w:after="0" w:line="199" w:lineRule="exact"/>
        <w:rPr>
          <w:sz w:val="20"/>
          <w:szCs w:val="20"/>
          <w:color w:val="auto"/>
        </w:rPr>
      </w:pPr>
    </w:p>
    <w:p>
      <w:pPr>
        <w:jc w:val="both"/>
        <w:ind w:firstLine="597"/>
        <w:spacing w:after="0" w:line="252" w:lineRule="auto"/>
        <w:rPr>
          <w:sz w:val="20"/>
          <w:szCs w:val="20"/>
          <w:color w:val="auto"/>
        </w:rPr>
      </w:pPr>
      <w:r>
        <w:rPr>
          <w:rFonts w:ascii="Times New Roman" w:cs="Times New Roman" w:eastAsia="Times New Roman" w:hAnsi="Times New Roman"/>
          <w:sz w:val="17"/>
          <w:szCs w:val="17"/>
          <w:color w:val="auto"/>
        </w:rPr>
        <w:t>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an authorized Company officer explicitly stating that your employment is no longer at-will.</w:t>
      </w:r>
    </w:p>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i w:val="1"/>
          <w:iCs w:val="1"/>
          <w:color w:val="auto"/>
        </w:rPr>
        <w:t>Cause</w:t>
      </w:r>
      <w:r>
        <w:rPr>
          <w:rFonts w:ascii="Times New Roman" w:cs="Times New Roman" w:eastAsia="Times New Roman" w:hAnsi="Times New Roman"/>
          <w:sz w:val="17"/>
          <w:szCs w:val="17"/>
          <w:color w:val="auto"/>
        </w:rPr>
        <w:t>” means that any of the following occurs:</w:t>
      </w:r>
    </w:p>
    <w:p>
      <w:pPr>
        <w:spacing w:after="0" w:line="203" w:lineRule="exact"/>
        <w:rPr>
          <w:sz w:val="20"/>
          <w:szCs w:val="20"/>
          <w:color w:val="auto"/>
        </w:rPr>
      </w:pPr>
    </w:p>
    <w:p>
      <w:pPr>
        <w:ind w:left="1800" w:hanging="606"/>
        <w:spacing w:after="0" w:line="271" w:lineRule="auto"/>
        <w:tabs>
          <w:tab w:leader="none" w:pos="179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are convicted of, or plead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any felony or in the Company’s reasonable judgment, you commit any fraudulent or illegal act with regard to the Company or its employees, independent contractors, officers, members or managers;</w:t>
      </w:r>
    </w:p>
    <w:p>
      <w:pPr>
        <w:spacing w:after="0" w:line="157" w:lineRule="exact"/>
        <w:rPr>
          <w:rFonts w:ascii="Times New Roman" w:cs="Times New Roman" w:eastAsia="Times New Roman" w:hAnsi="Times New Roman"/>
          <w:sz w:val="17"/>
          <w:szCs w:val="17"/>
          <w:color w:val="auto"/>
        </w:rPr>
      </w:pPr>
    </w:p>
    <w:p>
      <w:pPr>
        <w:ind w:left="1800" w:hanging="606"/>
        <w:spacing w:after="0"/>
        <w:tabs>
          <w:tab w:leader="none" w:pos="18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repeatedly intoxicated or under the influence of illegal substances while performing your employment duties;</w:t>
      </w:r>
    </w:p>
    <w:p>
      <w:pPr>
        <w:spacing w:after="0" w:line="202" w:lineRule="exact"/>
        <w:rPr>
          <w:rFonts w:ascii="Times New Roman" w:cs="Times New Roman" w:eastAsia="Times New Roman" w:hAnsi="Times New Roman"/>
          <w:sz w:val="17"/>
          <w:szCs w:val="17"/>
          <w:color w:val="auto"/>
        </w:rPr>
      </w:pPr>
    </w:p>
    <w:p>
      <w:pPr>
        <w:ind w:left="1800" w:hanging="606"/>
        <w:spacing w:after="0" w:line="269" w:lineRule="auto"/>
        <w:tabs>
          <w:tab w:leader="none" w:pos="179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do not have any necessary license or qualification, or become subject to a decree or order, that prevents you from working for the Company;</w:t>
      </w:r>
    </w:p>
    <w:p>
      <w:pPr>
        <w:spacing w:after="0" w:line="159" w:lineRule="exact"/>
        <w:rPr>
          <w:rFonts w:ascii="Times New Roman" w:cs="Times New Roman" w:eastAsia="Times New Roman" w:hAnsi="Times New Roman"/>
          <w:sz w:val="17"/>
          <w:szCs w:val="17"/>
          <w:color w:val="auto"/>
        </w:rPr>
      </w:pPr>
    </w:p>
    <w:p>
      <w:pPr>
        <w:jc w:val="both"/>
        <w:ind w:left="1800" w:hanging="606"/>
        <w:spacing w:after="0" w:line="266" w:lineRule="auto"/>
        <w:tabs>
          <w:tab w:leader="none" w:pos="18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Company’s reasonable judgment, you (A) violate any regulatory or trading policy, procedure, requirement, rule or regulation of the Company, any exchange, regulatory agency or self-regulatory body with authority to govern or regulate you or the Company, (B) violate any material obligation or are in breach of any representation in this Agreement or any other written agreement between you and the Company, or</w:t>
      </w:r>
    </w:p>
    <w:p>
      <w:pPr>
        <w:spacing w:after="0" w:line="2" w:lineRule="exact"/>
        <w:rPr>
          <w:rFonts w:ascii="Times New Roman" w:cs="Times New Roman" w:eastAsia="Times New Roman" w:hAnsi="Times New Roman"/>
          <w:sz w:val="16"/>
          <w:szCs w:val="16"/>
          <w:color w:val="auto"/>
        </w:rPr>
      </w:pPr>
    </w:p>
    <w:p>
      <w:pPr>
        <w:ind w:left="1800"/>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 any written company policy as stated in the Company’s employee policy manual (as amended or revised by the Company from time to time) or the Company’s Code of Conduct and Ethics;</w:t>
      </w:r>
    </w:p>
    <w:p>
      <w:pPr>
        <w:spacing w:after="0" w:line="176" w:lineRule="exact"/>
        <w:rPr>
          <w:rFonts w:ascii="Times New Roman" w:cs="Times New Roman" w:eastAsia="Times New Roman" w:hAnsi="Times New Roman"/>
          <w:sz w:val="16"/>
          <w:szCs w:val="16"/>
          <w:color w:val="auto"/>
        </w:rPr>
      </w:pPr>
    </w:p>
    <w:p>
      <w:pPr>
        <w:ind w:left="1780" w:hanging="586"/>
        <w:spacing w:after="0"/>
        <w:tabs>
          <w:tab w:leader="none" w:pos="1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intentionally and wrongfully damage material assets of the Company;</w:t>
      </w:r>
    </w:p>
    <w:p>
      <w:pPr>
        <w:spacing w:after="0" w:line="202" w:lineRule="exact"/>
        <w:rPr>
          <w:rFonts w:ascii="Times New Roman" w:cs="Times New Roman" w:eastAsia="Times New Roman" w:hAnsi="Times New Roman"/>
          <w:sz w:val="17"/>
          <w:szCs w:val="17"/>
          <w:color w:val="auto"/>
        </w:rPr>
      </w:pPr>
    </w:p>
    <w:p>
      <w:pPr>
        <w:ind w:left="1780" w:hanging="586"/>
        <w:spacing w:after="0"/>
        <w:tabs>
          <w:tab w:leader="none" w:pos="1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intentionally and wrongfully disclose material confidential information of the Company; or</w:t>
      </w:r>
    </w:p>
    <w:p>
      <w:pPr>
        <w:spacing w:after="0" w:line="202" w:lineRule="exact"/>
        <w:rPr>
          <w:rFonts w:ascii="Times New Roman" w:cs="Times New Roman" w:eastAsia="Times New Roman" w:hAnsi="Times New Roman"/>
          <w:sz w:val="17"/>
          <w:szCs w:val="17"/>
          <w:color w:val="auto"/>
        </w:rPr>
      </w:pPr>
    </w:p>
    <w:p>
      <w:pPr>
        <w:ind w:left="1800" w:right="220" w:hanging="606"/>
        <w:spacing w:after="0" w:line="269" w:lineRule="auto"/>
        <w:tabs>
          <w:tab w:leader="none" w:pos="18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intentionally and wrongfully engage in any competitive activity which constitutes a material breach of this Agreement, the Proprietary Invention Assignment, Noncompetition and Confidentiality Agreement, and/or a breach of your duty of loyalty.</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Company Policies and Agreements</w:t>
      </w:r>
    </w:p>
    <w:p>
      <w:pPr>
        <w:spacing w:after="0" w:line="273" w:lineRule="exact"/>
        <w:rPr>
          <w:sz w:val="20"/>
          <w:szCs w:val="20"/>
          <w:color w:val="auto"/>
        </w:rPr>
      </w:pPr>
    </w:p>
    <w:p>
      <w:pPr>
        <w:jc w:val="both"/>
        <w:ind w:firstLine="597"/>
        <w:spacing w:after="0" w:line="251" w:lineRule="auto"/>
        <w:rPr>
          <w:sz w:val="20"/>
          <w:szCs w:val="20"/>
          <w:color w:val="auto"/>
        </w:rPr>
      </w:pPr>
      <w:r>
        <w:rPr>
          <w:rFonts w:ascii="Times New Roman" w:cs="Times New Roman" w:eastAsia="Times New Roman" w:hAnsi="Times New Roman"/>
          <w:sz w:val="17"/>
          <w:szCs w:val="17"/>
          <w:b w:val="1"/>
          <w:bCs w:val="1"/>
          <w:color w:val="auto"/>
        </w:rPr>
        <w:t>As an employee of the Company, you will be expected to abide by the Company's rules, regulations, policies and practices as implemented or modified by the Company from time to time. You represent to the Company that you are fully qualified and have (or will promptly obtain) all required licenses, permits and authorizations to perform your duties, and that you are not subject to any employment agreement, non-competition covenant, or other restriction that prohibits or limits employee from performing your duties to the Company or restricts information you can provide to the Company. You will not perform any duties that</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23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require licensing, permits or authorizations until you have obtained the necessary licenses, permits or authorizations.</w:t>
      </w:r>
    </w:p>
    <w:p>
      <w:pPr>
        <w:spacing w:after="0" w:line="207" w:lineRule="exact"/>
        <w:rPr>
          <w:sz w:val="20"/>
          <w:szCs w:val="20"/>
          <w:color w:val="auto"/>
        </w:rPr>
      </w:pPr>
    </w:p>
    <w:p>
      <w:pPr>
        <w:jc w:val="both"/>
        <w:ind w:firstLine="597"/>
        <w:spacing w:after="0" w:line="280" w:lineRule="auto"/>
        <w:rPr>
          <w:sz w:val="20"/>
          <w:szCs w:val="20"/>
          <w:color w:val="auto"/>
        </w:rPr>
      </w:pPr>
      <w:r>
        <w:rPr>
          <w:rFonts w:ascii="Times New Roman" w:cs="Times New Roman" w:eastAsia="Times New Roman" w:hAnsi="Times New Roman"/>
          <w:sz w:val="16"/>
          <w:szCs w:val="16"/>
          <w:color w:val="auto"/>
        </w:rPr>
        <w:t>In addition, as a condition of your employment, we will ask you to sign a Proprietary Invention Assignment, Noncompetition and Confidentiality Agreement which requires, among other provisions, the assignment of patent rights to any invention made during your employment at the Company. Further, you will also be required to submit satisfactory documentation regarding your identification and right to work in the United States no later than three days after your employment begins.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Mutual Arbitration</w:t>
      </w:r>
    </w:p>
    <w:p>
      <w:pPr>
        <w:spacing w:after="0" w:line="228" w:lineRule="exact"/>
        <w:rPr>
          <w:sz w:val="20"/>
          <w:szCs w:val="20"/>
          <w:color w:val="auto"/>
        </w:rPr>
      </w:pPr>
    </w:p>
    <w:p>
      <w:pPr>
        <w:jc w:val="both"/>
        <w:ind w:firstLine="597"/>
        <w:spacing w:after="0" w:line="265" w:lineRule="auto"/>
        <w:rPr>
          <w:sz w:val="20"/>
          <w:szCs w:val="20"/>
          <w:color w:val="auto"/>
        </w:rPr>
      </w:pPr>
      <w:r>
        <w:rPr>
          <w:rFonts w:ascii="Times New Roman" w:cs="Times New Roman" w:eastAsia="Times New Roman" w:hAnsi="Times New Roman"/>
          <w:sz w:val="16"/>
          <w:szCs w:val="16"/>
          <w:color w:val="auto"/>
        </w:rPr>
        <w:t>You and the Company both knowingly and voluntarily agree to a pre-dispute arbitration clause so that should any controversy or dispute arise in connection with your employment, the cessation of your employment or the interpretation of this agreement, you and the Company agree to the arbitration of any and all such claims at a site in New York, before a neutral panel of the American Arbitration Association or JAMS, as dictated by the underlying facts and circumstances giving rise to your claim(s). In the course of any arbitration pursuant to this agreement, you and the Company agree: (a) to request that a written award be issued by the panel, and</w:t>
      </w:r>
    </w:p>
    <w:p>
      <w:pPr>
        <w:jc w:val="both"/>
        <w:spacing w:after="0" w:line="244" w:lineRule="auto"/>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each side is entitled to receive any and all relief they would be entitled to receive in a court proceeding, except that you agree to waive any claim or right you may have for punitive or other indirect or consequential damages. </w:t>
      </w:r>
      <w:r>
        <w:rPr>
          <w:rFonts w:ascii="Times New Roman" w:cs="Times New Roman" w:eastAsia="Times New Roman" w:hAnsi="Times New Roman"/>
          <w:sz w:val="17"/>
          <w:szCs w:val="17"/>
          <w:b w:val="1"/>
          <w:bCs w:val="1"/>
          <w:color w:val="auto"/>
        </w:rPr>
        <w:t>You and the Company knowingly and voluntarily agree to enter into this arbitration clause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w:t>
      </w:r>
      <w:r>
        <w:rPr>
          <w:rFonts w:ascii="Times New Roman" w:cs="Times New Roman" w:eastAsia="Times New Roman" w:hAnsi="Times New Roman"/>
          <w:sz w:val="17"/>
          <w:szCs w:val="17"/>
          <w:color w:val="auto"/>
        </w:rPr>
        <w:t>The agreement between you and the Company to arbitrate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you are deemed an associated person under FINRA’s rules, this agreement does not prohibit or restrict you from filing an arbitration claim in the FINRA arbitration forum as specified in FINRA rules.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Verification of Resume and Job Application</w:t>
      </w:r>
    </w:p>
    <w:p>
      <w:pPr>
        <w:spacing w:after="0" w:line="228" w:lineRule="exact"/>
        <w:rPr>
          <w:sz w:val="20"/>
          <w:szCs w:val="20"/>
          <w:color w:val="auto"/>
        </w:rPr>
      </w:pPr>
    </w:p>
    <w:p>
      <w:pPr>
        <w:jc w:val="both"/>
        <w:ind w:firstLine="597"/>
        <w:spacing w:after="0" w:line="248" w:lineRule="auto"/>
        <w:rPr>
          <w:sz w:val="20"/>
          <w:szCs w:val="20"/>
          <w:color w:val="auto"/>
        </w:rPr>
      </w:pPr>
      <w:r>
        <w:rPr>
          <w:rFonts w:ascii="Times New Roman" w:cs="Times New Roman" w:eastAsia="Times New Roman" w:hAnsi="Times New Roman"/>
          <w:sz w:val="17"/>
          <w:szCs w:val="17"/>
          <w:color w:val="auto"/>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all parties and persons from any and all liability for any damages that may result from furnishing such information to the Company as well as from any use or disclosure of such information by the Company or any of its agents, employees, or representatives. You understand that any falsification or material omission of information on this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204"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 provided that you have provided any documentation and authorization reasonably in advance of such date.</w:t>
      </w:r>
    </w:p>
    <w:p>
      <w:pPr>
        <w:spacing w:after="0" w:line="196" w:lineRule="exact"/>
        <w:rPr>
          <w:sz w:val="20"/>
          <w:szCs w:val="20"/>
          <w:color w:val="auto"/>
        </w:rPr>
      </w:pPr>
    </w:p>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t>You agree to keep confidential any non-public information regarding the Company, its members, officers, directors, employees or independent contractors and that you will not disclose any confidential proprietary information or trade secrets acquired during your employment with the Company and that this obligation shall continue after your employment with the Company ends. You also agree that you will perform your job duties to the best of your abilities at all times.</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052" w:right="339" w:bottom="1440" w:gutter="0" w:footer="0" w:header="0"/>
        </w:sectPr>
      </w:pPr>
    </w:p>
    <w:bookmarkStart w:id="101" w:name="page102"/>
    <w:bookmarkEnd w:id="101"/>
    <w:p>
      <w:pPr>
        <w:jc w:val="both"/>
        <w:ind w:firstLine="597"/>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This letter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letter may not be modified or amended, except by a written agreement signed by you and a Company officer.</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you have any questions regarding your employment here at the Company, please feel free to call me at (212) 418-0137.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Very truly yours,</w:t>
            </w:r>
          </w:p>
        </w:tc>
      </w:tr>
      <w:tr>
        <w:trPr>
          <w:trHeight w:val="610"/>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/s/ Joseph Molluso</w:t>
            </w:r>
          </w:p>
        </w:tc>
      </w:tr>
      <w:tr>
        <w:trPr>
          <w:trHeight w:val="200"/>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4700" w:type="dxa"/>
            <w:vAlign w:val="bottom"/>
          </w:tcPr>
          <w:p>
            <w:pPr>
              <w:ind w:left="1780"/>
              <w:spacing w:after="0"/>
              <w:rPr>
                <w:sz w:val="20"/>
                <w:szCs w:val="20"/>
                <w:color w:val="auto"/>
              </w:rPr>
            </w:pPr>
            <w:r>
              <w:rPr>
                <w:rFonts w:ascii="Times New Roman" w:cs="Times New Roman" w:eastAsia="Times New Roman" w:hAnsi="Times New Roman"/>
                <w:sz w:val="17"/>
                <w:szCs w:val="17"/>
                <w:color w:val="auto"/>
              </w:rPr>
              <w:t>Joseph Molluso</w:t>
            </w:r>
          </w:p>
        </w:tc>
      </w:tr>
      <w:tr>
        <w:trPr>
          <w:trHeight w:val="216"/>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00" w:type="dxa"/>
            <w:vAlign w:val="bottom"/>
          </w:tcPr>
          <w:p>
            <w:pPr>
              <w:ind w:left="1780"/>
              <w:spacing w:after="0"/>
              <w:rPr>
                <w:sz w:val="20"/>
                <w:szCs w:val="20"/>
                <w:color w:val="auto"/>
              </w:rPr>
            </w:pPr>
            <w:r>
              <w:rPr>
                <w:rFonts w:ascii="Times New Roman" w:cs="Times New Roman" w:eastAsia="Times New Roman" w:hAnsi="Times New Roman"/>
                <w:sz w:val="17"/>
                <w:szCs w:val="17"/>
                <w:color w:val="auto"/>
                <w:w w:val="96"/>
              </w:rPr>
              <w:t>Co-President &amp; Co-Chief Operating Officer</w:t>
            </w:r>
          </w:p>
        </w:tc>
      </w:tr>
      <w:tr>
        <w:trPr>
          <w:trHeight w:val="398"/>
        </w:trPr>
        <w:tc>
          <w:tcPr>
            <w:tcW w:w="71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AGREED TO AND ACCEPTED:</w:t>
            </w:r>
          </w:p>
        </w:tc>
      </w:tr>
      <w:tr>
        <w:trPr>
          <w:trHeight w:val="386"/>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Signature:</w:t>
            </w:r>
          </w:p>
        </w:tc>
        <w:tc>
          <w:tcPr>
            <w:tcW w:w="140" w:type="dxa"/>
            <w:vAlign w:val="bottom"/>
          </w:tcPr>
          <w:p>
            <w:pPr>
              <w:spacing w:after="0"/>
              <w:rPr>
                <w:sz w:val="24"/>
                <w:szCs w:val="24"/>
                <w:color w:val="auto"/>
              </w:rPr>
            </w:pPr>
          </w:p>
        </w:tc>
        <w:tc>
          <w:tcPr>
            <w:tcW w:w="62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 Sean Galvin_____________</w:t>
            </w:r>
          </w:p>
        </w:tc>
      </w:tr>
      <w:tr>
        <w:trPr>
          <w:trHeight w:val="20"/>
        </w:trPr>
        <w:tc>
          <w:tcPr>
            <w:tcW w:w="8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r>
      <w:tr>
        <w:trPr>
          <w:trHeight w:val="403"/>
        </w:trPr>
        <w:tc>
          <w:tcPr>
            <w:tcW w:w="71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Print Name:   Sean Galvin________________</w:t>
            </w:r>
          </w:p>
        </w:tc>
      </w:tr>
      <w:tr>
        <w:trPr>
          <w:trHeight w:val="20"/>
        </w:trPr>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340" w:type="dxa"/>
            <w:vAlign w:val="bottom"/>
            <w:tcBorders>
              <w:left w:val="single" w:sz="8" w:color="auto"/>
            </w:tcBorders>
            <w:gridSpan w:val="3"/>
          </w:tcPr>
          <w:p>
            <w:pPr>
              <w:spacing w:after="0" w:line="20" w:lineRule="exact"/>
              <w:rPr>
                <w:sz w:val="1"/>
                <w:szCs w:val="1"/>
                <w:color w:val="auto"/>
              </w:rPr>
            </w:pPr>
          </w:p>
        </w:tc>
      </w:tr>
      <w:tr>
        <w:trPr>
          <w:trHeight w:val="40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636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August 7, 2020______________</w:t>
            </w:r>
          </w:p>
        </w:tc>
      </w:tr>
      <w:tr>
        <w:trPr>
          <w:trHeight w:val="20"/>
        </w:trPr>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006"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PROPRIETARY INVENTION ASSIGNMENT, NONCOMPETITION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 CONFIDENTIALITY AGREEMENT</w:t>
      </w:r>
    </w:p>
    <w:p>
      <w:pPr>
        <w:spacing w:after="0" w:line="232" w:lineRule="exact"/>
        <w:rPr>
          <w:sz w:val="20"/>
          <w:szCs w:val="20"/>
          <w:color w:val="auto"/>
        </w:rPr>
      </w:pPr>
    </w:p>
    <w:p>
      <w:pPr>
        <w:jc w:val="both"/>
        <w:ind w:firstLine="1195"/>
        <w:spacing w:after="0" w:line="252" w:lineRule="auto"/>
        <w:rPr>
          <w:sz w:val="20"/>
          <w:szCs w:val="20"/>
          <w:color w:val="auto"/>
        </w:rPr>
      </w:pPr>
      <w:r>
        <w:rPr>
          <w:rFonts w:ascii="Times New Roman" w:cs="Times New Roman" w:eastAsia="Times New Roman" w:hAnsi="Times New Roman"/>
          <w:sz w:val="17"/>
          <w:szCs w:val="17"/>
          <w:color w:val="auto"/>
        </w:rPr>
        <w:t>In consideration of my employment (the “Engagement”) by Virtu Financial Operating LLC a Delaware limited liability company (including any subsidiary, parent or affiliate thereof, the “Company”), as an employee, consultant, independent contractor or otherwise, and other good and valuable consideration, I, the undersigned, hereby enter into this Agreement (the “Agreement”) as of the date set forth below my signature and hereby represent to and agree with the Company as follows:</w:t>
      </w:r>
    </w:p>
    <w:p>
      <w:pPr>
        <w:spacing w:after="0" w:line="75" w:lineRule="exact"/>
        <w:rPr>
          <w:sz w:val="20"/>
          <w:szCs w:val="20"/>
          <w:color w:val="auto"/>
        </w:rPr>
      </w:pPr>
    </w:p>
    <w:p>
      <w:pPr>
        <w:jc w:val="both"/>
        <w:ind w:firstLine="597"/>
        <w:spacing w:after="0" w:line="246" w:lineRule="auto"/>
        <w:tabs>
          <w:tab w:leader="none" w:pos="925"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Acknowledgments</w:t>
      </w:r>
      <w:r>
        <w:rPr>
          <w:rFonts w:ascii="Times New Roman" w:cs="Times New Roman" w:eastAsia="Times New Roman" w:hAnsi="Times New Roman"/>
          <w:sz w:val="17"/>
          <w:szCs w:val="17"/>
          <w:color w:val="auto"/>
        </w:rPr>
        <w:t>. I acknowledge that: (a) during the course of my Engagement by the Company, I am likely to learn of or have access to Confidential Information (as defined below), including Confidential Information entrusted to the Company by other individuals or entities, as well as other protectable business interests; (b) my Engagement by the Company creates a relationship of confidence between the Company and me; (c) the Company has devoted substantial resources to developing Confidential Information and such information is critical to the Company’s competitive advantage and business; (d) the Company takes significant steps to preserve and to protect its Confidential Information; (e) any unauthorized use or disclosure or other improper use by me of Confidential Information could have severe and irreparable repercussions on the Company and/or its clients or other persons or entities; (f) the Company’s protectable business interests are essential to its competitive advantage and will retain continuing vitality throughout and beyond my Engagement with the Company; (g) if I leave the Company and work for myself or with another person or entity in a manner that violates this Agreement, it would be highly likely, if not inevitable, that I would rely on the Company’s Confidential Information in the course of my work, either consciously or subconsciously; and (h) any diminution of the Company’s competitive advantage caused by my engaging in activities in violation of this Agreement could have severe and irreparable repercussions on the Company’s business. Accordingly, I agree that this Agreement is necessary to safeguard the Company’s protectable business interests.</w:t>
      </w:r>
    </w:p>
    <w:p>
      <w:pPr>
        <w:spacing w:after="0" w:line="209" w:lineRule="exact"/>
        <w:rPr>
          <w:rFonts w:ascii="Times New Roman" w:cs="Times New Roman" w:eastAsia="Times New Roman" w:hAnsi="Times New Roman"/>
          <w:sz w:val="17"/>
          <w:szCs w:val="17"/>
          <w:color w:val="auto"/>
        </w:rPr>
      </w:pPr>
    </w:p>
    <w:p>
      <w:pPr>
        <w:ind w:left="920" w:hanging="323"/>
        <w:spacing w:after="0"/>
        <w:tabs>
          <w:tab w:leader="none" w:pos="9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7"/>
          <w:szCs w:val="17"/>
          <w:color w:val="auto"/>
        </w:rPr>
      </w:pPr>
    </w:p>
    <w:p>
      <w:pPr>
        <w:jc w:val="both"/>
        <w:ind w:firstLine="1194"/>
        <w:spacing w:after="0" w:line="271" w:lineRule="auto"/>
        <w:tabs>
          <w:tab w:leader="none" w:pos="1657" w:val="left"/>
        </w:tabs>
        <w:numPr>
          <w:ilvl w:val="2"/>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Definition of Confidential Information</w:t>
      </w:r>
      <w:r>
        <w:rPr>
          <w:rFonts w:ascii="Times New Roman" w:cs="Times New Roman" w:eastAsia="Times New Roman" w:hAnsi="Times New Roman"/>
          <w:sz w:val="16"/>
          <w:szCs w:val="16"/>
          <w:color w:val="auto"/>
        </w:rPr>
        <w:t>. For purposes of this Agreement, “Confidential Information” means trade secrets, know-how,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proprietary information or other information that (i) is not generally known to the public or in the industries in which the Company engages in its business activities, and</w:t>
      </w:r>
    </w:p>
    <w:p>
      <w:pPr>
        <w:spacing w:after="0" w:line="1" w:lineRule="exact"/>
        <w:rPr>
          <w:rFonts w:ascii="Times New Roman" w:cs="Times New Roman" w:eastAsia="Times New Roman" w:hAnsi="Times New Roman"/>
          <w:sz w:val="16"/>
          <w:szCs w:val="16"/>
          <w:color w:val="auto"/>
        </w:rPr>
      </w:pPr>
    </w:p>
    <w:p>
      <w:pPr>
        <w:jc w:val="both"/>
        <w:spacing w:after="0" w:line="244" w:lineRule="auto"/>
        <w:tabs>
          <w:tab w:leader="none" w:pos="25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relates to the activities, businesses, products or services, or proposed activities, businesses, products or services of the Company, or of any client of the Company. Examples of Confidential Information include, but are not limited to: (i) all ideas, inventions, know-how, technology, formulas, designs, software, programs, algorithms, trading strategies, trading models, products, systems, applications, processes, procedures, methods and improvements and enhancements, and all related documentation, whether or not patentable, copyrightable or entitled to other forms of protection, utilized by the Company or its affiliates or which are directly or indirectly, related to the business, products or services, or proposed business, products or services, of the Company or its affiliates; (ii) the name and/or address of any customer or vendor of the Company or its affiliates or any information concerning the transactions or relations of any customer or vendor of the Company or its affiliates with the Company or any of its stockholders, principals, directors, officers, employees or agents; (iii) any financial information relating to the Company and its business; (iv) any information which is generally regarded as confidential or proprietary in any line of business engaged in by the Company or its affiliates; (v) any business plans, budgets, advertising or marketing plans; (vi) any information contained in any of the written or oral policies and procedures or manuals of the Company or its affiliates; (vii) any information belonging to customers, vendors or affiliates of the Company or its affiliates or any other individual or entity which the Company or its affiliates has agreed to hold in confidence; and (viii) all written, graphic and other material (in any medium whether in writing, on magnetic tape or in electronic or other form) relating to any of the foregoing. I acknowledge and understand that information that is not novel or is not copyrighted, trademarked or patented, or eligible for such or any other protection, may nonetheless be Confidential Information.</w:t>
      </w:r>
    </w:p>
    <w:p>
      <w:pPr>
        <w:spacing w:after="0" w:line="185" w:lineRule="exact"/>
        <w:rPr>
          <w:rFonts w:ascii="Times New Roman" w:cs="Times New Roman" w:eastAsia="Times New Roman" w:hAnsi="Times New Roman"/>
          <w:sz w:val="17"/>
          <w:szCs w:val="17"/>
          <w:color w:val="auto"/>
        </w:rPr>
      </w:pPr>
    </w:p>
    <w:p>
      <w:pPr>
        <w:jc w:val="both"/>
        <w:ind w:firstLine="1194"/>
        <w:spacing w:after="0" w:line="253" w:lineRule="auto"/>
        <w:tabs>
          <w:tab w:leader="none" w:pos="1579"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Confidentiality. </w:t>
      </w:r>
      <w:r>
        <w:rPr>
          <w:rFonts w:ascii="Times New Roman" w:cs="Times New Roman" w:eastAsia="Times New Roman" w:hAnsi="Times New Roman"/>
          <w:sz w:val="17"/>
          <w:szCs w:val="17"/>
          <w:color w:val="auto"/>
        </w:rPr>
        <w:t>Except as required by the performance of my duties as related to my Engagement by the Company, I shall not, either during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the course of my Engagement by the Company, regardless of the reason for the expiration or termination of my Engagement, use or disclose any Confidential Information or convey any Confidential Information to persons outside of the Company, nor shall I cause or permit any individual controlled or directed by me to do any of the foregoing. I understand that my Engagement by the Company creates a relationship of confidence between the Company and me.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052" w:right="339" w:bottom="1440" w:gutter="0" w:footer="0" w:header="0"/>
        </w:sectPr>
      </w:pPr>
    </w:p>
    <w:bookmarkStart w:id="103" w:name="page104"/>
    <w:bookmarkEnd w:id="103"/>
    <w:p>
      <w:pPr>
        <w:ind w:left="1680" w:hanging="411"/>
        <w:spacing w:after="0"/>
        <w:tabs>
          <w:tab w:leader="none" w:pos="1680" w:val="left"/>
        </w:tabs>
        <w:numPr>
          <w:ilvl w:val="2"/>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 xml:space="preserve">Exceptions. </w:t>
      </w:r>
      <w:r>
        <w:rPr>
          <w:rFonts w:ascii="Times New Roman" w:cs="Times New Roman" w:eastAsia="Times New Roman" w:hAnsi="Times New Roman"/>
          <w:sz w:val="16"/>
          <w:szCs w:val="16"/>
          <w:color w:val="auto"/>
        </w:rPr>
        <w:t>Notwithstanding the foregoing, any restriction on my use, disclosure, or conveyance of Confidential Information shall not apply to</w:t>
      </w:r>
    </w:p>
    <w:p>
      <w:pPr>
        <w:spacing w:after="0" w:line="33" w:lineRule="exact"/>
        <w:rPr>
          <w:rFonts w:ascii="Times New Roman" w:cs="Times New Roman" w:eastAsia="Times New Roman" w:hAnsi="Times New Roman"/>
          <w:sz w:val="16"/>
          <w:szCs w:val="16"/>
          <w:color w:val="auto"/>
        </w:rPr>
      </w:pPr>
    </w:p>
    <w:p>
      <w:pPr>
        <w:jc w:val="both"/>
        <w:spacing w:after="0" w:line="259" w:lineRule="auto"/>
        <w:tabs>
          <w:tab w:leader="none" w:pos="21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Confidential Information that enters the public domain through no fault of mine or any person affiliated with me; (ii) any Confidential Information that I am required to disclose pursuant to an order of a court of competent jurisdiction or another government agency having appropriate authority, solely to the extent necessary to comply with such order,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that I am ordered by a court or other government agency to disclose any Confidential Information, I shall, subject to applicable law, (1) promptly notify the Company of such order, (2) diligently contest such order at the sole expense of the Company as expenses occur, and (3) seek to obtain at the sole expense of the Company such confidential treatment as may be available under applicable laws for any information disclosed under such order; and</w:t>
      </w:r>
    </w:p>
    <w:p>
      <w:pPr>
        <w:spacing w:after="0" w:line="2" w:lineRule="exact"/>
        <w:rPr>
          <w:rFonts w:ascii="Times New Roman" w:cs="Times New Roman" w:eastAsia="Times New Roman" w:hAnsi="Times New Roman"/>
          <w:sz w:val="16"/>
          <w:szCs w:val="16"/>
          <w:color w:val="auto"/>
        </w:rPr>
      </w:pPr>
    </w:p>
    <w:p>
      <w:pPr>
        <w:jc w:val="both"/>
        <w:spacing w:after="0" w:line="259" w:lineRule="auto"/>
        <w:tabs>
          <w:tab w:leader="none" w:pos="29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use or disclosure, during the course of my Engagement by the Company, of Confidential Information made necessary by the proper conduct of the business of the Company and consistent with the instructions of the Company. Nothing in any code, agreement, manual or in any other policies, procedures or agreements of the Company shall prohibit or restrict me or my counsel from providing information in connection with: (a) any disclosure of information required by law or legal process;</w:t>
      </w:r>
    </w:p>
    <w:p>
      <w:pPr>
        <w:spacing w:after="0" w:line="1" w:lineRule="exact"/>
        <w:rPr>
          <w:rFonts w:ascii="Times New Roman" w:cs="Times New Roman" w:eastAsia="Times New Roman" w:hAnsi="Times New Roman"/>
          <w:sz w:val="16"/>
          <w:szCs w:val="16"/>
          <w:color w:val="auto"/>
        </w:rPr>
      </w:pPr>
    </w:p>
    <w:p>
      <w:pPr>
        <w:jc w:val="both"/>
        <w:spacing w:after="0" w:line="245" w:lineRule="auto"/>
        <w:tabs>
          <w:tab w:leader="none" w:pos="24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possible violations of federal or state law or regulation to any governmental agency, commission or entity, including but not limited to, the Department of Justice, the Commodities Futures Trading Commission, the Securities and Exchange Commission, the Department of Labor, the Congress, any state Attorney General, self-regulatory organization and any agency Inspector General (collectively “Government Agencies”) (c) filing a charge or complaint with Government Agencies; (d) making disclosures that are protected under the whistleblower provisions of federal or state law or regulation (collectively the “Whistleblower Statutes”); or (e) from initiating communications directly with, responding to any inquiry from, volunteering information to, testifying or otherwise participating in or assisting in any inquiry, investigation or proceeding brought by Government Agencies in connection with (a) through (d). I am not required to advise or seek permission from the Company before engaging in any activity set forth in (a) through (e). Further, the Company does not in any manner limit my right to receive an award from Government Agencies for information provided to Government Agencies or pursuant to the Whistleblower Statutes.</w:t>
      </w:r>
    </w:p>
    <w:p>
      <w:pPr>
        <w:spacing w:after="0" w:line="176" w:lineRule="exact"/>
        <w:rPr>
          <w:rFonts w:ascii="Times New Roman" w:cs="Times New Roman" w:eastAsia="Times New Roman" w:hAnsi="Times New Roman"/>
          <w:sz w:val="17"/>
          <w:szCs w:val="17"/>
          <w:color w:val="auto"/>
        </w:rPr>
      </w:pPr>
    </w:p>
    <w:p>
      <w:pPr>
        <w:jc w:val="both"/>
        <w:ind w:firstLine="1194"/>
        <w:spacing w:after="0" w:line="248" w:lineRule="auto"/>
        <w:tabs>
          <w:tab w:leader="none" w:pos="159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Return of Confidential Information. </w:t>
      </w:r>
      <w:r>
        <w:rPr>
          <w:rFonts w:ascii="Times New Roman" w:cs="Times New Roman" w:eastAsia="Times New Roman" w:hAnsi="Times New Roman"/>
          <w:sz w:val="17"/>
          <w:szCs w:val="17"/>
          <w:color w:val="auto"/>
        </w:rPr>
        <w:t>All Confidential Information, however and wherever produced, including, without limitation, Confidential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stored in computer databases or by other electronic means, shall be and remain the sole property of the Company. Upon the earlier of (i) the Company’s request or (ii) the expiration or termination of my Engagement (regardless of the reason for such expiration or termination), I shall immediately deliver to the Company, or at the Company’s request destroy, all documents and electronic storage devices (without retaining any electronic or physical copies, extracts, or other reproductions, summaries or analyses) that contain Confidential Information and that are in my possession, subject to my control, or held by me for others, including, without limitation, any and all records, drawings, notebooks, papers, electronic files, emails, and electronic data storage devices, whether prepared by me or others. In addition, I shall return to the Company any equipment, tools, or other devices owned by the Company and in my possession. At the Company’s request, I shall promptly deliver to the Company a certificate to the effect that I have complied with the provisions of this paragraph (d).</w:t>
      </w:r>
    </w:p>
    <w:p>
      <w:pPr>
        <w:spacing w:after="0" w:line="175" w:lineRule="exact"/>
        <w:rPr>
          <w:rFonts w:ascii="Times New Roman" w:cs="Times New Roman" w:eastAsia="Times New Roman" w:hAnsi="Times New Roman"/>
          <w:sz w:val="17"/>
          <w:szCs w:val="17"/>
          <w:color w:val="auto"/>
        </w:rPr>
      </w:pPr>
    </w:p>
    <w:p>
      <w:pPr>
        <w:jc w:val="both"/>
        <w:ind w:firstLine="1194"/>
        <w:spacing w:after="0" w:line="249" w:lineRule="auto"/>
        <w:tabs>
          <w:tab w:leader="none" w:pos="1619"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Non-Disclosure of Prior Employer Confidential Information. </w:t>
      </w:r>
      <w:r>
        <w:rPr>
          <w:rFonts w:ascii="Times New Roman" w:cs="Times New Roman" w:eastAsia="Times New Roman" w:hAnsi="Times New Roman"/>
          <w:sz w:val="17"/>
          <w:szCs w:val="17"/>
          <w:color w:val="auto"/>
        </w:rPr>
        <w:t>During the course of my Engagement, I will not knowingly improperly use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disclose any confidential or proprietary information or trade secrets of any former employer or other person or entity intended by such person or entity not to be disclosed to the Company. I will not bring onto the Company's premises any proprietary information belonging to any such former employer, person or entity unless consented to by such prior employer, person or entity. I represent that, to the best of my knowledge, my performance of all of the terms of this Agreement does not and will not breach any agreement to keep in confidence proprietary information I have acquired prior to my employment by the Company. Further, I represent that, to the best of my knowledge, my performance of my duties with the Company will not breach any contractual or other legal obligation owed to any third person.</w:t>
      </w:r>
    </w:p>
    <w:p>
      <w:pPr>
        <w:spacing w:after="0" w:line="176" w:lineRule="exact"/>
        <w:rPr>
          <w:rFonts w:ascii="Times New Roman" w:cs="Times New Roman" w:eastAsia="Times New Roman" w:hAnsi="Times New Roman"/>
          <w:sz w:val="17"/>
          <w:szCs w:val="17"/>
          <w:color w:val="auto"/>
        </w:rPr>
      </w:pPr>
    </w:p>
    <w:p>
      <w:pPr>
        <w:jc w:val="both"/>
        <w:ind w:left="80" w:firstLine="1114"/>
        <w:spacing w:after="0" w:line="258" w:lineRule="auto"/>
        <w:tabs>
          <w:tab w:leader="none" w:pos="1789" w:val="left"/>
        </w:tabs>
        <w:numPr>
          <w:ilvl w:val="1"/>
          <w:numId w:val="3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i w:val="1"/>
          <w:iCs w:val="1"/>
          <w:u w:val="single" w:color="auto"/>
          <w:color w:val="auto"/>
        </w:rPr>
        <w:t>Notice of Immunity under the Defend Trade Secrets Act</w:t>
      </w:r>
      <w:r>
        <w:rPr>
          <w:rFonts w:ascii="Times New Roman" w:cs="Times New Roman" w:eastAsia="Times New Roman" w:hAnsi="Times New Roman"/>
          <w:sz w:val="17"/>
          <w:szCs w:val="17"/>
          <w:color w:val="auto"/>
        </w:rPr>
        <w:t>. I acknowledge and agree that the Company has provided me with written notice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below that the Defend Trade Secrets Act, 18 U.S.C. § 1833(b), provides an immunity for the disclosure of a trade secret to report a suspected violation of law and/or in an anti-retaliation lawsuit, as follows:</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004" w:right="339" w:bottom="1440" w:gutter="0" w:footer="0" w:header="0"/>
        </w:sectPr>
      </w:pPr>
    </w:p>
    <w:bookmarkStart w:id="104" w:name="page105"/>
    <w:bookmarkEnd w:id="104"/>
    <w:p>
      <w:pPr>
        <w:ind w:left="1200" w:hanging="6"/>
        <w:spacing w:after="0" w:line="274" w:lineRule="auto"/>
        <w:tabs>
          <w:tab w:leader="none" w:pos="1404"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IMMUNITY. An individual shall not be held criminally or civilly liable under any Federal or State trade secret law for the disclosure of a trade secret that:</w:t>
      </w:r>
    </w:p>
    <w:p>
      <w:pPr>
        <w:spacing w:after="0" w:line="15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(A) is made</w:t>
      </w:r>
    </w:p>
    <w:p>
      <w:pPr>
        <w:spacing w:after="0" w:line="203" w:lineRule="exact"/>
        <w:rPr>
          <w:sz w:val="20"/>
          <w:szCs w:val="20"/>
          <w:color w:val="auto"/>
        </w:rPr>
      </w:pPr>
    </w:p>
    <w:p>
      <w:pPr>
        <w:ind w:left="1420" w:hanging="226"/>
        <w:spacing w:after="0"/>
        <w:tabs>
          <w:tab w:leader="none" w:pos="14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 confidence to a Federal, State, or local government official, either directly or indirectly, or to an attorney; and</w:t>
      </w:r>
    </w:p>
    <w:p>
      <w:pPr>
        <w:spacing w:after="0" w:line="202" w:lineRule="exact"/>
        <w:rPr>
          <w:rFonts w:ascii="Times New Roman" w:cs="Times New Roman" w:eastAsia="Times New Roman" w:hAnsi="Times New Roman"/>
          <w:sz w:val="17"/>
          <w:szCs w:val="17"/>
          <w:b w:val="1"/>
          <w:bCs w:val="1"/>
          <w:color w:val="auto"/>
        </w:rPr>
      </w:pPr>
    </w:p>
    <w:p>
      <w:pPr>
        <w:ind w:left="1420" w:hanging="226"/>
        <w:spacing w:after="0"/>
        <w:tabs>
          <w:tab w:leader="none" w:pos="14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solely for the purpose of reporting or investigating a suspected violation of law; or</w:t>
      </w:r>
    </w:p>
    <w:p>
      <w:pPr>
        <w:spacing w:after="0" w:line="20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(B) is made in a complaint or other document filed in a lawsuit or other proceeding, if such filing is made under seal.</w:t>
      </w:r>
    </w:p>
    <w:p>
      <w:pPr>
        <w:spacing w:after="0" w:line="203" w:lineRule="exact"/>
        <w:rPr>
          <w:sz w:val="20"/>
          <w:szCs w:val="20"/>
          <w:color w:val="auto"/>
        </w:rPr>
      </w:pPr>
    </w:p>
    <w:p>
      <w:pPr>
        <w:jc w:val="both"/>
        <w:ind w:left="1200" w:hanging="6"/>
        <w:spacing w:after="0" w:line="259" w:lineRule="auto"/>
        <w:tabs>
          <w:tab w:leader="none" w:pos="1448"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TRADE SECRET INFORMATION IN ANTI-RETALIATION LAWSUIT. An individual who files a lawsuit for retaliation by an employer for reporting a suspected violation of law may disclose the trade secret to the attorney of the individual and use the trade secret information in the court proceeding, if the individual:</w:t>
      </w:r>
    </w:p>
    <w:p>
      <w:pPr>
        <w:spacing w:after="0" w:line="164" w:lineRule="exact"/>
        <w:rPr>
          <w:sz w:val="20"/>
          <w:szCs w:val="20"/>
          <w:color w:val="auto"/>
        </w:rPr>
      </w:pPr>
    </w:p>
    <w:p>
      <w:pPr>
        <w:ind w:left="1460" w:hanging="266"/>
        <w:spacing w:after="0"/>
        <w:tabs>
          <w:tab w:leader="none" w:pos="1460" w:val="left"/>
        </w:tabs>
        <w:numPr>
          <w:ilvl w:val="1"/>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files any document containing the trade secret under seal; and</w:t>
      </w:r>
    </w:p>
    <w:p>
      <w:pPr>
        <w:spacing w:after="0" w:line="202" w:lineRule="exact"/>
        <w:rPr>
          <w:rFonts w:ascii="Times New Roman" w:cs="Times New Roman" w:eastAsia="Times New Roman" w:hAnsi="Times New Roman"/>
          <w:sz w:val="17"/>
          <w:szCs w:val="17"/>
          <w:b w:val="1"/>
          <w:bCs w:val="1"/>
          <w:color w:val="auto"/>
        </w:rPr>
      </w:pPr>
    </w:p>
    <w:p>
      <w:pPr>
        <w:ind w:left="1460" w:hanging="266"/>
        <w:spacing w:after="0"/>
        <w:tabs>
          <w:tab w:leader="none" w:pos="1460" w:val="left"/>
        </w:tabs>
        <w:numPr>
          <w:ilvl w:val="1"/>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does not disclose the trade secret, except pursuant to court order.</w:t>
      </w:r>
    </w:p>
    <w:p>
      <w:pPr>
        <w:spacing w:after="0" w:line="206" w:lineRule="exact"/>
        <w:rPr>
          <w:rFonts w:ascii="Times New Roman" w:cs="Times New Roman" w:eastAsia="Times New Roman" w:hAnsi="Times New Roman"/>
          <w:sz w:val="17"/>
          <w:szCs w:val="17"/>
          <w:b w:val="1"/>
          <w:bCs w:val="1"/>
          <w:color w:val="auto"/>
        </w:rPr>
      </w:pPr>
    </w:p>
    <w:p>
      <w:pPr>
        <w:ind w:left="880" w:hanging="283"/>
        <w:spacing w:after="0"/>
        <w:tabs>
          <w:tab w:leader="none" w:pos="8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Noncompetition and Nonsolicitation</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jc w:val="both"/>
        <w:ind w:firstLine="1194"/>
        <w:spacing w:after="0" w:line="246" w:lineRule="auto"/>
        <w:tabs>
          <w:tab w:leader="none" w:pos="15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of my Engagement with the Company, and for the twelve (12) months thereafter (the “Restricted Period”), I will not be employed by, act on behalf of any other person or entity or group within an entity or its affiliate (either as an officer, director, consultant or in any other capacity) or own any interest in any person or entity or group within an entity or its affiliate that (i) is during the term of my Engagement, a past, current or prospective client of or investor in the Company, (ii) acts or attempts to act as a market maker or engages in proprietary trading of financial products or instruments, or buying, selling, trading or engaging in any other similar transactions to facilitate a customer or client order, (iii) is engaged in any business or activity that is similar to or directly competitive with that of the Company (including, without limitation, areas in which the Company is or has conducted business and areas in which it is contemplating doing business) unless such employment or other arrangement has been approved by the Company in advance in writing. During the Restricted Period, I will not solicit, attempt to solicit, participate in any solicitation, or otherwise advise, induce or encourage any current or prospective employee, consultant, independent contractor, agent, client or representative of, or any vendor or supplier to, the Company to terminate his, her or its relationship with the Company or to enter into a business or employment relationship of any kind with any other individual or entity. Additionally, during the Restricted Period, I will not solicit or accept funds from any actual or prospective client, shareholder or investor of the Company, nor will I encourage any such actual or prospective client, shareholder or investor to decline, terminate or reduce its current or prospective business relationship with the Company.</w:t>
      </w:r>
    </w:p>
    <w:p>
      <w:pPr>
        <w:spacing w:after="0" w:line="183" w:lineRule="exact"/>
        <w:rPr>
          <w:rFonts w:ascii="Times New Roman" w:cs="Times New Roman" w:eastAsia="Times New Roman" w:hAnsi="Times New Roman"/>
          <w:sz w:val="17"/>
          <w:szCs w:val="17"/>
          <w:color w:val="auto"/>
        </w:rPr>
      </w:pPr>
    </w:p>
    <w:p>
      <w:pPr>
        <w:jc w:val="both"/>
        <w:ind w:firstLine="1194"/>
        <w:spacing w:after="0" w:line="263" w:lineRule="auto"/>
        <w:tabs>
          <w:tab w:leader="none" w:pos="1557"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acknowledge and agree that the provisions of this Section 2 (the “Restrictive Covenants”) are reasonable and valid in geographical and temporal scope and in all other respects, and are necessary in order to secure for the Company the benefits for which it has contracted (specifically, the world-wide scope is necessary because trading markets operate without regard to geographic boundaries). In particular, I understand that the provisions of this Section 2 may limit my ability to earn a livelihood in a business similar to the business of the Company but nevertheless agree and hereby acknowledge that (i) such provisions do not impose a greater restraint than is necessary to protect the goodwill or other business interests of the Company, (ii) such provisions contain reasonable limitations as to time and scope of activity to be restrained, (iii) such provisions are not harmful to the general public, (iv) such provisions are not unduly burdensome to me, and (v) the consideration provided hereunder is sufficient to compensate me for the restrictions contained in such provisions. In consideration thereof and in light of my education, skills and abilities, I agree that I will not assert in any forum that such provisions prevent me from earning a living or otherwise are void or unenforceable or should be held void or unenforceable; provided, however, that no provision of this Section 2 shall prohibit me from merely owning up to 1% of outstanding capital stock of any corporation that is actively traded in any national securities market. However, if any court or authority determines that any of the Restrictive Covenants, or any part thereof, is invalid or unenforceable, I agree that the remainder of the Restrictive Covenants shall not thereby be affected and shall be given full effect without regard to</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052" w:right="339" w:bottom="1440" w:gutter="0" w:footer="0" w:header="0"/>
        </w:sectPr>
      </w:pPr>
    </w:p>
    <w:bookmarkStart w:id="105" w:name="page106"/>
    <w:bookmarkEnd w:id="105"/>
    <w:p>
      <w:pPr>
        <w:jc w:val="both"/>
        <w:spacing w:after="0" w:line="25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the invalid portions, and that if any court determines that any of the Restrictive Covenants, or any part thereof, is unenforceable because of the duration or geographical scope of such provision, such court shall have the power to reduce the duration or scope of such provision, and, in its reduced form, such provision shall then be enforceable against me. I also acknowledge that the Company would not have entered into an at will employment relationship with me unless I agree to such restrictions and limitations.</w:t>
      </w:r>
    </w:p>
    <w:p>
      <w:pPr>
        <w:spacing w:after="0" w:line="174" w:lineRule="exact"/>
        <w:rPr>
          <w:sz w:val="20"/>
          <w:szCs w:val="20"/>
          <w:color w:val="auto"/>
        </w:rPr>
      </w:pPr>
    </w:p>
    <w:p>
      <w:pPr>
        <w:jc w:val="both"/>
        <w:ind w:firstLine="597"/>
        <w:spacing w:after="0" w:line="256" w:lineRule="auto"/>
        <w:tabs>
          <w:tab w:leader="none" w:pos="88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Disparaging or Defamatory Statements</w:t>
      </w:r>
      <w:r>
        <w:rPr>
          <w:rFonts w:ascii="Times New Roman" w:cs="Times New Roman" w:eastAsia="Times New Roman" w:hAnsi="Times New Roman"/>
          <w:sz w:val="17"/>
          <w:szCs w:val="17"/>
          <w:color w:val="auto"/>
        </w:rPr>
        <w:t>. I shall not, during either the course of my Engagement by the Company or the Restricted Period, make, publish, or otherwise transmit any disparaging or defamatory statements, whether written or oral, or give interviews, provide comment, information or opinions, positive or negative, to any publicly available media resource or employee, contractor or representative, regardless of the format and intent of that media.</w:t>
      </w:r>
    </w:p>
    <w:p>
      <w:pPr>
        <w:spacing w:after="0" w:line="170" w:lineRule="exact"/>
        <w:rPr>
          <w:rFonts w:ascii="Times New Roman" w:cs="Times New Roman" w:eastAsia="Times New Roman" w:hAnsi="Times New Roman"/>
          <w:sz w:val="17"/>
          <w:szCs w:val="17"/>
          <w:color w:val="auto"/>
        </w:rPr>
      </w:pPr>
    </w:p>
    <w:p>
      <w:pPr>
        <w:ind w:left="880" w:hanging="283"/>
        <w:spacing w:after="0"/>
        <w:tabs>
          <w:tab w:leader="none" w:pos="8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of Work Product; Inventions</w:t>
      </w:r>
      <w:r>
        <w:rPr>
          <w:rFonts w:ascii="Times New Roman" w:cs="Times New Roman" w:eastAsia="Times New Roman" w:hAnsi="Times New Roman"/>
          <w:sz w:val="17"/>
          <w:szCs w:val="17"/>
          <w:color w:val="auto"/>
        </w:rPr>
        <w:t>.</w:t>
      </w:r>
    </w:p>
    <w:p>
      <w:pPr>
        <w:spacing w:after="0" w:line="202" w:lineRule="exact"/>
        <w:rPr>
          <w:rFonts w:ascii="Times New Roman" w:cs="Times New Roman" w:eastAsia="Times New Roman" w:hAnsi="Times New Roman"/>
          <w:sz w:val="17"/>
          <w:szCs w:val="17"/>
          <w:color w:val="auto"/>
        </w:rPr>
      </w:pPr>
    </w:p>
    <w:p>
      <w:pPr>
        <w:jc w:val="both"/>
        <w:ind w:firstLine="1194"/>
        <w:spacing w:after="0" w:line="256" w:lineRule="auto"/>
        <w:tabs>
          <w:tab w:leader="none" w:pos="159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acknowledge and agree that the results of all work and tasks performed by me for or on behalf of the Company, or in connection therewith, including without limitation all source code, software, algorithms, strategies, methods, processes, materials, designs, plans and other works (the “Works”) and Inventions, as defined below, are owned by the Company.</w:t>
      </w:r>
    </w:p>
    <w:p>
      <w:pPr>
        <w:spacing w:after="0" w:line="170" w:lineRule="exact"/>
        <w:rPr>
          <w:rFonts w:ascii="Times New Roman" w:cs="Times New Roman" w:eastAsia="Times New Roman" w:hAnsi="Times New Roman"/>
          <w:sz w:val="17"/>
          <w:szCs w:val="17"/>
          <w:color w:val="auto"/>
        </w:rPr>
      </w:pPr>
    </w:p>
    <w:p>
      <w:pPr>
        <w:jc w:val="both"/>
        <w:ind w:firstLine="1194"/>
        <w:spacing w:after="0" w:line="250" w:lineRule="auto"/>
        <w:tabs>
          <w:tab w:leader="none" w:pos="155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acknowledge and agree that, to the fullest extent allowed by law, all of the Works are “works made for hire", as that phrase is defined in the U.S. Copyright Act of 1976, as amended (17 U.S.C. § 101) (the “Act”), in that either (i) such Works are and will be prepared within the scope of my employment whether or not such Works are prepared during normal working hours or on the premises of the Company; or (ii) such Works have been and will be specifically ordered or commissioned for use as set forth in the Act. The Company shall therefore be deemed to be the sole author and owner of any and all right, title, and interest therein, including, without limitation, intellectual property rights.</w:t>
      </w:r>
    </w:p>
    <w:p>
      <w:pPr>
        <w:spacing w:after="0" w:line="176" w:lineRule="exact"/>
        <w:rPr>
          <w:rFonts w:ascii="Times New Roman" w:cs="Times New Roman" w:eastAsia="Times New Roman" w:hAnsi="Times New Roman"/>
          <w:sz w:val="17"/>
          <w:szCs w:val="17"/>
          <w:color w:val="auto"/>
        </w:rPr>
      </w:pPr>
    </w:p>
    <w:p>
      <w:pPr>
        <w:ind w:firstLine="1194"/>
        <w:spacing w:after="0" w:line="269" w:lineRule="auto"/>
        <w:tabs>
          <w:tab w:leader="none" w:pos="154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such Works are not owned by the Company or do not qualify for any reason as works made for hire, and to the extent that I may have or acquire any right, title, or interest in such Works, I hereby assign to the Company any and all such right, title, and interest in and to the Works.</w:t>
      </w:r>
    </w:p>
    <w:p>
      <w:pPr>
        <w:spacing w:after="0" w:line="159" w:lineRule="exact"/>
        <w:rPr>
          <w:rFonts w:ascii="Times New Roman" w:cs="Times New Roman" w:eastAsia="Times New Roman" w:hAnsi="Times New Roman"/>
          <w:sz w:val="17"/>
          <w:szCs w:val="17"/>
          <w:color w:val="auto"/>
        </w:rPr>
      </w:pPr>
    </w:p>
    <w:p>
      <w:pPr>
        <w:jc w:val="both"/>
        <w:ind w:firstLine="1194"/>
        <w:spacing w:after="0" w:line="248" w:lineRule="auto"/>
        <w:tabs>
          <w:tab w:leader="none" w:pos="155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agree to make full and prompt disclosure to the Company of any inventions or processes (as such terms are defined in 35 U.S.C. § 100) made or conceived by me alone or with others during the course of my Engagement by the Company (any such inventions or processes hereinafter referred to as the “Inventions”), whether or not such Inventions are patentable or protected as trade secrets and whether or not such Inventions are made or conceived during normal working hours or on the premises of the Company. Notwithstanding such full and prompt disclosure, my agreement to assign, as set forth in paragraph (c) above, shall not apply to any Inventions that were conceived and developed without the use of the Company's equipment, supplies, facilities, or Confidential Information and were developed entirely on my own time (“Personal Inventions”), unless (i) the Inventions relate to the business of the Company or to the Company's actual or anticipated research or development; or (ii) the Inventions result, in whole or in part, in any way, from any work performed by me for the Company.</w:t>
      </w:r>
    </w:p>
    <w:p>
      <w:pPr>
        <w:spacing w:after="0" w:line="178" w:lineRule="exact"/>
        <w:rPr>
          <w:rFonts w:ascii="Times New Roman" w:cs="Times New Roman" w:eastAsia="Times New Roman" w:hAnsi="Times New Roman"/>
          <w:sz w:val="17"/>
          <w:szCs w:val="17"/>
          <w:color w:val="auto"/>
        </w:rPr>
      </w:pPr>
    </w:p>
    <w:p>
      <w:pPr>
        <w:jc w:val="both"/>
        <w:ind w:firstLine="1194"/>
        <w:spacing w:after="0" w:line="249" w:lineRule="auto"/>
        <w:tabs>
          <w:tab w:leader="none" w:pos="155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agree that I will not incorporate any protectable materials, works or inventions created or developed prior to my employment or engagement by Company (“Prior Work or Invention”), or which I know or have reason to know are owned by a third party (“Third Party Work or Invention”) into any Works or Inventions I create or develop for the Company without the Company’s prior written consent. Notwithstanding, if, in the course of my employment with the Company, I incorporate a Prior Works or Invention, I agree that the Company shall have, and I hereby grant to the Company, a perpetual, worldwide, irrevocable, royalty-free, fully paid-up, license to use for any and all purposes and in any manner any such Prior Works or Inventions as incorporated into a Work or Invention owned by the Company hereunder.</w:t>
      </w:r>
    </w:p>
    <w:p>
      <w:pPr>
        <w:spacing w:after="0" w:line="176" w:lineRule="exact"/>
        <w:rPr>
          <w:rFonts w:ascii="Times New Roman" w:cs="Times New Roman" w:eastAsia="Times New Roman" w:hAnsi="Times New Roman"/>
          <w:sz w:val="17"/>
          <w:szCs w:val="17"/>
          <w:color w:val="auto"/>
        </w:rPr>
      </w:pPr>
    </w:p>
    <w:p>
      <w:pPr>
        <w:jc w:val="both"/>
        <w:ind w:firstLine="1194"/>
        <w:spacing w:after="0" w:line="250" w:lineRule="auto"/>
        <w:tabs>
          <w:tab w:leader="none" w:pos="153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assignment of any Works under this Agreement includes all rights of paternity, integrity, disclosure and withdrawal and any other rights that may be known as or referred to as “moral rights” (collectively “Moral Rights”). To the extent such Moral Rights cannot be assigned under applicable law and to the extent the following is allowed by the laws in the various countries where such Moral Rights exist, I hereby waive such Moral Rights and consent to any action of the Company that would violate such Moral Rights in the absence of such consent, and acknowledge that Company may edit or alter the Works in any manner. I will confirm any such waivers and consents from time to time as requested by the Company.</w:t>
      </w:r>
    </w:p>
    <w:p>
      <w:pPr>
        <w:spacing w:after="0" w:line="200" w:lineRule="exact"/>
        <w:rPr>
          <w:sz w:val="20"/>
          <w:szCs w:val="20"/>
          <w:color w:val="auto"/>
        </w:rPr>
      </w:pPr>
    </w:p>
    <w:p>
      <w:pPr>
        <w:spacing w:after="0" w:line="35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006" w:right="339" w:bottom="1440" w:gutter="0" w:footer="0" w:header="0"/>
        </w:sectPr>
      </w:pPr>
    </w:p>
    <w:bookmarkStart w:id="106" w:name="page107"/>
    <w:bookmarkEnd w:id="106"/>
    <w:p>
      <w:pPr>
        <w:jc w:val="both"/>
        <w:ind w:left="-597" w:firstLine="1194"/>
        <w:spacing w:after="0" w:line="246" w:lineRule="auto"/>
        <w:tabs>
          <w:tab w:leader="none" w:pos="106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I agree to execute and deliver such assignments, copyright applications, patents, patent applications, licenses, and other documents as the Company may direct and to cooperate fully with the Company, both during and after the course of my Engagement by the Company, to enable the Company to secure and maintain in any and all countries the rights described and granted in paragraphs (a) through (f) above with respect to Works and Inventions. In the event the Company is unable, after reasonable effort, to obtain my signature on any such documents, I hereby irrevocably designate and appoint the Company through a duly authorized officer as my agent and attorney-in-fact, to act for and on my behalf solely to execute and file any such application or other document and do all other lawfully permitted acts to further the prosecution and issuance of patents, copyrights or other intellectual property protected related to Works and Inventions with the same legal force and effect as if I had executed them. I will assist the Company in every reasonable way, at Company’s expense, to obtain, and from time to time enforce, Company’s rights relating to Works and Inventions in any and all countries. My obligation to assist the Company with respect to right relating to such Company Works and Inventions shall continue beyond the termination of my employment, but the Company shall compensate me at a reasonable rate after my employment for the time actually spent by me at the Company’s request on such assistance. I will assist the Company in every reasonable way, at Company’s expense, to obtain, and from time to time enforce, Company’s rights relating to Works and Inventions in any and all countries. My obligation to assist the Company with respect to right relating to such Company Works and Inventions shall continue beyond the termination of my employment, but the Company shall compensate me at a reasonable rate after my employment for the time actually spent by me at the Company’s request on such assistance.</w:t>
      </w:r>
    </w:p>
    <w:p>
      <w:pPr>
        <w:spacing w:after="0" w:line="182" w:lineRule="exact"/>
        <w:rPr>
          <w:rFonts w:ascii="Times New Roman" w:cs="Times New Roman" w:eastAsia="Times New Roman" w:hAnsi="Times New Roman"/>
          <w:sz w:val="17"/>
          <w:szCs w:val="17"/>
          <w:color w:val="auto"/>
        </w:rPr>
      </w:pPr>
    </w:p>
    <w:p>
      <w:pPr>
        <w:jc w:val="both"/>
        <w:ind w:left="-597" w:firstLine="1194"/>
        <w:spacing w:after="0" w:line="256" w:lineRule="auto"/>
        <w:tabs>
          <w:tab w:leader="none" w:pos="106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agree that the Company shall determine, in its sole and absolute discretion, whether an application for patent, copyright registration, or any other intellectual property right shall be filed on any Works or Inventions assigned to the Company under this Agreement and whether such an application shall be prosecuted or abandoned prior to issuance or registration.</w:t>
      </w:r>
    </w:p>
    <w:p>
      <w:pPr>
        <w:spacing w:after="0" w:line="170" w:lineRule="exact"/>
        <w:rPr>
          <w:rFonts w:ascii="Times New Roman" w:cs="Times New Roman" w:eastAsia="Times New Roman" w:hAnsi="Times New Roman"/>
          <w:sz w:val="17"/>
          <w:szCs w:val="17"/>
          <w:color w:val="auto"/>
        </w:rPr>
      </w:pPr>
    </w:p>
    <w:p>
      <w:pPr>
        <w:ind w:left="283" w:hanging="283"/>
        <w:spacing w:after="0"/>
        <w:tabs>
          <w:tab w:leader="none" w:pos="28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27" w:lineRule="exact"/>
        <w:rPr>
          <w:rFonts w:ascii="Times New Roman" w:cs="Times New Roman" w:eastAsia="Times New Roman" w:hAnsi="Times New Roman"/>
          <w:sz w:val="17"/>
          <w:szCs w:val="17"/>
          <w:color w:val="auto"/>
        </w:rPr>
      </w:pPr>
    </w:p>
    <w:p>
      <w:pPr>
        <w:jc w:val="both"/>
        <w:ind w:left="-597" w:firstLine="1194"/>
        <w:spacing w:after="0" w:line="270" w:lineRule="auto"/>
        <w:tabs>
          <w:tab w:leader="none" w:pos="972"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I represent and warrant that I am not now and will not as of the date upon which my Engagement hereunder commences be under any obligation to any prior employer that is inconsistent with the terms of this Agreement, or with being engaged by the Company, and that, to the best of my knowledge, I have no present obligation to assign to any former employer or to any other non-Company person or entity, any Work or Invention covered by this Agreement. I have informed the Company if I have any obligations of confidentiality to any third party, and have disclosed the scope of such confidentiality obligations to the maximum extent necessary to provide the Company with an understanding of the limitations of such obligations without violating such obligations.</w:t>
      </w:r>
    </w:p>
    <w:p>
      <w:pPr>
        <w:spacing w:after="0" w:line="159" w:lineRule="exact"/>
        <w:rPr>
          <w:rFonts w:ascii="Times New Roman" w:cs="Times New Roman" w:eastAsia="Times New Roman" w:hAnsi="Times New Roman"/>
          <w:sz w:val="16"/>
          <w:szCs w:val="16"/>
          <w:color w:val="auto"/>
        </w:rPr>
      </w:pPr>
    </w:p>
    <w:p>
      <w:pPr>
        <w:jc w:val="both"/>
        <w:ind w:left="-597" w:firstLine="1194"/>
        <w:spacing w:after="0" w:line="270" w:lineRule="auto"/>
        <w:tabs>
          <w:tab w:leader="none" w:pos="1019"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Binding Effect; Third Party Beneficiary</w:t>
      </w:r>
      <w:r>
        <w:rPr>
          <w:rFonts w:ascii="Times New Roman" w:cs="Times New Roman" w:eastAsia="Times New Roman" w:hAnsi="Times New Roman"/>
          <w:sz w:val="16"/>
          <w:szCs w:val="16"/>
          <w:color w:val="auto"/>
        </w:rPr>
        <w:t>. I understand and acknowledge that my obligations under this Agreement shall survive the termination of my Engagement regardless of the manner of such termination and shall be binding upon my heirs, executors, administrators, legal representatives, and assigns. I also understand and acknowledge that this Agreement shall be binding upon and shall inure to the benefit of the subsidiaries, affiliates, successors, and assigns of the Company, including any person(s) or entity(ies) Person that acquires all or substantially all of the assets of the Company, whether by merger, consolidation, or otherwise. This Agreement does not create, and shall not be interpreted or construed to create, any rights enforceable by any person not a party to this Agreement.</w:t>
      </w:r>
    </w:p>
    <w:p>
      <w:pPr>
        <w:spacing w:after="0" w:line="159" w:lineRule="exact"/>
        <w:rPr>
          <w:rFonts w:ascii="Times New Roman" w:cs="Times New Roman" w:eastAsia="Times New Roman" w:hAnsi="Times New Roman"/>
          <w:sz w:val="16"/>
          <w:szCs w:val="16"/>
          <w:color w:val="auto"/>
        </w:rPr>
      </w:pPr>
    </w:p>
    <w:p>
      <w:pPr>
        <w:jc w:val="both"/>
        <w:ind w:left="-597" w:firstLine="1194"/>
        <w:spacing w:after="0" w:line="250" w:lineRule="auto"/>
        <w:tabs>
          <w:tab w:leader="none" w:pos="101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I acknowledge and agree that money damages for the breach or threatened breach of my obligations under this Agreement would be inadequate to properly compensate for losses resulting from my breach. Accordingly, I agree that in the event of a breach or threatened breach by me of any said undertakings, the Company will be entitled to temporary and permanent injunctive relief in any court of competent jurisdiction (without the need to post bond and without proving that damages would be inadequate). The rights and remedies provided for or in this Agreement are cumulative and shall be in addition to rights and remedies otherwise available to the parties hereunder or under any other agreement or applicable law.</w:t>
      </w:r>
    </w:p>
    <w:p>
      <w:pPr>
        <w:spacing w:after="0" w:line="176" w:lineRule="exact"/>
        <w:rPr>
          <w:rFonts w:ascii="Times New Roman" w:cs="Times New Roman" w:eastAsia="Times New Roman" w:hAnsi="Times New Roman"/>
          <w:sz w:val="17"/>
          <w:szCs w:val="17"/>
          <w:color w:val="auto"/>
        </w:rPr>
      </w:pPr>
    </w:p>
    <w:p>
      <w:pPr>
        <w:jc w:val="both"/>
        <w:ind w:left="-597" w:firstLine="1194"/>
        <w:spacing w:after="0" w:line="252" w:lineRule="auto"/>
        <w:tabs>
          <w:tab w:leader="none" w:pos="95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validity and interpretation of this Agreement shall be governed by, and construed and enforced in accordance with, the laws of the State of New York applicable to agreements made and to be performed entirely within such state (excluding the conflicts of laws provisions thereof). Any claim or action relating to or arising out of this Agreement or the subject matter hereof shall be subject to the arbitration provisions set forth in the offer letter, or in the event that there are no such provisions or they are not enforceable,</w:t>
      </w:r>
    </w:p>
    <w:p>
      <w:pPr>
        <w:spacing w:after="0" w:line="200" w:lineRule="exact"/>
        <w:rPr>
          <w:sz w:val="20"/>
          <w:szCs w:val="20"/>
          <w:color w:val="auto"/>
        </w:rPr>
      </w:pPr>
    </w:p>
    <w:p>
      <w:pPr>
        <w:spacing w:after="0" w:line="351" w:lineRule="exact"/>
        <w:rPr>
          <w:sz w:val="20"/>
          <w:szCs w:val="20"/>
          <w:color w:val="auto"/>
        </w:rPr>
      </w:pPr>
    </w:p>
    <w:p>
      <w:pPr>
        <w:ind w:left="10543"/>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643"/>
          </w:cols>
          <w:pgMar w:left="917" w:top="1006" w:right="339" w:bottom="1440" w:gutter="0" w:footer="0" w:header="0"/>
        </w:sectPr>
      </w:pPr>
    </w:p>
    <w:bookmarkStart w:id="107" w:name="page108"/>
    <w:bookmarkEnd w:id="107"/>
    <w:p>
      <w:pPr>
        <w:jc w:val="both"/>
        <w:spacing w:after="0" w:line="26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then I expressly consent that any action, suit, or proceeding relating to or arising out of this Agreement or the subject matter hereof may be brought exclusively in any federal or state court sitting in the State of New York. I hereby waive and agree not to assert in any such action, suit, or proceeding, in each case to the fullest extent permitted by applicable law, any claim that (i) I am not personally subject to the jurisdiction of any such court; (ii) any such action, suit, or proceeding is brought in an inconvenient forum (</w:t>
      </w:r>
      <w:r>
        <w:rPr>
          <w:rFonts w:ascii="Times New Roman" w:cs="Times New Roman" w:eastAsia="Times New Roman" w:hAnsi="Times New Roman"/>
          <w:sz w:val="16"/>
          <w:szCs w:val="16"/>
          <w:i w:val="1"/>
          <w:iCs w:val="1"/>
          <w:color w:val="auto"/>
        </w:rPr>
        <w:t>forum non conveniens</w:t>
      </w:r>
      <w:r>
        <w:rPr>
          <w:rFonts w:ascii="Times New Roman" w:cs="Times New Roman" w:eastAsia="Times New Roman" w:hAnsi="Times New Roman"/>
          <w:sz w:val="16"/>
          <w:szCs w:val="16"/>
          <w:color w:val="auto"/>
        </w:rPr>
        <w:t xml:space="preserve">); or (iii) the venue of any such action, suit, or proceeding is improper. </w:t>
      </w:r>
      <w:r>
        <w:rPr>
          <w:rFonts w:ascii="Times New Roman" w:cs="Times New Roman" w:eastAsia="Times New Roman" w:hAnsi="Times New Roman"/>
          <w:sz w:val="16"/>
          <w:szCs w:val="16"/>
          <w:b w:val="1"/>
          <w:bCs w:val="1"/>
          <w:color w:val="auto"/>
        </w:rPr>
        <w:t>THE PARTIES EXPRESSLY AND KNOWINGLY</w:t>
      </w:r>
    </w:p>
    <w:p>
      <w:pPr>
        <w:jc w:val="both"/>
        <w:spacing w:after="0" w:line="248" w:lineRule="auto"/>
        <w:rPr>
          <w:sz w:val="20"/>
          <w:szCs w:val="20"/>
          <w:color w:val="auto"/>
        </w:rPr>
      </w:pPr>
      <w:r>
        <w:rPr>
          <w:rFonts w:ascii="Times New Roman" w:cs="Times New Roman" w:eastAsia="Times New Roman" w:hAnsi="Times New Roman"/>
          <w:sz w:val="17"/>
          <w:szCs w:val="17"/>
          <w:b w:val="1"/>
          <w:bCs w:val="1"/>
          <w:color w:val="auto"/>
        </w:rPr>
        <w:t>WAIVE ANY RIGHT TO A JURY TRIAL IN THE EVENT ANY ACTION ARISING UNDER OR IN CONNECTION WITH THIS AGREEMENT IS LITIGATED OR HEARD IN ANY COURT.</w:t>
      </w:r>
    </w:p>
    <w:p>
      <w:pPr>
        <w:spacing w:after="0" w:line="177" w:lineRule="exact"/>
        <w:rPr>
          <w:sz w:val="20"/>
          <w:szCs w:val="20"/>
          <w:color w:val="auto"/>
        </w:rPr>
      </w:pPr>
    </w:p>
    <w:p>
      <w:pPr>
        <w:jc w:val="both"/>
        <w:ind w:firstLine="1194"/>
        <w:spacing w:after="0" w:line="250" w:lineRule="auto"/>
        <w:tabs>
          <w:tab w:leader="none" w:pos="1557"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or portion of any provision, of this Agreement shall be held or deemed to be invalid, inoperative, or unenforceable for any reason, the remaining provisions of this Agreement and the remaining portion of any provision held invalid, inoperative, or unenforceable in part shall continue in full force and effect. In addition, if any provision is determined to be invalid or unenforceable due to its duration and/or scope, the duration and/or scope of such provision, as the case may be, shall be reduced, such reduction shall be to the smallest extent necessary to comply with applicable law, and such provision shall be enforceable, in its reduced form, to the fullest extent permitted by applicable law.</w:t>
      </w:r>
    </w:p>
    <w:p>
      <w:pPr>
        <w:spacing w:after="0" w:line="176" w:lineRule="exact"/>
        <w:rPr>
          <w:rFonts w:ascii="Times New Roman" w:cs="Times New Roman" w:eastAsia="Times New Roman" w:hAnsi="Times New Roman"/>
          <w:sz w:val="17"/>
          <w:szCs w:val="17"/>
          <w:color w:val="auto"/>
        </w:rPr>
      </w:pPr>
    </w:p>
    <w:p>
      <w:pPr>
        <w:jc w:val="both"/>
        <w:ind w:firstLine="1194"/>
        <w:spacing w:after="0" w:line="256" w:lineRule="auto"/>
        <w:tabs>
          <w:tab w:leader="none" w:pos="155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Waiver; Amendments</w:t>
      </w:r>
      <w:r>
        <w:rPr>
          <w:rFonts w:ascii="Times New Roman" w:cs="Times New Roman" w:eastAsia="Times New Roman" w:hAnsi="Times New Roman"/>
          <w:sz w:val="17"/>
          <w:szCs w:val="17"/>
          <w:color w:val="auto"/>
        </w:rPr>
        <w:t>. No delay or omission by either party in exercising any right under this Agreement shall operate as a waiver of that or any other right. This Agreement may not be altered, modified, or amended, in whole or in part, except by an agreement in writing signed by a duly authorized officer of the Company.</w:t>
      </w:r>
    </w:p>
    <w:p>
      <w:pPr>
        <w:spacing w:after="0" w:line="170" w:lineRule="exact"/>
        <w:rPr>
          <w:rFonts w:ascii="Times New Roman" w:cs="Times New Roman" w:eastAsia="Times New Roman" w:hAnsi="Times New Roman"/>
          <w:sz w:val="17"/>
          <w:szCs w:val="17"/>
          <w:color w:val="auto"/>
        </w:rPr>
      </w:pPr>
    </w:p>
    <w:p>
      <w:pPr>
        <w:jc w:val="both"/>
        <w:ind w:firstLine="1194"/>
        <w:spacing w:after="0" w:line="249" w:lineRule="auto"/>
        <w:tabs>
          <w:tab w:leader="none" w:pos="159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For purposes of this Agreement, all notices and other communications required or permitted hereunder shall be in writing and shall be deemed to have been duly given: (i) when delivered personally; (ii) on the business day following the day such notice or other communication is sent by recognized overnight courier; (iii) when sent by facsimile transmission; or (iv) if sent by certified or registered mail, postage prepaid, on the date of actual receipt thereof. Such communications shall be addressed to the respective addresses set forth on the first page of the letter from the Company offering employment (with any such communication to the Company directed to the attention of the General Counsel), or to such other address as either party may have furnished to the other in writing in accordance herewith, except that notice of change of address shall be effective only on the date of actual receipt thereof.</w:t>
      </w:r>
    </w:p>
    <w:p>
      <w:pPr>
        <w:spacing w:after="0" w:line="176" w:lineRule="exact"/>
        <w:rPr>
          <w:rFonts w:ascii="Times New Roman" w:cs="Times New Roman" w:eastAsia="Times New Roman" w:hAnsi="Times New Roman"/>
          <w:sz w:val="17"/>
          <w:szCs w:val="17"/>
          <w:color w:val="auto"/>
        </w:rPr>
      </w:pPr>
    </w:p>
    <w:p>
      <w:pPr>
        <w:jc w:val="both"/>
        <w:ind w:firstLine="1194"/>
        <w:spacing w:after="0" w:line="256" w:lineRule="auto"/>
        <w:tabs>
          <w:tab w:leader="none" w:pos="156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Engagement</w:t>
      </w:r>
      <w:r>
        <w:rPr>
          <w:rFonts w:ascii="Times New Roman" w:cs="Times New Roman" w:eastAsia="Times New Roman" w:hAnsi="Times New Roman"/>
          <w:sz w:val="17"/>
          <w:szCs w:val="17"/>
          <w:color w:val="auto"/>
        </w:rPr>
        <w:t>. I understand and agree that this Agreement does not constitute a contract of employment, retention or engagement or obligate the Company to employ, retain or engage me for any specified period of time, nor shall this Agreement be interpreted in any way to interfere with any right the Company has, or any right I have, to terminate my Engagement at any time.</w:t>
      </w:r>
    </w:p>
    <w:p>
      <w:pPr>
        <w:spacing w:after="0" w:line="170" w:lineRule="exact"/>
        <w:rPr>
          <w:rFonts w:ascii="Times New Roman" w:cs="Times New Roman" w:eastAsia="Times New Roman" w:hAnsi="Times New Roman"/>
          <w:sz w:val="17"/>
          <w:szCs w:val="17"/>
          <w:color w:val="auto"/>
        </w:rPr>
      </w:pPr>
    </w:p>
    <w:p>
      <w:pPr>
        <w:jc w:val="both"/>
        <w:ind w:firstLine="1194"/>
        <w:spacing w:after="0" w:line="256" w:lineRule="auto"/>
        <w:tabs>
          <w:tab w:leader="none" w:pos="157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 Headings</w:t>
      </w:r>
      <w:r>
        <w:rPr>
          <w:rFonts w:ascii="Times New Roman" w:cs="Times New Roman" w:eastAsia="Times New Roman" w:hAnsi="Times New Roman"/>
          <w:sz w:val="17"/>
          <w:szCs w:val="17"/>
          <w:color w:val="auto"/>
        </w:rPr>
        <w:t>. This Agreement may be executed in one or more counterparts, each of which when so executed shall be deemed an original and all of which, when taken together, shall constitute one and the same instrument. Headings and subheadings are for convenience only and shall in no way affect the interpretation of any provision of this Agreement or of the Agreement itself.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w:t>
      </w:r>
      <w:r>
        <w:rPr>
          <w:rFonts w:ascii="Times New Roman" w:cs="Times New Roman" w:eastAsia="Times New Roman" w:hAnsi="Times New Roman"/>
          <w:sz w:val="17"/>
          <w:szCs w:val="17"/>
          <w:color w:val="auto"/>
        </w:rPr>
        <w:t>]</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006" w:right="339" w:bottom="1440" w:gutter="0" w:footer="0" w:header="0"/>
        </w:sectPr>
      </w:pPr>
    </w:p>
    <w:bookmarkStart w:id="108" w:name="page109"/>
    <w:bookmarkEnd w:id="108"/>
    <w:p>
      <w:pPr>
        <w:ind w:left="12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6911340</wp:posOffset>
            </wp:positionH>
            <wp:positionV relativeFrom="page">
              <wp:posOffset>88900</wp:posOffset>
            </wp:positionV>
            <wp:extent cx="434340" cy="387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434340" cy="387350"/>
                    </a:xfrm>
                    <a:prstGeom prst="rect">
                      <a:avLst/>
                    </a:prstGeom>
                    <a:noFill/>
                  </pic:spPr>
                </pic:pic>
              </a:graphicData>
            </a:graphic>
          </wp:anchor>
        </w:drawing>
        <w:t>IN WITNESS WHEREOF, each party has caused this Agreement to be executed on its behalf by an officer thereunto duly authorized, all as of the date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above.</w:t>
      </w:r>
    </w:p>
    <w:p>
      <w:pPr>
        <w:spacing w:after="0" w:line="38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Sean Galvin</w:t>
      </w:r>
      <w:r>
        <w:rPr>
          <w:rFonts w:ascii="Times New Roman" w:cs="Times New Roman" w:eastAsia="Times New Roman" w:hAnsi="Times New Roman"/>
          <w:sz w:val="17"/>
          <w:szCs w:val="17"/>
          <w:color w:val="auto"/>
        </w:rPr>
        <w:t>________________</w:t>
      </w: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Name: Sean Galvin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AGREED TO AND ACCEPTED:</w:t>
      </w: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u w:val="single" w:color="auto"/>
          <w:color w:val="auto"/>
        </w:rPr>
        <w:t>/s/ Joseph Molluso</w:t>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Name: Joseph Molluso</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Title: Co-President &amp; Co-Chief Operating Officer</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006"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2015 MANAGEMENT INCENTIVE PLAN</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STOCK UNIT AWARD AGREEMENT</w:t>
      </w:r>
    </w:p>
    <w:p>
      <w:pPr>
        <w:spacing w:after="0" w:line="134" w:lineRule="exact"/>
        <w:rPr>
          <w:sz w:val="20"/>
          <w:szCs w:val="20"/>
          <w:color w:val="auto"/>
        </w:rPr>
      </w:pPr>
    </w:p>
    <w:p>
      <w:pPr>
        <w:ind w:right="20" w:firstLine="597"/>
        <w:spacing w:after="0" w:line="279" w:lineRule="auto"/>
        <w:rPr>
          <w:sz w:val="20"/>
          <w:szCs w:val="20"/>
          <w:color w:val="auto"/>
        </w:rPr>
      </w:pPr>
      <w:r>
        <w:rPr>
          <w:rFonts w:ascii="Times New Roman" w:cs="Times New Roman" w:eastAsia="Times New Roman" w:hAnsi="Times New Roman"/>
          <w:sz w:val="18"/>
          <w:szCs w:val="18"/>
          <w:color w:val="auto"/>
        </w:rPr>
        <w:t>THIS RESTRICTED STOCK UNIT AWARD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August 12, 2020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by and between Virtu Financial,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Sean Galvin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right="100" w:firstLine="597"/>
        <w:spacing w:after="0" w:line="279" w:lineRule="auto"/>
        <w:rPr>
          <w:sz w:val="20"/>
          <w:szCs w:val="20"/>
          <w:color w:val="auto"/>
        </w:rPr>
      </w:pPr>
      <w:r>
        <w:rPr>
          <w:rFonts w:ascii="Times New Roman" w:cs="Times New Roman" w:eastAsia="Times New Roman" w:hAnsi="Times New Roman"/>
          <w:sz w:val="18"/>
          <w:szCs w:val="18"/>
          <w:color w:val="auto"/>
        </w:rPr>
        <w:t>WHEREAS, the Company has adopted the Virtu Financial, Inc. Amended and Restated 2015 Management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which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may be granted; and</w:t>
      </w:r>
    </w:p>
    <w:p>
      <w:pPr>
        <w:spacing w:after="0" w:line="91" w:lineRule="exact"/>
        <w:rPr>
          <w:sz w:val="20"/>
          <w:szCs w:val="20"/>
          <w:color w:val="auto"/>
        </w:rPr>
      </w:pPr>
    </w:p>
    <w:p>
      <w:pPr>
        <w:ind w:right="680" w:firstLine="597"/>
        <w:spacing w:after="0" w:line="279"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91"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52" w:lineRule="exact"/>
        <w:rPr>
          <w:sz w:val="20"/>
          <w:szCs w:val="20"/>
          <w:color w:val="auto"/>
        </w:rPr>
      </w:pPr>
    </w:p>
    <w:p>
      <w:pPr>
        <w:ind w:left="320" w:hanging="320"/>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Restricted Stock Units.</w:t>
      </w:r>
    </w:p>
    <w:p>
      <w:pPr>
        <w:spacing w:after="0" w:line="207" w:lineRule="exact"/>
        <w:rPr>
          <w:rFonts w:ascii="Times New Roman" w:cs="Times New Roman" w:eastAsia="Times New Roman" w:hAnsi="Times New Roman"/>
          <w:sz w:val="18"/>
          <w:szCs w:val="18"/>
          <w:b w:val="1"/>
          <w:bCs w:val="1"/>
          <w:color w:val="auto"/>
        </w:rPr>
      </w:pPr>
    </w:p>
    <w:p>
      <w:pPr>
        <w:jc w:val="both"/>
        <w:ind w:right="40" w:firstLine="597"/>
        <w:spacing w:after="0" w:line="256" w:lineRule="auto"/>
        <w:tabs>
          <w:tab w:leader="none" w:pos="9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Participant a total number of RSUs equal to $300,000 divided by the Issue Price on the terms and conditions set forth in this Agreement and as otherwise provided in the Plan. The RSUs shall be credited to a separate book-entry account maintained for the Participant on the books of the Company, which may be maintained by a third party. The “</w:t>
      </w:r>
      <w:r>
        <w:rPr>
          <w:rFonts w:ascii="Times New Roman" w:cs="Times New Roman" w:eastAsia="Times New Roman" w:hAnsi="Times New Roman"/>
          <w:sz w:val="18"/>
          <w:szCs w:val="18"/>
          <w:u w:val="single" w:color="auto"/>
          <w:color w:val="auto"/>
        </w:rPr>
        <w:t>Issue Price</w:t>
      </w:r>
      <w:r>
        <w:rPr>
          <w:rFonts w:ascii="Times New Roman" w:cs="Times New Roman" w:eastAsia="Times New Roman" w:hAnsi="Times New Roman"/>
          <w:sz w:val="18"/>
          <w:szCs w:val="18"/>
          <w:color w:val="auto"/>
        </w:rPr>
        <w:t>” shall mean the volume weighted average price of shares of the Company’s Class A Common Stock traded during the three days preceding the Date of Grant, as determined by the Company.</w:t>
      </w:r>
    </w:p>
    <w:p>
      <w:pPr>
        <w:spacing w:after="0" w:line="162" w:lineRule="exact"/>
        <w:rPr>
          <w:rFonts w:ascii="Times New Roman" w:cs="Times New Roman" w:eastAsia="Times New Roman" w:hAnsi="Times New Roman"/>
          <w:sz w:val="18"/>
          <w:szCs w:val="18"/>
          <w:color w:val="auto"/>
        </w:rPr>
      </w:pPr>
    </w:p>
    <w:p>
      <w:pPr>
        <w:ind w:firstLine="597"/>
        <w:spacing w:after="0" w:line="250" w:lineRule="auto"/>
        <w:tabs>
          <w:tab w:leader="none" w:pos="9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6"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and Settlement.</w:t>
      </w:r>
    </w:p>
    <w:p>
      <w:pPr>
        <w:spacing w:after="0" w:line="207" w:lineRule="exact"/>
        <w:rPr>
          <w:rFonts w:ascii="Times New Roman" w:cs="Times New Roman" w:eastAsia="Times New Roman" w:hAnsi="Times New Roman"/>
          <w:sz w:val="18"/>
          <w:szCs w:val="18"/>
          <w:b w:val="1"/>
          <w:bCs w:val="1"/>
          <w:color w:val="auto"/>
        </w:rPr>
      </w:pPr>
    </w:p>
    <w:p>
      <w:pPr>
        <w:ind w:firstLine="597"/>
        <w:spacing w:after="0" w:line="253" w:lineRule="auto"/>
        <w:tabs>
          <w:tab w:leader="none" w:pos="9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ectPr>
          <w:pgSz w:w="11900" w:h="16838" w:orient="portrait"/>
          <w:cols w:equalWidth="0" w:num="1">
            <w:col w:w="11220"/>
          </w:cols>
          <w:pgMar w:left="320" w:top="1309" w:right="359" w:bottom="1440" w:gutter="0" w:footer="0" w:header="0"/>
        </w:sectPr>
      </w:pPr>
    </w:p>
    <w:bookmarkStart w:id="110" w:name="page111"/>
    <w:bookmarkEnd w:id="110"/>
    <w:p>
      <w:pPr>
        <w:ind w:firstLine="597"/>
        <w:spacing w:after="0" w:line="279" w:lineRule="auto"/>
        <w:tabs>
          <w:tab w:leader="none" w:pos="98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 shall be settled within ten (10) days following the Vesting Date for such RSUs in shares of Class A Common Stock, or cash, as determined by the Committee in its sole discretion.</w:t>
      </w:r>
    </w:p>
    <w:p>
      <w:pPr>
        <w:spacing w:after="0" w:line="136" w:lineRule="exact"/>
        <w:rPr>
          <w:rFonts w:ascii="Times New Roman" w:cs="Times New Roman" w:eastAsia="Times New Roman" w:hAnsi="Times New Roman"/>
          <w:sz w:val="18"/>
          <w:szCs w:val="18"/>
          <w:color w:val="auto"/>
        </w:rPr>
      </w:pPr>
    </w:p>
    <w:p>
      <w:pPr>
        <w:ind w:right="80"/>
        <w:spacing w:after="0" w:line="264" w:lineRule="auto"/>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In the event of any issuance of a cash dividend on the shares of Class A Common Stock (a “</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the Participant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50" w:lineRule="exact"/>
        <w:rPr>
          <w:rFonts w:ascii="Times New Roman" w:cs="Times New Roman" w:eastAsia="Times New Roman" w:hAnsi="Times New Roman"/>
          <w:sz w:val="18"/>
          <w:szCs w:val="18"/>
          <w:b w:val="1"/>
          <w:bCs w:val="1"/>
          <w:color w:val="auto"/>
        </w:rPr>
      </w:pPr>
    </w:p>
    <w:p>
      <w:pPr>
        <w:ind w:right="140"/>
        <w:spacing w:after="0" w:line="284" w:lineRule="auto"/>
        <w:tabs>
          <w:tab w:leader="none" w:pos="31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or Service. </w:t>
      </w:r>
      <w:r>
        <w:rPr>
          <w:rFonts w:ascii="Times New Roman" w:cs="Times New Roman" w:eastAsia="Times New Roman" w:hAnsi="Times New Roman"/>
          <w:sz w:val="18"/>
          <w:szCs w:val="18"/>
          <w:color w:val="auto"/>
        </w:rPr>
        <w:t>If the Participant’s employment or service with the Company and its Affiliates terminates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unvested RSUs shall be cancelled immediately and the Participant shall not be entitled to receive any payments with respect thereto.</w:t>
      </w:r>
    </w:p>
    <w:p>
      <w:pPr>
        <w:spacing w:after="0" w:line="132" w:lineRule="exact"/>
        <w:rPr>
          <w:rFonts w:ascii="Times New Roman" w:cs="Times New Roman" w:eastAsia="Times New Roman" w:hAnsi="Times New Roman"/>
          <w:sz w:val="18"/>
          <w:szCs w:val="18"/>
          <w:b w:val="1"/>
          <w:bCs w:val="1"/>
          <w:color w:val="auto"/>
        </w:rPr>
      </w:pPr>
    </w:p>
    <w:p>
      <w:pPr>
        <w:ind w:right="180"/>
        <w:spacing w:after="0" w:line="255" w:lineRule="auto"/>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The Participant shall not be deemed for any purpose to be the owner of any shares of Class A Common Stock underlying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7" w:lineRule="exact"/>
        <w:rPr>
          <w:rFonts w:ascii="Times New Roman" w:cs="Times New Roman" w:eastAsia="Times New Roman" w:hAnsi="Times New Roman"/>
          <w:sz w:val="18"/>
          <w:szCs w:val="18"/>
          <w:b w:val="1"/>
          <w:bCs w:val="1"/>
          <w:color w:val="auto"/>
        </w:rPr>
      </w:pPr>
    </w:p>
    <w:p>
      <w:pPr>
        <w:ind w:left="320" w:hanging="320"/>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Legal Requirements.</w:t>
      </w:r>
    </w:p>
    <w:p>
      <w:pPr>
        <w:spacing w:after="0" w:line="207" w:lineRule="exact"/>
        <w:rPr>
          <w:rFonts w:ascii="Times New Roman" w:cs="Times New Roman" w:eastAsia="Times New Roman" w:hAnsi="Times New Roman"/>
          <w:sz w:val="18"/>
          <w:szCs w:val="18"/>
          <w:b w:val="1"/>
          <w:bCs w:val="1"/>
          <w:color w:val="auto"/>
        </w:rPr>
      </w:pPr>
    </w:p>
    <w:p>
      <w:pPr>
        <w:ind w:right="60" w:firstLine="597"/>
        <w:spacing w:after="0" w:line="253" w:lineRule="auto"/>
        <w:tabs>
          <w:tab w:leader="none" w:pos="98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65" w:lineRule="exact"/>
        <w:rPr>
          <w:rFonts w:ascii="Times New Roman" w:cs="Times New Roman" w:eastAsia="Times New Roman" w:hAnsi="Times New Roman"/>
          <w:sz w:val="18"/>
          <w:szCs w:val="18"/>
          <w:color w:val="auto"/>
        </w:rPr>
      </w:pPr>
    </w:p>
    <w:p>
      <w:pPr>
        <w:ind w:right="80" w:firstLine="597"/>
        <w:spacing w:after="0" w:line="250" w:lineRule="auto"/>
        <w:tabs>
          <w:tab w:leader="none" w:pos="99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Withholding</w:t>
      </w:r>
      <w:r>
        <w:rPr>
          <w:rFonts w:ascii="Times New Roman" w:cs="Times New Roman" w:eastAsia="Times New Roman" w:hAnsi="Times New Roman"/>
          <w:sz w:val="18"/>
          <w:szCs w:val="18"/>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62" w:lineRule="exact"/>
        <w:rPr>
          <w:rFonts w:ascii="Times New Roman" w:cs="Times New Roman" w:eastAsia="Times New Roman" w:hAnsi="Times New Roman"/>
          <w:sz w:val="18"/>
          <w:szCs w:val="18"/>
          <w:color w:val="auto"/>
        </w:rPr>
      </w:pPr>
    </w:p>
    <w:p>
      <w:pPr>
        <w:jc w:val="both"/>
        <w:spacing w:after="0" w:line="258" w:lineRule="auto"/>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 </w:t>
      </w:r>
      <w:r>
        <w:rPr>
          <w:rFonts w:ascii="Times New Roman" w:cs="Times New Roman" w:eastAsia="Times New Roman" w:hAnsi="Times New Roman"/>
          <w:sz w:val="18"/>
          <w:szCs w:val="18"/>
          <w:color w:val="auto"/>
        </w:rPr>
        <w:t>Notwithstanding anything to the contrary contained herein, the Committee may cancel the RSU award if the Participant,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13" w:right="339" w:bottom="1440" w:gutter="0" w:footer="0" w:header="0"/>
        </w:sectPr>
      </w:pPr>
    </w:p>
    <w:bookmarkStart w:id="111" w:name="page112"/>
    <w:bookmarkEnd w:id="111"/>
    <w:p>
      <w:pPr>
        <w:spacing w:after="0" w:line="249" w:lineRule="auto"/>
        <w:rPr>
          <w:sz w:val="20"/>
          <w:szCs w:val="20"/>
          <w:color w:val="auto"/>
        </w:rPr>
      </w:pPr>
      <w:r>
        <w:rPr>
          <w:rFonts w:ascii="Times New Roman" w:cs="Times New Roman" w:eastAsia="Times New Roman" w:hAnsi="Times New Roman"/>
          <w:sz w:val="18"/>
          <w:szCs w:val="18"/>
          <w:color w:val="auto"/>
        </w:rPr>
        <w:t>non-disparagement, non-disclosure or confidentiality covenant or agreement with the Company or any Affiliate, as determined by the Committee. In such event, the Participant will forfeit any compensation, gain or other value realized previously or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66" w:lineRule="exact"/>
        <w:rPr>
          <w:sz w:val="20"/>
          <w:szCs w:val="20"/>
          <w:color w:val="auto"/>
        </w:rPr>
      </w:pPr>
    </w:p>
    <w:p>
      <w:pPr>
        <w:ind w:left="320" w:hanging="320"/>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Contractual Obligations.</w:t>
      </w:r>
    </w:p>
    <w:p>
      <w:pPr>
        <w:spacing w:after="0" w:line="207" w:lineRule="exact"/>
        <w:rPr>
          <w:rFonts w:ascii="Times New Roman" w:cs="Times New Roman" w:eastAsia="Times New Roman" w:hAnsi="Times New Roman"/>
          <w:sz w:val="18"/>
          <w:szCs w:val="18"/>
          <w:b w:val="1"/>
          <w:bCs w:val="1"/>
          <w:color w:val="auto"/>
        </w:rPr>
      </w:pPr>
    </w:p>
    <w:p>
      <w:pPr>
        <w:ind w:right="80" w:firstLine="597"/>
        <w:spacing w:after="0" w:line="262" w:lineRule="auto"/>
        <w:tabs>
          <w:tab w:leader="none" w:pos="9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supersede, modify, replace or cancel any existing contractual obligations, including but not limited to restrictive covenants, applicable to you in </w:t>
      </w:r>
      <w:r>
        <w:rPr>
          <w:rFonts w:ascii="Times New Roman" w:cs="Times New Roman" w:eastAsia="Times New Roman" w:hAnsi="Times New Roman"/>
          <w:sz w:val="18"/>
          <w:szCs w:val="18"/>
          <w:i w:val="1"/>
          <w:iCs w:val="1"/>
          <w:u w:val="single" w:color="auto"/>
          <w:color w:val="auto"/>
        </w:rPr>
        <w:t>any</w:t>
      </w:r>
      <w:r>
        <w:rPr>
          <w:rFonts w:ascii="Times New Roman" w:cs="Times New Roman" w:eastAsia="Times New Roman" w:hAnsi="Times New Roman"/>
          <w:sz w:val="18"/>
          <w:szCs w:val="18"/>
          <w:color w:val="auto"/>
        </w:rPr>
        <w:t xml:space="preserve"> employment agreement, offer letter, prior equity award agreement or any other agreement or contract with the Company or its Affiliates.</w:t>
      </w:r>
    </w:p>
    <w:p>
      <w:pPr>
        <w:spacing w:after="0" w:line="155" w:lineRule="exact"/>
        <w:rPr>
          <w:rFonts w:ascii="Times New Roman" w:cs="Times New Roman" w:eastAsia="Times New Roman" w:hAnsi="Times New Roman"/>
          <w:sz w:val="18"/>
          <w:szCs w:val="18"/>
          <w:color w:val="auto"/>
        </w:rPr>
      </w:pPr>
    </w:p>
    <w:p>
      <w:pPr>
        <w:ind w:right="40" w:firstLine="597"/>
        <w:spacing w:after="0" w:line="253" w:lineRule="auto"/>
        <w:tabs>
          <w:tab w:leader="none" w:pos="9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61"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07" w:lineRule="exact"/>
        <w:rPr>
          <w:rFonts w:ascii="Times New Roman" w:cs="Times New Roman" w:eastAsia="Times New Roman" w:hAnsi="Times New Roman"/>
          <w:sz w:val="18"/>
          <w:szCs w:val="18"/>
          <w:b w:val="1"/>
          <w:bCs w:val="1"/>
          <w:color w:val="auto"/>
        </w:rPr>
      </w:pPr>
    </w:p>
    <w:p>
      <w:pPr>
        <w:ind w:right="60" w:firstLine="597"/>
        <w:spacing w:after="0" w:line="256" w:lineRule="auto"/>
        <w:tabs>
          <w:tab w:leader="none" w:pos="9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RSUs may not be assigned, alienated, pledged, attached, sold or otherwise transferred or encumbered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62" w:lineRule="exact"/>
        <w:rPr>
          <w:rFonts w:ascii="Times New Roman" w:cs="Times New Roman" w:eastAsia="Times New Roman" w:hAnsi="Times New Roman"/>
          <w:sz w:val="18"/>
          <w:szCs w:val="18"/>
          <w:color w:val="auto"/>
        </w:rPr>
      </w:pPr>
    </w:p>
    <w:p>
      <w:pPr>
        <w:jc w:val="both"/>
        <w:ind w:right="20" w:firstLine="597"/>
        <w:spacing w:after="0" w:line="256" w:lineRule="auto"/>
        <w:tabs>
          <w:tab w:leader="none" w:pos="993"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2" w:lineRule="exact"/>
        <w:rPr>
          <w:rFonts w:ascii="Times New Roman" w:cs="Times New Roman" w:eastAsia="Times New Roman" w:hAnsi="Times New Roman"/>
          <w:sz w:val="18"/>
          <w:szCs w:val="18"/>
          <w:color w:val="auto"/>
        </w:rPr>
      </w:pPr>
    </w:p>
    <w:p>
      <w:pPr>
        <w:ind w:right="140" w:firstLine="597"/>
        <w:spacing w:after="0" w:line="262" w:lineRule="auto"/>
        <w:tabs>
          <w:tab w:leader="none" w:pos="98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RSUs are intended to be exempt from, or compliant with, Section 409A of the Internal Revenue Code (“Code”). Notwithstanding the foregoing or any provision of the Plan or this Agreement, if any provision of the Plan or this Agreement contravenes Section 409A of the Code or could cause the Participant to incur any tax, interest or penalties under Section 409A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313" w:right="359" w:bottom="1440" w:gutter="0" w:footer="0" w:header="0"/>
        </w:sectPr>
      </w:pPr>
    </w:p>
    <w:bookmarkStart w:id="112" w:name="page113"/>
    <w:bookmarkEnd w:id="112"/>
    <w:p>
      <w:pPr>
        <w:spacing w:after="0" w:line="253" w:lineRule="auto"/>
        <w:rPr>
          <w:sz w:val="20"/>
          <w:szCs w:val="20"/>
          <w:color w:val="auto"/>
        </w:rPr>
      </w:pPr>
      <w:r>
        <w:rPr>
          <w:rFonts w:ascii="Times New Roman" w:cs="Times New Roman" w:eastAsia="Times New Roman" w:hAnsi="Times New Roman"/>
          <w:sz w:val="18"/>
          <w:szCs w:val="18"/>
          <w:color w:val="auto"/>
        </w:rPr>
        <w:t>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66" w:lineRule="exact"/>
        <w:rPr>
          <w:sz w:val="20"/>
          <w:szCs w:val="20"/>
          <w:color w:val="auto"/>
        </w:rPr>
      </w:pPr>
    </w:p>
    <w:p>
      <w:pPr>
        <w:jc w:val="both"/>
        <w:ind w:right="60" w:firstLine="597"/>
        <w:spacing w:after="0" w:line="262" w:lineRule="auto"/>
        <w:tabs>
          <w:tab w:leader="none" w:pos="9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Assets</w:t>
      </w:r>
      <w:r>
        <w:rPr>
          <w:rFonts w:ascii="Times New Roman" w:cs="Times New Roman" w:eastAsia="Times New Roman" w:hAnsi="Times New Roman"/>
          <w:sz w:val="18"/>
          <w:szCs w:val="18"/>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55" w:lineRule="exact"/>
        <w:rPr>
          <w:rFonts w:ascii="Times New Roman" w:cs="Times New Roman" w:eastAsia="Times New Roman" w:hAnsi="Times New Roman"/>
          <w:sz w:val="18"/>
          <w:szCs w:val="18"/>
          <w:color w:val="auto"/>
        </w:rPr>
      </w:pPr>
    </w:p>
    <w:p>
      <w:pPr>
        <w:ind w:right="140" w:firstLine="597"/>
        <w:spacing w:after="0" w:line="256" w:lineRule="auto"/>
        <w:tabs>
          <w:tab w:leader="none" w:pos="9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62" w:lineRule="exact"/>
        <w:rPr>
          <w:rFonts w:ascii="Times New Roman" w:cs="Times New Roman" w:eastAsia="Times New Roman" w:hAnsi="Times New Roman"/>
          <w:sz w:val="18"/>
          <w:szCs w:val="18"/>
          <w:color w:val="auto"/>
        </w:rPr>
      </w:pPr>
    </w:p>
    <w:p>
      <w:pPr>
        <w:ind w:right="60" w:firstLine="597"/>
        <w:spacing w:after="0" w:line="279" w:lineRule="auto"/>
        <w:tabs>
          <w:tab w:leader="none" w:pos="9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40" w:lineRule="exact"/>
        <w:rPr>
          <w:rFonts w:ascii="Times New Roman" w:cs="Times New Roman" w:eastAsia="Times New Roman" w:hAnsi="Times New Roman"/>
          <w:sz w:val="18"/>
          <w:szCs w:val="18"/>
          <w:color w:val="auto"/>
        </w:rPr>
      </w:pPr>
    </w:p>
    <w:p>
      <w:pPr>
        <w:ind w:right="100" w:firstLine="597"/>
        <w:spacing w:after="0" w:line="256" w:lineRule="auto"/>
        <w:tabs>
          <w:tab w:leader="none" w:pos="9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 or Service</w:t>
      </w:r>
      <w:r>
        <w:rPr>
          <w:rFonts w:ascii="Times New Roman" w:cs="Times New Roman" w:eastAsia="Times New Roman" w:hAnsi="Times New Roman"/>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62" w:lineRule="exact"/>
        <w:rPr>
          <w:rFonts w:ascii="Times New Roman" w:cs="Times New Roman" w:eastAsia="Times New Roman" w:hAnsi="Times New Roman"/>
          <w:sz w:val="18"/>
          <w:szCs w:val="18"/>
          <w:color w:val="auto"/>
        </w:rPr>
      </w:pPr>
    </w:p>
    <w:p>
      <w:pPr>
        <w:jc w:val="both"/>
        <w:ind w:right="400" w:firstLine="597"/>
        <w:spacing w:after="0" w:line="262" w:lineRule="auto"/>
        <w:tabs>
          <w:tab w:leader="none" w:pos="9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55" w:lineRule="exact"/>
        <w:rPr>
          <w:rFonts w:ascii="Times New Roman" w:cs="Times New Roman" w:eastAsia="Times New Roman" w:hAnsi="Times New Roman"/>
          <w:sz w:val="18"/>
          <w:szCs w:val="18"/>
          <w:color w:val="auto"/>
        </w:rPr>
      </w:pPr>
    </w:p>
    <w:p>
      <w:pPr>
        <w:ind w:right="240" w:firstLine="597"/>
        <w:spacing w:after="0" w:line="279" w:lineRule="auto"/>
        <w:tabs>
          <w:tab w:leader="none" w:pos="9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40" w:lineRule="exact"/>
        <w:rPr>
          <w:rFonts w:ascii="Times New Roman" w:cs="Times New Roman" w:eastAsia="Times New Roman" w:hAnsi="Times New Roman"/>
          <w:sz w:val="18"/>
          <w:szCs w:val="18"/>
          <w:color w:val="auto"/>
        </w:rPr>
      </w:pPr>
    </w:p>
    <w:p>
      <w:pPr>
        <w:ind w:right="140" w:firstLine="597"/>
        <w:spacing w:after="0" w:line="279" w:lineRule="auto"/>
        <w:tabs>
          <w:tab w:leader="none" w:pos="9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40" w:lineRule="exact"/>
        <w:rPr>
          <w:rFonts w:ascii="Times New Roman" w:cs="Times New Roman" w:eastAsia="Times New Roman" w:hAnsi="Times New Roman"/>
          <w:sz w:val="18"/>
          <w:szCs w:val="18"/>
          <w:color w:val="auto"/>
        </w:rPr>
      </w:pPr>
    </w:p>
    <w:p>
      <w:pPr>
        <w:ind w:right="60" w:firstLine="597"/>
        <w:spacing w:after="0" w:line="256" w:lineRule="auto"/>
        <w:tabs>
          <w:tab w:leader="none" w:pos="9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13" w:right="339" w:bottom="1440" w:gutter="0" w:footer="0" w:header="0"/>
        </w:sectPr>
      </w:pPr>
    </w:p>
    <w:bookmarkStart w:id="113" w:name="page114"/>
    <w:bookmarkEnd w:id="113"/>
    <w:p>
      <w:pPr>
        <w:jc w:val="both"/>
        <w:ind w:firstLine="597"/>
        <w:spacing w:after="0" w:line="262" w:lineRule="auto"/>
        <w:tabs>
          <w:tab w:leader="none" w:pos="9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55" w:lineRule="exact"/>
        <w:rPr>
          <w:rFonts w:ascii="Times New Roman" w:cs="Times New Roman" w:eastAsia="Times New Roman" w:hAnsi="Times New Roman"/>
          <w:sz w:val="18"/>
          <w:szCs w:val="18"/>
          <w:color w:val="auto"/>
        </w:rPr>
      </w:pPr>
    </w:p>
    <w:p>
      <w:pPr>
        <w:ind w:left="600" w:firstLine="594"/>
        <w:spacing w:after="0" w:line="250" w:lineRule="auto"/>
        <w:tabs>
          <w:tab w:leader="none" w:pos="15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Consent to Jurisdiction</w:t>
      </w:r>
      <w:r>
        <w:rPr>
          <w:rFonts w:ascii="Times New Roman" w:cs="Times New Roman" w:eastAsia="Times New Roman" w:hAnsi="Times New Roman"/>
          <w:sz w:val="18"/>
          <w:szCs w:val="18"/>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6" w:lineRule="exact"/>
        <w:rPr>
          <w:rFonts w:ascii="Times New Roman" w:cs="Times New Roman" w:eastAsia="Times New Roman" w:hAnsi="Times New Roman"/>
          <w:sz w:val="18"/>
          <w:szCs w:val="18"/>
          <w:color w:val="auto"/>
        </w:rPr>
      </w:pPr>
    </w:p>
    <w:p>
      <w:pPr>
        <w:jc w:val="both"/>
        <w:ind w:left="600" w:right="180" w:firstLine="594"/>
        <w:spacing w:after="0" w:line="251" w:lineRule="auto"/>
        <w:tabs>
          <w:tab w:leader="none" w:pos="160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left="60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acknowledges that it and the other parties hereto have been induced to enter into this Agreement by, among other things, the mutual waivers and certifications in this section.</w:t>
      </w:r>
    </w:p>
    <w:p>
      <w:pPr>
        <w:spacing w:after="0" w:line="160" w:lineRule="exact"/>
        <w:rPr>
          <w:rFonts w:ascii="Times New Roman" w:cs="Times New Roman" w:eastAsia="Times New Roman" w:hAnsi="Times New Roman"/>
          <w:sz w:val="18"/>
          <w:szCs w:val="18"/>
          <w:color w:val="auto"/>
        </w:rPr>
      </w:pPr>
    </w:p>
    <w:p>
      <w:pPr>
        <w:jc w:val="both"/>
        <w:ind w:right="120" w:firstLine="597"/>
        <w:spacing w:after="0" w:line="262" w:lineRule="auto"/>
        <w:tabs>
          <w:tab w:leader="none" w:pos="10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55" w:lineRule="exact"/>
        <w:rPr>
          <w:rFonts w:ascii="Times New Roman" w:cs="Times New Roman" w:eastAsia="Times New Roman" w:hAnsi="Times New Roman"/>
          <w:sz w:val="18"/>
          <w:szCs w:val="18"/>
          <w:color w:val="auto"/>
        </w:rPr>
      </w:pPr>
    </w:p>
    <w:p>
      <w:pPr>
        <w:jc w:val="both"/>
        <w:ind w:right="40" w:firstLine="597"/>
        <w:spacing w:after="0" w:line="262" w:lineRule="auto"/>
        <w:tabs>
          <w:tab w:leader="none" w:pos="9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5" w:lineRule="exact"/>
        <w:rPr>
          <w:rFonts w:ascii="Times New Roman" w:cs="Times New Roman" w:eastAsia="Times New Roman" w:hAnsi="Times New Roman"/>
          <w:sz w:val="18"/>
          <w:szCs w:val="18"/>
          <w:color w:val="auto"/>
        </w:rPr>
      </w:pPr>
    </w:p>
    <w:p>
      <w:pPr>
        <w:ind w:right="160" w:firstLine="597"/>
        <w:spacing w:after="0" w:line="256" w:lineRule="auto"/>
        <w:tabs>
          <w:tab w:leader="none" w:pos="9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62" w:lineRule="exact"/>
        <w:rPr>
          <w:rFonts w:ascii="Times New Roman" w:cs="Times New Roman" w:eastAsia="Times New Roman" w:hAnsi="Times New Roman"/>
          <w:sz w:val="18"/>
          <w:szCs w:val="18"/>
          <w:color w:val="auto"/>
        </w:rPr>
      </w:pPr>
    </w:p>
    <w:p>
      <w:pPr>
        <w:ind w:right="120" w:firstLine="597"/>
        <w:spacing w:after="0" w:line="262" w:lineRule="auto"/>
        <w:tabs>
          <w:tab w:leader="none" w:pos="99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Participation in Plan</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1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the Plan through an on-line or electronic system established and maintained by the Company or a third party designated by the Company.</w:t>
      </w:r>
    </w:p>
    <w:p>
      <w:pPr>
        <w:sectPr>
          <w:pgSz w:w="11900" w:h="16838" w:orient="portrait"/>
          <w:cols w:equalWidth="0" w:num="1">
            <w:col w:w="10139"/>
          </w:cols>
          <w:pgMar w:left="320" w:top="1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39"/>
          </w:cols>
          <w:pgMar w:left="320" w:top="1313"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9"/>
          <w:szCs w:val="19"/>
          <w:color w:val="auto"/>
        </w:rPr>
        <w:t>IN WITNESS WHEREOF, this Agreement has been executed by the Company and the Participant as of the day first written above.</w:t>
      </w:r>
    </w:p>
    <w:p>
      <w:pPr>
        <w:sectPr>
          <w:pgSz w:w="11900" w:h="16838" w:orient="portrait"/>
          <w:cols w:equalWidth="0" w:num="1">
            <w:col w:w="10460"/>
          </w:cols>
          <w:pgMar w:left="320" w:top="1321"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9"/>
          <w:szCs w:val="19"/>
          <w:color w:val="auto"/>
        </w:rPr>
        <w:t>/s/ Douglas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-3810</wp:posOffset>
            </wp:positionV>
            <wp:extent cx="9448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44880" cy="7620"/>
                    </a:xfrm>
                    <a:prstGeom prst="rect">
                      <a:avLst/>
                    </a:prstGeom>
                    <a:noFill/>
                  </pic:spPr>
                </pic:pic>
              </a:graphicData>
            </a:graphic>
          </wp:anchor>
        </w:drawing>
      </w:r>
    </w:p>
    <w:p>
      <w:pPr>
        <w:spacing w:after="0" w:line="1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 Douglas A. Cifu</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 Sean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-6985</wp:posOffset>
            </wp:positionV>
            <wp:extent cx="82359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3595" cy="7620"/>
                    </a:xfrm>
                    <a:prstGeom prst="rect">
                      <a:avLst/>
                    </a:prstGeom>
                    <a:noFill/>
                  </pic:spPr>
                </pic:pic>
              </a:graphicData>
            </a:graphic>
          </wp:anchor>
        </w:drawing>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Name: Sean Galvin</w:t>
      </w:r>
    </w:p>
    <w:p>
      <w:pPr>
        <w:sectPr>
          <w:pgSz w:w="11900" w:h="16838" w:orient="portrait"/>
          <w:cols w:equalWidth="0" w:num="1">
            <w:col w:w="10460"/>
          </w:cols>
          <w:pgMar w:left="320" w:top="1321" w:right="111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28" w:lineRule="exact"/>
        <w:rPr>
          <w:sz w:val="20"/>
          <w:szCs w:val="20"/>
          <w:color w:val="auto"/>
        </w:rPr>
      </w:pPr>
    </w:p>
    <w:p>
      <w:pPr>
        <w:ind w:left="600" w:right="500" w:hanging="302"/>
        <w:spacing w:after="0" w:line="269"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2020 of Virtu Financial, Inc. (the “registrant”) as filed with the Securities and Exchange Commission on the date hereof;</w:t>
      </w:r>
    </w:p>
    <w:p>
      <w:pPr>
        <w:spacing w:after="0" w:line="183" w:lineRule="exact"/>
        <w:rPr>
          <w:rFonts w:ascii="Times New Roman" w:cs="Times New Roman" w:eastAsia="Times New Roman" w:hAnsi="Times New Roman"/>
          <w:sz w:val="17"/>
          <w:szCs w:val="17"/>
          <w:color w:val="auto"/>
        </w:rPr>
      </w:pPr>
    </w:p>
    <w:p>
      <w:pPr>
        <w:ind w:left="600" w:right="260" w:hanging="302"/>
        <w:spacing w:after="0" w:line="269"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Times New Roman" w:cs="Times New Roman" w:eastAsia="Times New Roman" w:hAnsi="Times New Roman"/>
          <w:sz w:val="17"/>
          <w:szCs w:val="17"/>
          <w:color w:val="auto"/>
        </w:rPr>
      </w:pPr>
    </w:p>
    <w:p>
      <w:pPr>
        <w:ind w:left="600" w:right="340" w:hanging="302"/>
        <w:spacing w:after="0" w:line="269"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Times New Roman" w:cs="Times New Roman" w:eastAsia="Times New Roman" w:hAnsi="Times New Roman"/>
          <w:sz w:val="17"/>
          <w:szCs w:val="17"/>
          <w:color w:val="auto"/>
        </w:rPr>
      </w:pPr>
    </w:p>
    <w:p>
      <w:pPr>
        <w:jc w:val="both"/>
        <w:ind w:left="600" w:right="160" w:hanging="302"/>
        <w:spacing w:after="0" w:line="256"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7"/>
          <w:szCs w:val="17"/>
          <w:color w:val="auto"/>
        </w:rPr>
      </w:pPr>
    </w:p>
    <w:p>
      <w:pPr>
        <w:ind w:left="1040" w:right="20" w:hanging="443"/>
        <w:spacing w:after="0" w:line="256" w:lineRule="auto"/>
        <w:tabs>
          <w:tab w:leader="none" w:pos="10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7"/>
          <w:szCs w:val="17"/>
          <w:color w:val="auto"/>
        </w:rPr>
      </w:pPr>
    </w:p>
    <w:p>
      <w:pPr>
        <w:ind w:left="1040" w:right="140" w:hanging="443"/>
        <w:spacing w:after="0" w:line="256" w:lineRule="auto"/>
        <w:tabs>
          <w:tab w:leader="none" w:pos="10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7"/>
          <w:szCs w:val="17"/>
          <w:color w:val="auto"/>
        </w:rPr>
      </w:pPr>
    </w:p>
    <w:p>
      <w:pPr>
        <w:ind w:left="1040" w:right="180" w:hanging="443"/>
        <w:spacing w:after="0" w:line="269" w:lineRule="auto"/>
        <w:tabs>
          <w:tab w:leader="none" w:pos="10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1040" w:right="220" w:hanging="443"/>
        <w:spacing w:after="0" w:line="256" w:lineRule="auto"/>
        <w:tabs>
          <w:tab w:leader="none" w:pos="10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7"/>
          <w:szCs w:val="17"/>
          <w:color w:val="auto"/>
        </w:rPr>
      </w:pPr>
    </w:p>
    <w:p>
      <w:pPr>
        <w:ind w:left="600" w:right="120" w:hanging="302"/>
        <w:spacing w:after="0" w:line="269"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1040" w:right="100" w:hanging="443"/>
        <w:spacing w:after="0" w:line="269" w:lineRule="auto"/>
        <w:tabs>
          <w:tab w:leader="none" w:pos="103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1040" w:right="320" w:hanging="443"/>
        <w:spacing w:after="0" w:line="267" w:lineRule="auto"/>
        <w:tabs>
          <w:tab w:leader="none" w:pos="1034"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6, 2020</w:t>
            </w:r>
          </w:p>
        </w:tc>
        <w:tc>
          <w:tcPr>
            <w:tcW w:w="2560" w:type="dxa"/>
            <w:vAlign w:val="bottom"/>
          </w:tcPr>
          <w:p>
            <w:pPr>
              <w:ind w:left="1980"/>
              <w:spacing w:after="0"/>
              <w:rPr>
                <w:sz w:val="20"/>
                <w:szCs w:val="20"/>
                <w:color w:val="auto"/>
              </w:rPr>
            </w:pPr>
            <w:r>
              <w:rPr>
                <w:rFonts w:ascii="Times New Roman" w:cs="Times New Roman" w:eastAsia="Times New Roman" w:hAnsi="Times New Roman"/>
                <w:sz w:val="17"/>
                <w:szCs w:val="17"/>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00"/>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28"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Galvin, certify that:</w:t>
      </w:r>
    </w:p>
    <w:p>
      <w:pPr>
        <w:spacing w:after="0" w:line="203" w:lineRule="exact"/>
        <w:rPr>
          <w:sz w:val="20"/>
          <w:szCs w:val="20"/>
          <w:color w:val="auto"/>
        </w:rPr>
      </w:pPr>
    </w:p>
    <w:p>
      <w:pPr>
        <w:ind w:left="600" w:right="500" w:hanging="302"/>
        <w:spacing w:after="0" w:line="269"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September 30, 2020 of Virtu Financial, Inc. (the “registrant”) as filed with the Securities and Exchange Commission on the date hereof;</w:t>
      </w:r>
    </w:p>
    <w:p>
      <w:pPr>
        <w:spacing w:after="0" w:line="183" w:lineRule="exact"/>
        <w:rPr>
          <w:rFonts w:ascii="Times New Roman" w:cs="Times New Roman" w:eastAsia="Times New Roman" w:hAnsi="Times New Roman"/>
          <w:sz w:val="17"/>
          <w:szCs w:val="17"/>
          <w:color w:val="auto"/>
        </w:rPr>
      </w:pPr>
    </w:p>
    <w:p>
      <w:pPr>
        <w:ind w:left="600" w:right="260" w:hanging="302"/>
        <w:spacing w:after="0" w:line="269"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Times New Roman" w:cs="Times New Roman" w:eastAsia="Times New Roman" w:hAnsi="Times New Roman"/>
          <w:sz w:val="17"/>
          <w:szCs w:val="17"/>
          <w:color w:val="auto"/>
        </w:rPr>
      </w:pPr>
    </w:p>
    <w:p>
      <w:pPr>
        <w:ind w:left="600" w:right="340" w:hanging="302"/>
        <w:spacing w:after="0" w:line="269"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Times New Roman" w:cs="Times New Roman" w:eastAsia="Times New Roman" w:hAnsi="Times New Roman"/>
          <w:sz w:val="17"/>
          <w:szCs w:val="17"/>
          <w:color w:val="auto"/>
        </w:rPr>
      </w:pPr>
    </w:p>
    <w:p>
      <w:pPr>
        <w:jc w:val="both"/>
        <w:ind w:left="600" w:right="160" w:hanging="302"/>
        <w:spacing w:after="0" w:line="256"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Times New Roman" w:cs="Times New Roman" w:eastAsia="Times New Roman" w:hAnsi="Times New Roman"/>
          <w:sz w:val="17"/>
          <w:szCs w:val="17"/>
          <w:color w:val="auto"/>
        </w:rPr>
      </w:pPr>
    </w:p>
    <w:p>
      <w:pPr>
        <w:ind w:left="1040" w:right="20" w:hanging="443"/>
        <w:spacing w:after="0" w:line="256" w:lineRule="auto"/>
        <w:tabs>
          <w:tab w:leader="none" w:pos="103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Times New Roman" w:cs="Times New Roman" w:eastAsia="Times New Roman" w:hAnsi="Times New Roman"/>
          <w:sz w:val="17"/>
          <w:szCs w:val="17"/>
          <w:color w:val="auto"/>
        </w:rPr>
      </w:pPr>
    </w:p>
    <w:p>
      <w:pPr>
        <w:ind w:left="1040" w:right="140" w:hanging="443"/>
        <w:spacing w:after="0" w:line="256" w:lineRule="auto"/>
        <w:tabs>
          <w:tab w:leader="none" w:pos="103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Times New Roman" w:cs="Times New Roman" w:eastAsia="Times New Roman" w:hAnsi="Times New Roman"/>
          <w:sz w:val="17"/>
          <w:szCs w:val="17"/>
          <w:color w:val="auto"/>
        </w:rPr>
      </w:pPr>
    </w:p>
    <w:p>
      <w:pPr>
        <w:ind w:left="1040" w:right="180" w:hanging="443"/>
        <w:spacing w:after="0" w:line="269" w:lineRule="auto"/>
        <w:tabs>
          <w:tab w:leader="none" w:pos="103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1040" w:right="220" w:hanging="443"/>
        <w:spacing w:after="0" w:line="256" w:lineRule="auto"/>
        <w:tabs>
          <w:tab w:leader="none" w:pos="103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7"/>
          <w:szCs w:val="17"/>
          <w:color w:val="auto"/>
        </w:rPr>
      </w:pPr>
    </w:p>
    <w:p>
      <w:pPr>
        <w:ind w:left="600" w:right="120" w:hanging="302"/>
        <w:spacing w:after="0" w:line="269"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1040" w:right="100" w:hanging="443"/>
        <w:spacing w:after="0" w:line="269" w:lineRule="auto"/>
        <w:tabs>
          <w:tab w:leader="none" w:pos="103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Times New Roman" w:cs="Times New Roman" w:eastAsia="Times New Roman" w:hAnsi="Times New Roman"/>
          <w:sz w:val="17"/>
          <w:szCs w:val="17"/>
          <w:color w:val="auto"/>
        </w:rPr>
      </w:pPr>
    </w:p>
    <w:p>
      <w:pPr>
        <w:ind w:left="1040" w:right="320" w:hanging="443"/>
        <w:spacing w:after="0" w:line="267" w:lineRule="auto"/>
        <w:tabs>
          <w:tab w:leader="none" w:pos="103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6, 2020</w:t>
            </w:r>
          </w:p>
        </w:tc>
        <w:tc>
          <w:tcPr>
            <w:tcW w:w="2580" w:type="dxa"/>
            <w:vAlign w:val="bottom"/>
          </w:tcPr>
          <w:p>
            <w:pPr>
              <w:ind w:left="200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00"/>
        </w:trPr>
        <w:tc>
          <w:tcPr>
            <w:tcW w:w="36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Galvin</w:t>
            </w:r>
          </w:p>
        </w:tc>
      </w:tr>
      <w:tr>
        <w:trPr>
          <w:trHeight w:val="216"/>
        </w:trPr>
        <w:tc>
          <w:tcPr>
            <w:tcW w:w="36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28"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2020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6" w:lineRule="exact"/>
        <w:rPr>
          <w:sz w:val="20"/>
          <w:szCs w:val="20"/>
          <w:color w:val="auto"/>
        </w:rPr>
      </w:pPr>
    </w:p>
    <w:p>
      <w:pPr>
        <w:ind w:left="1200" w:hanging="155"/>
        <w:spacing w:after="0"/>
        <w:tabs>
          <w:tab w:leader="none" w:pos="12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02" w:lineRule="exact"/>
        <w:rPr>
          <w:rFonts w:ascii="Times New Roman" w:cs="Times New Roman" w:eastAsia="Times New Roman" w:hAnsi="Times New Roman"/>
          <w:sz w:val="17"/>
          <w:szCs w:val="17"/>
          <w:color w:val="auto"/>
        </w:rPr>
      </w:pPr>
    </w:p>
    <w:p>
      <w:pPr>
        <w:ind w:left="1200" w:hanging="155"/>
        <w:spacing w:after="0"/>
        <w:tabs>
          <w:tab w:leader="none" w:pos="12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3634740</wp:posOffset>
            </wp:positionH>
            <wp:positionV relativeFrom="paragraph">
              <wp:posOffset>12700</wp:posOffset>
            </wp:positionV>
            <wp:extent cx="34848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November 6, 2020</w:t>
      </w:r>
    </w:p>
    <w:p>
      <w:pPr>
        <w:sectPr>
          <w:pgSz w:w="11900" w:h="16838" w:orient="portrait"/>
          <w:cols w:equalWidth="0" w:num="1">
            <w:col w:w="11240"/>
          </w:cols>
          <w:pgMar w:left="320" w:top="82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September 30, 2020 as filed with the Securities and Exchange Commission on the date hereof (the “Report”), I, Alex Ioffe, certify, pursuant to 18 U.S.C. Section 1350, as adopted pursuant to Section 906 of the Sarbanes-Oxley Act of 2002, in my capacity as an officer of the Company that, to my knowledge:</w:t>
      </w:r>
    </w:p>
    <w:p>
      <w:pPr>
        <w:spacing w:after="0" w:line="171" w:lineRule="exact"/>
        <w:rPr>
          <w:sz w:val="20"/>
          <w:szCs w:val="20"/>
          <w:color w:val="auto"/>
        </w:rPr>
      </w:pPr>
    </w:p>
    <w:p>
      <w:pPr>
        <w:ind w:left="1220" w:hanging="175"/>
        <w:spacing w:after="0"/>
        <w:tabs>
          <w:tab w:leader="none" w:pos="12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02" w:lineRule="exact"/>
        <w:rPr>
          <w:rFonts w:ascii="Times New Roman" w:cs="Times New Roman" w:eastAsia="Times New Roman" w:hAnsi="Times New Roman"/>
          <w:sz w:val="17"/>
          <w:szCs w:val="17"/>
          <w:color w:val="auto"/>
        </w:rPr>
      </w:pPr>
    </w:p>
    <w:p>
      <w:pPr>
        <w:ind w:left="1220" w:hanging="175"/>
        <w:spacing w:after="0"/>
        <w:tabs>
          <w:tab w:leader="none" w:pos="12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12700</wp:posOffset>
            </wp:positionV>
            <wp:extent cx="35001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00120" cy="7620"/>
                    </a:xfrm>
                    <a:prstGeom prst="rect">
                      <a:avLst/>
                    </a:prstGeom>
                    <a:noFill/>
                  </pic:spPr>
                </pic:pic>
              </a:graphicData>
            </a:graphic>
          </wp:anchor>
        </w:drawing>
      </w:r>
    </w:p>
    <w:p>
      <w:pPr>
        <w:spacing w:after="0" w:line="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Sean Galvin</w:t>
      </w:r>
    </w:p>
    <w:p>
      <w:pPr>
        <w:spacing w:after="0" w:line="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Date: November 6, 2020</w:t>
      </w:r>
    </w:p>
    <w:sectPr>
      <w:pgSz w:w="11900" w:h="16838" w:orient="portrait"/>
      <w:cols w:equalWidth="0" w:num="1">
        <w:col w:w="11240"/>
      </w:cols>
      <w:pgMar w:left="320" w:top="8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lowerRoman"/>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lowerRoman"/>
      <w:start w:val="3"/>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lowerRoman"/>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3"/>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Roman"/>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lowerLetter"/>
      <w:start w:val="6"/>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2"/>
    </w:lvl>
  </w:abstractNum>
  <w:abstractNum w:abstractNumId="29">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
    <w:nsid w:val="2A487CB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1">
    <w:nsid w:val="1D4ED43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32">
    <w:nsid w:val="725A06FB"/>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33">
    <w:nsid w:val="2CD89A32"/>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34">
    <w:nsid w:val="57E4CCAF"/>
    <w:multiLevelType w:val="hybridMultilevel"/>
    <w:lvl w:ilvl="0">
      <w:lvlJc w:val="left"/>
      <w:lvlText w:val="(%1)"/>
      <w:numFmt w:val="lowerLetter"/>
      <w:start w:val="2"/>
    </w:lvl>
    <w:lvl w:ilvl="1">
      <w:lvlJc w:val="left"/>
      <w:lvlText w:val="(%2)"/>
      <w:numFmt w:val="lowerLetter"/>
      <w:start w:val="4"/>
    </w:lvl>
    <w:lvl w:ilvl="2">
      <w:lvlJc w:val="left"/>
      <w:lvlText w:val="%3"/>
      <w:numFmt w:val="lowerLetter"/>
      <w:start w:val="1"/>
    </w:lvl>
  </w:abstractNum>
  <w:abstractNum w:abstractNumId="35">
    <w:nsid w:val="7A6D8D3C"/>
    <w:multiLevelType w:val="hybridMultilevel"/>
    <w:lvl w:ilvl="0">
      <w:lvlJc w:val="left"/>
      <w:lvlText w:val="(%1)"/>
      <w:numFmt w:val="lowerRoman"/>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lowerRoman"/>
      <w:start w:val="2"/>
    </w:lvl>
  </w:abstractNum>
  <w:abstractNum w:abstractNumId="38">
    <w:nsid w:val="6DE91B18"/>
    <w:multiLevelType w:val="hybridMultilevel"/>
    <w:lvl w:ilvl="0">
      <w:lvlJc w:val="left"/>
      <w:lvlText w:val="%1"/>
      <w:numFmt w:val="decimal"/>
      <w:start w:val="1"/>
    </w:lvl>
    <w:lvl w:ilvl="1">
      <w:lvlJc w:val="left"/>
      <w:lvlText w:val="(%2)"/>
      <w:numFmt w:val="upperLetter"/>
      <w:start w:val="1"/>
    </w:lvl>
  </w:abstractNum>
  <w:abstractNum w:abstractNumId="39">
    <w:nsid w:val="38437FDB"/>
    <w:multiLevelType w:val="hybridMultilevel"/>
    <w:lvl w:ilvl="0">
      <w:lvlJc w:val="left"/>
      <w:lvlText w:val="%1."/>
      <w:numFmt w:val="decimal"/>
      <w:start w:val="3"/>
    </w:lvl>
    <w:lvl w:ilvl="1">
      <w:lvlJc w:val="left"/>
      <w:lvlText w:val="%2"/>
      <w:numFmt w:val="upp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decimal"/>
      <w:start w:val="4"/>
    </w:lvl>
    <w:lvl w:ilvl="1">
      <w:lvlJc w:val="left"/>
      <w:lvlText w:val="(%2)"/>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7"/>
    </w:lvl>
  </w:abstractNum>
  <w:abstractNum w:abstractNumId="43">
    <w:nsid w:val="579478FE"/>
    <w:multiLevelType w:val="hybridMultilevel"/>
    <w:lvl w:ilvl="0">
      <w:lvlJc w:val="left"/>
      <w:lvlText w:val="%1."/>
      <w:numFmt w:val="decimal"/>
      <w:start w:val="6"/>
    </w:lvl>
    <w:lvl w:ilvl="1">
      <w:lvlJc w:val="left"/>
      <w:lvlText w:val="(%2)"/>
      <w:numFmt w:val="lowerLetter"/>
      <w:start w:val="1"/>
    </w:lvl>
  </w:abstractNum>
  <w:abstractNum w:abstractNumId="44">
    <w:nsid w:val="749ABB43"/>
    <w:multiLevelType w:val="hybridMultilevel"/>
    <w:lvl w:ilvl="0">
      <w:lvlJc w:val="left"/>
      <w:lvlText w:val="(%1)"/>
      <w:numFmt w:val="lowerLetter"/>
      <w:start w:val="5"/>
    </w:lvl>
  </w:abstractNum>
  <w:abstractNum w:abstractNumId="45">
    <w:nsid w:val="3DC240FB"/>
    <w:multiLevelType w:val="hybridMultilevel"/>
    <w:lvl w:ilvl="0">
      <w:lvlJc w:val="left"/>
      <w:lvlText w:val="%1."/>
      <w:numFmt w:val="decimal"/>
      <w:start w:val="1"/>
    </w:lvl>
    <w:lvl w:ilvl="1">
      <w:lvlJc w:val="left"/>
      <w:lvlText w:val="(%2)"/>
      <w:numFmt w:val="lowerLetter"/>
      <w:start w:val="1"/>
    </w:lvl>
  </w:abstractNum>
  <w:abstractNum w:abstractNumId="46">
    <w:nsid w:val="1BA026FA"/>
    <w:multiLevelType w:val="hybridMultilevel"/>
    <w:lvl w:ilvl="0">
      <w:lvlJc w:val="left"/>
      <w:lvlText w:val="%1"/>
      <w:numFmt w:val="decimal"/>
      <w:start w:val="1"/>
    </w:lvl>
    <w:lvl w:ilvl="1">
      <w:lvlJc w:val="left"/>
      <w:lvlText w:val="(%2)"/>
      <w:numFmt w:val="lowerLetter"/>
      <w:start w:val="2"/>
    </w:lvl>
  </w:abstractNum>
  <w:abstractNum w:abstractNumId="47">
    <w:nsid w:val="79A1DEAA"/>
    <w:multiLevelType w:val="hybridMultilevel"/>
    <w:lvl w:ilvl="0">
      <w:lvlJc w:val="left"/>
      <w:lvlText w:val="%1."/>
      <w:numFmt w:val="decimal"/>
      <w:start w:val="3"/>
    </w:lvl>
    <w:lvl w:ilvl="1">
      <w:lvlJc w:val="left"/>
      <w:lvlText w:val="(%2)"/>
      <w:numFmt w:val="lowerLetter"/>
      <w:start w:val="1"/>
    </w:lvl>
  </w:abstractNum>
  <w:abstractNum w:abstractNumId="48">
    <w:nsid w:val="75C6C33A"/>
    <w:multiLevelType w:val="hybridMultilevel"/>
    <w:lvl w:ilvl="0">
      <w:lvlJc w:val="left"/>
      <w:lvlText w:val="%1."/>
      <w:numFmt w:val="decimal"/>
      <w:start w:val="8"/>
    </w:lvl>
    <w:lvl w:ilvl="1">
      <w:lvlJc w:val="left"/>
      <w:lvlText w:val="(%2)"/>
      <w:numFmt w:val="lowerLetter"/>
      <w:start w:val="1"/>
    </w:lvl>
  </w:abstractNum>
  <w:abstractNum w:abstractNumId="49">
    <w:nsid w:val="12E685FB"/>
    <w:multiLevelType w:val="hybridMultilevel"/>
    <w:lvl w:ilvl="0">
      <w:lvlJc w:val="left"/>
      <w:lvlText w:val="(%1)"/>
      <w:numFmt w:val="lowerLetter"/>
      <w:start w:val="4"/>
    </w:lvl>
  </w:abstractNum>
  <w:abstractNum w:abstractNumId="50">
    <w:nsid w:val="70C6A529"/>
    <w:multiLevelType w:val="hybridMultilevel"/>
    <w:lvl w:ilvl="0">
      <w:lvlJc w:val="left"/>
      <w:lvlText w:val="(%1)"/>
      <w:numFmt w:val="lowerLetter"/>
      <w:start w:val="12"/>
    </w:lvl>
    <w:lvl w:ilvl="1">
      <w:lvlJc w:val="left"/>
      <w:lvlText w:val="(%2)"/>
      <w:numFmt w:val="lowerRoman"/>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2020-11-06T13:25:02Z</dcterms:created>
  <dcterms:modified xsi:type="dcterms:W3CDTF">2020-11-06T13:25:02Z</dcterms:modified>
</cp:coreProperties>
</file>