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792523.xml.htm"/>
      <w:bookmarkStart w:id="1" w:name="kswkform4_178579252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Cindy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3"/>
        <w:gridCol w:w="772"/>
        <w:gridCol w:w="600"/>
        <w:gridCol w:w="352"/>
        <w:gridCol w:w="939"/>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11,667</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43,304</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6,452</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36,852</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29" w:type="dxa"/>
        <w:jc w:val="left"/>
        <w:tblInd w:w="-7" w:type="dxa"/>
        <w:tblLayout w:type="fixed"/>
        <w:tblCellMar>
          <w:top w:w="60" w:type="dxa"/>
          <w:left w:w="60" w:type="dxa"/>
          <w:bottom w:w="60" w:type="dxa"/>
          <w:right w:w="60" w:type="dxa"/>
        </w:tblCellMar>
      </w:tblPr>
      <w:tblGrid>
        <w:gridCol w:w="1100"/>
        <w:gridCol w:w="861"/>
        <w:gridCol w:w="891"/>
        <w:gridCol w:w="771"/>
        <w:gridCol w:w="591"/>
        <w:gridCol w:w="300"/>
        <w:gridCol w:w="276"/>
        <w:gridCol w:w="711"/>
        <w:gridCol w:w="906"/>
        <w:gridCol w:w="801"/>
        <w:gridCol w:w="846"/>
        <w:gridCol w:w="801"/>
        <w:gridCol w:w="801"/>
        <w:gridCol w:w="936"/>
        <w:gridCol w:w="831"/>
        <w:gridCol w:w="90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11,667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11,667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82,540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Non-voting common interest units of Virtu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Class A common stock issued in settlement of vested restricted stock units ("RSUs") granted under the Issuer's Second Amended and Restated 2015 Management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of Class A common stock withheld for tax by the Issuer in relation to the settlement of vested RSUs in accordance with the Issuer's Second Amended and Restated 2015 Management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is granted under the Issuer's Second Amended and Restated 2015 Management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vested August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Pursuant to the terms of the Exchange Agreement, effective as of April 15, 2015, by and among the Issuer, Virtu Financial LLC and the equityholders of Virtu Financial LLC (the "Exchange Agreement"), Virtu Financial Units, together with a corresponding number of shares of Class C Common Stock, may be exchanged for shares of Class A Common Stock, which have one vote per share and economic rights (including rights to dividends and distributions upon liquidation), on a one-for-one basis at the discretion of the holder. The exchange rights under the Exchange Agreement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By Virtu Employee Holdco LLC, a holding vehicle through which employees and directors of the Issuer hold vested and unvested Virtu Financial Units and shares of Class C Common Stock. The reporting person disclaims beneficial ownership in such Virtu Financial Units and shares held by Virtu Employee Holdco LLC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153"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4615</Characters>
  <CharactersWithSpaces>5382</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