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297180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313690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10-Q</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jc w:val="center"/>
        <w:ind w:left="3960" w:right="1140" w:hanging="2814"/>
        <w:spacing w:after="0" w:line="290" w:lineRule="auto"/>
        <w:tabs>
          <w:tab w:leader="none" w:pos="1355"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March 31, 2019</w:t>
      </w:r>
    </w:p>
    <w:p>
      <w:pPr>
        <w:jc w:val="center"/>
        <w:spacing w:after="0"/>
        <w:rPr>
          <w:sz w:val="20"/>
          <w:szCs w:val="20"/>
          <w:color w:val="auto"/>
        </w:rPr>
      </w:pPr>
      <w:r>
        <w:rPr>
          <w:rFonts w:ascii="Arial" w:cs="Arial" w:eastAsia="Arial" w:hAnsi="Arial"/>
          <w:sz w:val="17"/>
          <w:szCs w:val="17"/>
          <w:b w:val="1"/>
          <w:bCs w:val="1"/>
          <w:color w:val="auto"/>
        </w:rPr>
        <w:t>or</w:t>
      </w:r>
    </w:p>
    <w:p>
      <w:pPr>
        <w:spacing w:after="0" w:line="73" w:lineRule="exact"/>
        <w:rPr>
          <w:sz w:val="24"/>
          <w:szCs w:val="24"/>
          <w:color w:val="auto"/>
        </w:rPr>
      </w:pPr>
    </w:p>
    <w:p>
      <w:pPr>
        <w:ind w:left="1560" w:hanging="194"/>
        <w:spacing w:after="0"/>
        <w:tabs>
          <w:tab w:leader="none" w:pos="1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 (d) OF THE SECURITIES EXCHANGE ACT OF 1934</w:t>
      </w:r>
    </w:p>
    <w:p>
      <w:pPr>
        <w:spacing w:after="0" w:line="29" w:lineRule="exact"/>
        <w:rPr>
          <w:sz w:val="24"/>
          <w:szCs w:val="24"/>
          <w:color w:val="auto"/>
        </w:rPr>
      </w:pPr>
    </w:p>
    <w:p>
      <w:pPr>
        <w:ind w:left="43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Virtu Financial,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50"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4860" w:type="dxa"/>
            <w:vAlign w:val="bottom"/>
          </w:tcPr>
          <w:p>
            <w:pPr>
              <w:jc w:val="center"/>
              <w:ind w:right="1427"/>
              <w:spacing w:after="0"/>
              <w:rPr>
                <w:sz w:val="20"/>
                <w:szCs w:val="20"/>
                <w:color w:val="auto"/>
              </w:rPr>
            </w:pPr>
            <w:r>
              <w:rPr>
                <w:rFonts w:ascii="Arial" w:cs="Arial" w:eastAsia="Arial" w:hAnsi="Arial"/>
                <w:sz w:val="17"/>
                <w:szCs w:val="17"/>
                <w:b w:val="1"/>
                <w:bCs w:val="1"/>
                <w:color w:val="auto"/>
                <w:w w:val="96"/>
              </w:rPr>
              <w:t>Delaware</w:t>
            </w:r>
          </w:p>
        </w:tc>
        <w:tc>
          <w:tcPr>
            <w:tcW w:w="3540" w:type="dxa"/>
            <w:vAlign w:val="bottom"/>
          </w:tcPr>
          <w:p>
            <w:pPr>
              <w:jc w:val="right"/>
              <w:ind w:right="506"/>
              <w:spacing w:after="0"/>
              <w:rPr>
                <w:sz w:val="20"/>
                <w:szCs w:val="20"/>
                <w:color w:val="auto"/>
              </w:rPr>
            </w:pPr>
            <w:r>
              <w:rPr>
                <w:rFonts w:ascii="Arial" w:cs="Arial" w:eastAsia="Arial" w:hAnsi="Arial"/>
                <w:sz w:val="17"/>
                <w:szCs w:val="17"/>
                <w:b w:val="1"/>
                <w:bCs w:val="1"/>
                <w:color w:val="auto"/>
              </w:rPr>
              <w:t>32-0420206</w:t>
            </w:r>
          </w:p>
        </w:tc>
        <w:tc>
          <w:tcPr>
            <w:tcW w:w="0" w:type="dxa"/>
            <w:vAlign w:val="bottom"/>
          </w:tcPr>
          <w:p>
            <w:pPr>
              <w:spacing w:after="0"/>
              <w:rPr>
                <w:sz w:val="1"/>
                <w:szCs w:val="1"/>
                <w:color w:val="auto"/>
              </w:rPr>
            </w:pPr>
          </w:p>
        </w:tc>
      </w:tr>
      <w:tr>
        <w:trPr>
          <w:trHeight w:val="213"/>
        </w:trPr>
        <w:tc>
          <w:tcPr>
            <w:tcW w:w="4860" w:type="dxa"/>
            <w:vAlign w:val="bottom"/>
          </w:tcPr>
          <w:p>
            <w:pPr>
              <w:jc w:val="center"/>
              <w:ind w:right="1427"/>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540" w:type="dxa"/>
            <w:vAlign w:val="bottom"/>
          </w:tcPr>
          <w:p>
            <w:pPr>
              <w:jc w:val="center"/>
              <w:ind w:left="1446"/>
              <w:spacing w:after="0"/>
              <w:rPr>
                <w:sz w:val="20"/>
                <w:szCs w:val="20"/>
                <w:color w:val="auto"/>
              </w:rPr>
            </w:pPr>
            <w:r>
              <w:rPr>
                <w:rFonts w:ascii="Arial" w:cs="Arial" w:eastAsia="Arial" w:hAnsi="Arial"/>
                <w:sz w:val="14"/>
                <w:szCs w:val="14"/>
                <w:color w:val="auto"/>
                <w:w w:val="93"/>
              </w:rPr>
              <w:t>(I.R.S. Employer Identification No.)</w:t>
            </w:r>
          </w:p>
        </w:tc>
        <w:tc>
          <w:tcPr>
            <w:tcW w:w="0" w:type="dxa"/>
            <w:vAlign w:val="bottom"/>
          </w:tcPr>
          <w:p>
            <w:pPr>
              <w:spacing w:after="0"/>
              <w:rPr>
                <w:sz w:val="1"/>
                <w:szCs w:val="1"/>
                <w:color w:val="auto"/>
              </w:rPr>
            </w:pPr>
          </w:p>
        </w:tc>
      </w:tr>
      <w:tr>
        <w:trPr>
          <w:trHeight w:val="290"/>
        </w:trPr>
        <w:tc>
          <w:tcPr>
            <w:tcW w:w="4860" w:type="dxa"/>
            <w:vAlign w:val="bottom"/>
          </w:tcPr>
          <w:p>
            <w:pPr>
              <w:jc w:val="center"/>
              <w:ind w:right="1427"/>
              <w:spacing w:after="0"/>
              <w:rPr>
                <w:sz w:val="20"/>
                <w:szCs w:val="20"/>
                <w:color w:val="auto"/>
              </w:rPr>
            </w:pPr>
            <w:r>
              <w:rPr>
                <w:rFonts w:ascii="Arial" w:cs="Arial" w:eastAsia="Arial" w:hAnsi="Arial"/>
                <w:sz w:val="14"/>
                <w:szCs w:val="14"/>
                <w:b w:val="1"/>
                <w:bCs w:val="1"/>
                <w:color w:val="auto"/>
                <w:w w:val="91"/>
              </w:rPr>
              <w:t>One Liberty Plaza</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860" w:type="dxa"/>
            <w:vAlign w:val="bottom"/>
          </w:tcPr>
          <w:p>
            <w:pPr>
              <w:jc w:val="center"/>
              <w:ind w:right="1427"/>
              <w:spacing w:after="0" w:line="145" w:lineRule="exact"/>
              <w:rPr>
                <w:sz w:val="20"/>
                <w:szCs w:val="20"/>
                <w:color w:val="auto"/>
              </w:rPr>
            </w:pPr>
            <w:r>
              <w:rPr>
                <w:rFonts w:ascii="Arial" w:cs="Arial" w:eastAsia="Arial" w:hAnsi="Arial"/>
                <w:sz w:val="14"/>
                <w:szCs w:val="14"/>
                <w:b w:val="1"/>
                <w:bCs w:val="1"/>
                <w:color w:val="auto"/>
                <w:w w:val="89"/>
              </w:rPr>
              <w:t>165 Broadway</w:t>
            </w:r>
          </w:p>
        </w:tc>
        <w:tc>
          <w:tcPr>
            <w:tcW w:w="3540" w:type="dxa"/>
            <w:vAlign w:val="bottom"/>
            <w:vMerge w:val="restart"/>
          </w:tcPr>
          <w:p>
            <w:pPr>
              <w:jc w:val="right"/>
              <w:ind w:right="766"/>
              <w:spacing w:after="0"/>
              <w:rPr>
                <w:sz w:val="20"/>
                <w:szCs w:val="20"/>
                <w:color w:val="auto"/>
              </w:rPr>
            </w:pPr>
            <w:r>
              <w:rPr>
                <w:rFonts w:ascii="Arial" w:cs="Arial" w:eastAsia="Arial" w:hAnsi="Arial"/>
                <w:sz w:val="14"/>
                <w:szCs w:val="14"/>
                <w:b w:val="1"/>
                <w:bCs w:val="1"/>
                <w:color w:val="auto"/>
              </w:rPr>
              <w:t>10006</w:t>
            </w:r>
          </w:p>
        </w:tc>
        <w:tc>
          <w:tcPr>
            <w:tcW w:w="0" w:type="dxa"/>
            <w:vAlign w:val="bottom"/>
          </w:tcPr>
          <w:p>
            <w:pPr>
              <w:spacing w:after="0"/>
              <w:rPr>
                <w:sz w:val="1"/>
                <w:szCs w:val="1"/>
                <w:color w:val="auto"/>
              </w:rPr>
            </w:pPr>
          </w:p>
        </w:tc>
      </w:tr>
      <w:tr>
        <w:trPr>
          <w:trHeight w:val="183"/>
        </w:trPr>
        <w:tc>
          <w:tcPr>
            <w:tcW w:w="4860" w:type="dxa"/>
            <w:vAlign w:val="bottom"/>
          </w:tcPr>
          <w:p>
            <w:pPr>
              <w:jc w:val="center"/>
              <w:ind w:right="1427"/>
              <w:spacing w:after="0"/>
              <w:rPr>
                <w:sz w:val="20"/>
                <w:szCs w:val="20"/>
                <w:color w:val="auto"/>
              </w:rPr>
            </w:pPr>
            <w:r>
              <w:rPr>
                <w:rFonts w:ascii="Arial" w:cs="Arial" w:eastAsia="Arial" w:hAnsi="Arial"/>
                <w:sz w:val="14"/>
                <w:szCs w:val="14"/>
                <w:b w:val="1"/>
                <w:bCs w:val="1"/>
                <w:color w:val="auto"/>
                <w:w w:val="91"/>
              </w:rPr>
              <w:t>New York, New York</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60" w:type="dxa"/>
            <w:vAlign w:val="bottom"/>
          </w:tcPr>
          <w:p>
            <w:pPr>
              <w:jc w:val="center"/>
              <w:ind w:right="1427"/>
              <w:spacing w:after="0"/>
              <w:rPr>
                <w:sz w:val="20"/>
                <w:szCs w:val="20"/>
                <w:color w:val="auto"/>
              </w:rPr>
            </w:pPr>
            <w:r>
              <w:rPr>
                <w:rFonts w:ascii="Arial" w:cs="Arial" w:eastAsia="Arial" w:hAnsi="Arial"/>
                <w:sz w:val="14"/>
                <w:szCs w:val="14"/>
                <w:color w:val="auto"/>
                <w:w w:val="91"/>
              </w:rPr>
              <w:t>(Address of principal executive offices)</w:t>
            </w:r>
          </w:p>
        </w:tc>
        <w:tc>
          <w:tcPr>
            <w:tcW w:w="3540" w:type="dxa"/>
            <w:vAlign w:val="bottom"/>
          </w:tcPr>
          <w:p>
            <w:pPr>
              <w:jc w:val="center"/>
              <w:ind w:left="1446"/>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3" w:lineRule="exact"/>
        <w:rPr>
          <w:sz w:val="24"/>
          <w:szCs w:val="24"/>
          <w:color w:val="auto"/>
        </w:rPr>
      </w:pPr>
    </w:p>
    <w:p>
      <w:pPr>
        <w:ind w:right="140" w:firstLine="315"/>
        <w:spacing w:after="0" w:line="21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580" w:firstLine="315"/>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320" w:firstLine="315"/>
        <w:spacing w:after="0" w:line="3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jc w:val="right"/>
        <w:ind w:left="1260" w:right="1240"/>
        <w:spacing w:after="0" w:line="22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ind w:right="160" w:firstLine="315"/>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73"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240" w:type="dxa"/>
            <w:vAlign w:val="bottom"/>
          </w:tcPr>
          <w:p>
            <w:pPr>
              <w:spacing w:after="0"/>
              <w:rPr>
                <w:sz w:val="16"/>
                <w:szCs w:val="16"/>
                <w:color w:val="auto"/>
              </w:rPr>
            </w:pPr>
          </w:p>
        </w:tc>
        <w:tc>
          <w:tcPr>
            <w:tcW w:w="38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8"/>
              </w:rPr>
              <w:t>Trading symbol(s)</w:t>
            </w:r>
          </w:p>
        </w:tc>
        <w:tc>
          <w:tcPr>
            <w:tcW w:w="100" w:type="dxa"/>
            <w:vAlign w:val="bottom"/>
            <w:tcBorders>
              <w:bottom w:val="single" w:sz="8" w:color="CCEEFF"/>
            </w:tcBorders>
          </w:tcPr>
          <w:p>
            <w:pPr>
              <w:spacing w:after="0"/>
              <w:rPr>
                <w:sz w:val="16"/>
                <w:szCs w:val="16"/>
                <w:color w:val="auto"/>
              </w:rPr>
            </w:pPr>
          </w:p>
        </w:tc>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4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15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8"/>
              </w:rPr>
              <w:t>VIRT</w:t>
            </w:r>
          </w:p>
        </w:tc>
        <w:tc>
          <w:tcPr>
            <w:tcW w:w="32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4"/>
              </w:rPr>
              <w:t>The NASDAQ Stock Market LLC</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240" w:type="dxa"/>
            <w:vAlign w:val="bottom"/>
          </w:tcPr>
          <w:p>
            <w:pPr>
              <w:spacing w:after="0"/>
              <w:rPr>
                <w:sz w:val="24"/>
                <w:szCs w:val="24"/>
                <w:color w:val="auto"/>
              </w:rPr>
            </w:pPr>
          </w:p>
        </w:tc>
        <w:tc>
          <w:tcPr>
            <w:tcW w:w="4120" w:type="dxa"/>
            <w:vAlign w:val="bottom"/>
            <w:gridSpan w:val="3"/>
            <w:vMerge w:val="restart"/>
          </w:tcPr>
          <w:p>
            <w:pPr>
              <w:ind w:left="3200"/>
              <w:spacing w:after="0"/>
              <w:rPr>
                <w:sz w:val="20"/>
                <w:szCs w:val="20"/>
                <w:color w:val="auto"/>
              </w:rPr>
            </w:pPr>
            <w:r>
              <w:rPr>
                <w:rFonts w:ascii="Arial" w:cs="Arial" w:eastAsia="Arial" w:hAnsi="Arial"/>
                <w:sz w:val="14"/>
                <w:szCs w:val="14"/>
                <w:b w:val="1"/>
                <w:bCs w:val="1"/>
                <w:color w:val="auto"/>
                <w:w w:val="93"/>
              </w:rPr>
              <w:t>Class of Stock</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outstanding as of</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4120" w:type="dxa"/>
            <w:vAlign w:val="bottom"/>
            <w:tcBorders>
              <w:bottom w:val="single" w:sz="8" w:color="auto"/>
            </w:tcBorders>
            <w:gridSpan w:val="3"/>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May 10, 2019</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4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3"/>
            <w:shd w:val="clear" w:color="auto" w:fill="CCEEFF"/>
          </w:tcPr>
          <w:p>
            <w:pPr>
              <w:jc w:val="center"/>
              <w:ind w:left="1583"/>
              <w:spacing w:after="0"/>
              <w:rPr>
                <w:sz w:val="20"/>
                <w:szCs w:val="20"/>
                <w:color w:val="auto"/>
              </w:rPr>
            </w:pPr>
            <w:r>
              <w:rPr>
                <w:rFonts w:ascii="Arial" w:cs="Arial" w:eastAsia="Arial" w:hAnsi="Arial"/>
                <w:sz w:val="16"/>
                <w:szCs w:val="16"/>
                <w:color w:val="auto"/>
                <w:w w:val="87"/>
              </w:rPr>
              <w:t>108,142,860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4120" w:type="dxa"/>
            <w:vAlign w:val="bottom"/>
            <w:gridSpan w:val="3"/>
          </w:tcPr>
          <w:p>
            <w:pPr>
              <w:ind w:left="20"/>
              <w:spacing w:after="0"/>
              <w:rPr>
                <w:sz w:val="20"/>
                <w:szCs w:val="20"/>
                <w:color w:val="auto"/>
              </w:rPr>
            </w:pPr>
            <w:r>
              <w:rPr>
                <w:rFonts w:ascii="Arial" w:cs="Arial" w:eastAsia="Arial" w:hAnsi="Arial"/>
                <w:sz w:val="16"/>
                <w:szCs w:val="16"/>
                <w:color w:val="auto"/>
              </w:rPr>
              <w:t>Class C common stock, par value $0.00001 per share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3"/>
          </w:tcPr>
          <w:p>
            <w:pPr>
              <w:jc w:val="center"/>
              <w:ind w:left="1583"/>
              <w:spacing w:after="0"/>
              <w:rPr>
                <w:sz w:val="20"/>
                <w:szCs w:val="20"/>
                <w:color w:val="auto"/>
              </w:rPr>
            </w:pPr>
            <w:r>
              <w:rPr>
                <w:rFonts w:ascii="Arial" w:cs="Arial" w:eastAsia="Arial" w:hAnsi="Arial"/>
                <w:sz w:val="16"/>
                <w:szCs w:val="16"/>
                <w:color w:val="auto"/>
                <w:w w:val="87"/>
              </w:rPr>
              <w:t>13,148,787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412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240" w:type="dxa"/>
            <w:vAlign w:val="bottom"/>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Class D common stock, par value $0.00001 per share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3"/>
            <w:shd w:val="clear" w:color="auto" w:fill="CCEEFF"/>
          </w:tcPr>
          <w:p>
            <w:pPr>
              <w:jc w:val="center"/>
              <w:ind w:left="1583"/>
              <w:spacing w:after="0"/>
              <w:rPr>
                <w:sz w:val="20"/>
                <w:szCs w:val="20"/>
                <w:color w:val="auto"/>
              </w:rPr>
            </w:pPr>
            <w:r>
              <w:rPr>
                <w:rFonts w:ascii="Arial" w:cs="Arial" w:eastAsia="Arial" w:hAnsi="Arial"/>
                <w:sz w:val="16"/>
                <w:szCs w:val="16"/>
                <w:color w:val="auto"/>
                <w:w w:val="87"/>
              </w:rPr>
              <w:t>69,091,740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36"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FORM 10-Q</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 ENDED MARCH 31, 2019</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PAGE</w:t>
            </w:r>
          </w:p>
        </w:tc>
      </w:t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r>
      <w:tr>
        <w:trPr>
          <w:trHeight w:val="459"/>
        </w:trPr>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8"/>
              </w:rPr>
              <w:t>PART I -</w:t>
            </w:r>
          </w:p>
        </w:tc>
        <w:tc>
          <w:tcPr>
            <w:tcW w:w="800" w:type="dxa"/>
            <w:vAlign w:val="bottom"/>
            <w:gridSpan w:val="2"/>
          </w:tcPr>
          <w:p>
            <w:pPr>
              <w:spacing w:after="0"/>
              <w:rPr>
                <w:sz w:val="24"/>
                <w:szCs w:val="24"/>
                <w:color w:val="auto"/>
              </w:rPr>
            </w:pPr>
          </w:p>
        </w:tc>
        <w:tc>
          <w:tcPr>
            <w:tcW w:w="2200" w:type="dxa"/>
            <w:vAlign w:val="bottom"/>
            <w:tcBorders>
              <w:bottom w:val="single" w:sz="8" w:color="0000EE"/>
            </w:tcBorders>
            <w:gridSpan w:val="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INFORMATION</w:t>
              </w:r>
            </w:hyperlink>
          </w:p>
        </w:tc>
        <w:tc>
          <w:tcPr>
            <w:tcW w:w="654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540" w:type="dxa"/>
            <w:vAlign w:val="bottom"/>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Item 1.</w:t>
              </w:r>
            </w:hyperlink>
          </w:p>
        </w:tc>
        <w:tc>
          <w:tcPr>
            <w:tcW w:w="920" w:type="dxa"/>
            <w:vAlign w:val="bottom"/>
            <w:gridSpan w:val="3"/>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80" w:type="dxa"/>
            <w:vAlign w:val="bottom"/>
            <w:tcBorders>
              <w:bottom w:val="single" w:sz="8" w:color="0000EE"/>
            </w:tcBorders>
            <w:gridSpan w:val="15"/>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Condensed Consolidated Statements of Financial Condition (Unaudited)</w:t>
              </w:r>
            </w:hyperlink>
          </w:p>
        </w:tc>
        <w:tc>
          <w:tcPr>
            <w:tcW w:w="3660" w:type="dxa"/>
            <w:vAlign w:val="bottom"/>
            <w:gridSpan w:val="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3</w:t>
              </w:r>
            </w:hyperlink>
          </w:p>
        </w:tc>
      </w:tr>
      <w:tr>
        <w:trPr>
          <w:trHeight w:val="242"/>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40" w:type="dxa"/>
            <w:vAlign w:val="bottom"/>
            <w:gridSpan w:val="1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Comprehensive Income (Loss) (Unaudited)</w:t>
              </w:r>
            </w:hyperlink>
          </w:p>
        </w:tc>
        <w:tc>
          <w:tcPr>
            <w:tcW w:w="1140" w:type="dxa"/>
            <w:vAlign w:val="bottom"/>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5</w:t>
              </w:r>
            </w:hyperlink>
          </w:p>
        </w:tc>
      </w:tr>
      <w:tr>
        <w:trPr>
          <w:trHeight w:val="242"/>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98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Condensed Consolidated Statements of Changes in Equity (Unaudited)</w:t>
              </w:r>
            </w:hyperlink>
          </w:p>
        </w:tc>
        <w:tc>
          <w:tcPr>
            <w:tcW w:w="860" w:type="dxa"/>
            <w:vAlign w:val="bottom"/>
            <w:tcBorders>
              <w:top w:val="single" w:sz="8" w:color="0000EE"/>
            </w:tcBorders>
            <w:gridSpan w:val="2"/>
          </w:tcPr>
          <w:p>
            <w:pPr>
              <w:spacing w:after="0"/>
              <w:rPr>
                <w:sz w:val="21"/>
                <w:szCs w:val="21"/>
                <w:color w:val="auto"/>
              </w:rPr>
            </w:pPr>
          </w:p>
        </w:tc>
        <w:tc>
          <w:tcPr>
            <w:tcW w:w="2900" w:type="dxa"/>
            <w:vAlign w:val="bottom"/>
            <w:gridSpan w:val="2"/>
          </w:tcPr>
          <w:p>
            <w:pPr>
              <w:spacing w:after="0"/>
              <w:rPr>
                <w:sz w:val="21"/>
                <w:szCs w:val="21"/>
                <w:color w:val="auto"/>
              </w:rPr>
            </w:pPr>
          </w:p>
        </w:tc>
        <w:tc>
          <w:tcPr>
            <w:tcW w:w="1140" w:type="dxa"/>
            <w:vAlign w:val="bottom"/>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6</w:t>
              </w:r>
            </w:hyperlink>
          </w:p>
        </w:tc>
      </w:tr>
      <w:tr>
        <w:trPr>
          <w:trHeight w:val="242"/>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40" w:type="dxa"/>
            <w:vAlign w:val="bottom"/>
            <w:gridSpan w:val="1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Cash Flows (Unaudited)</w:t>
              </w:r>
            </w:hyperlink>
          </w:p>
        </w:tc>
        <w:tc>
          <w:tcPr>
            <w:tcW w:w="1140" w:type="dxa"/>
            <w:vAlign w:val="bottom"/>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2"/>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780" w:type="dxa"/>
            <w:vAlign w:val="bottom"/>
            <w:tcBorders>
              <w:bottom w:val="single" w:sz="8" w:color="0000EE"/>
            </w:tcBorders>
            <w:gridSpan w:val="13"/>
          </w:tcPr>
          <w:p>
            <w:pPr>
              <w:spacing w:after="0"/>
              <w:rPr>
                <w:rFonts w:ascii="Arial" w:cs="Arial" w:eastAsia="Arial" w:hAnsi="Arial"/>
                <w:sz w:val="17"/>
                <w:szCs w:val="17"/>
                <w:color w:val="0000EE"/>
                <w:w w:val="92"/>
              </w:rPr>
            </w:pPr>
            <w:hyperlink w:anchor="page10">
              <w:r>
                <w:rPr>
                  <w:rFonts w:ascii="Arial" w:cs="Arial" w:eastAsia="Arial" w:hAnsi="Arial"/>
                  <w:sz w:val="17"/>
                  <w:szCs w:val="17"/>
                  <w:color w:val="0000EE"/>
                  <w:w w:val="92"/>
                </w:rPr>
                <w:t>Notes to Condensed Consolidated Financial Statements (Unaudited)</w:t>
              </w:r>
            </w:hyperlink>
          </w:p>
        </w:tc>
        <w:tc>
          <w:tcPr>
            <w:tcW w:w="3960" w:type="dxa"/>
            <w:vAlign w:val="bottom"/>
            <w:gridSpan w:val="5"/>
          </w:tcPr>
          <w:p>
            <w:pPr>
              <w:spacing w:after="0"/>
              <w:rPr>
                <w:sz w:val="21"/>
                <w:szCs w:val="21"/>
                <w:color w:val="auto"/>
              </w:rPr>
            </w:pPr>
          </w:p>
        </w:tc>
        <w:tc>
          <w:tcPr>
            <w:tcW w:w="1140" w:type="dxa"/>
            <w:vAlign w:val="bottom"/>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9</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54">
              <w:r>
                <w:rPr>
                  <w:rFonts w:ascii="Arial" w:cs="Arial" w:eastAsia="Arial" w:hAnsi="Arial"/>
                  <w:sz w:val="17"/>
                  <w:szCs w:val="17"/>
                  <w:color w:val="0000EE"/>
                  <w:w w:val="99"/>
                </w:rPr>
                <w:t>Item 2.</w:t>
              </w:r>
            </w:hyperlink>
          </w:p>
        </w:tc>
        <w:tc>
          <w:tcPr>
            <w:tcW w:w="920" w:type="dxa"/>
            <w:vAlign w:val="bottom"/>
            <w:gridSpan w:val="3"/>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Management’s Discussion and Analysis of Financial Condition and Results of Operations</w:t>
              </w:r>
            </w:hyperlink>
          </w:p>
        </w:tc>
        <w:tc>
          <w:tcPr>
            <w:tcW w:w="1140" w:type="dxa"/>
            <w:vAlign w:val="bottom"/>
          </w:tcPr>
          <w:p>
            <w:pPr>
              <w:jc w:val="right"/>
              <w:spacing w:after="0"/>
              <w:rPr>
                <w:rFonts w:ascii="Arial" w:cs="Arial" w:eastAsia="Arial" w:hAnsi="Arial"/>
                <w:sz w:val="17"/>
                <w:szCs w:val="17"/>
                <w:color w:val="0000EE"/>
              </w:rPr>
            </w:pPr>
            <w:hyperlink w:anchor="page54">
              <w:r>
                <w:rPr>
                  <w:rFonts w:ascii="Arial" w:cs="Arial" w:eastAsia="Arial" w:hAnsi="Arial"/>
                  <w:sz w:val="17"/>
                  <w:szCs w:val="17"/>
                  <w:color w:val="0000EE"/>
                </w:rPr>
                <w:t>53</w:t>
              </w:r>
            </w:hyperlink>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81">
              <w:r>
                <w:rPr>
                  <w:rFonts w:ascii="Arial" w:cs="Arial" w:eastAsia="Arial" w:hAnsi="Arial"/>
                  <w:sz w:val="17"/>
                  <w:szCs w:val="17"/>
                  <w:color w:val="0000EE"/>
                  <w:w w:val="99"/>
                </w:rPr>
                <w:t>Item 3.</w:t>
              </w:r>
            </w:hyperlink>
          </w:p>
        </w:tc>
        <w:tc>
          <w:tcPr>
            <w:tcW w:w="920" w:type="dxa"/>
            <w:vAlign w:val="bottom"/>
            <w:gridSpan w:val="3"/>
          </w:tcPr>
          <w:p>
            <w:pPr>
              <w:spacing w:after="0"/>
              <w:rPr>
                <w:sz w:val="24"/>
                <w:szCs w:val="24"/>
                <w:color w:val="auto"/>
              </w:rPr>
            </w:pPr>
          </w:p>
        </w:tc>
        <w:tc>
          <w:tcPr>
            <w:tcW w:w="426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5"/>
              </w:rPr>
            </w:pPr>
            <w:hyperlink w:anchor="page81">
              <w:r>
                <w:rPr>
                  <w:rFonts w:ascii="Arial" w:cs="Arial" w:eastAsia="Arial" w:hAnsi="Arial"/>
                  <w:sz w:val="17"/>
                  <w:szCs w:val="17"/>
                  <w:color w:val="0000EE"/>
                  <w:w w:val="95"/>
                </w:rPr>
                <w:t>Quantitative and Qualitative Disclosures About Market Risk</w:t>
              </w:r>
            </w:hyperlink>
          </w:p>
        </w:tc>
        <w:tc>
          <w:tcPr>
            <w:tcW w:w="2020" w:type="dxa"/>
            <w:vAlign w:val="bottom"/>
            <w:tcBorders>
              <w:top w:val="single" w:sz="8" w:color="0000EE"/>
            </w:tcBorders>
            <w:gridSpan w:val="6"/>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1">
              <w:r>
                <w:rPr>
                  <w:rFonts w:ascii="Arial" w:cs="Arial" w:eastAsia="Arial" w:hAnsi="Arial"/>
                  <w:sz w:val="17"/>
                  <w:szCs w:val="17"/>
                  <w:color w:val="0000EE"/>
                </w:rPr>
                <w:t>80</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83">
              <w:r>
                <w:rPr>
                  <w:rFonts w:ascii="Arial" w:cs="Arial" w:eastAsia="Arial" w:hAnsi="Arial"/>
                  <w:sz w:val="17"/>
                  <w:szCs w:val="17"/>
                  <w:color w:val="0000EE"/>
                  <w:w w:val="99"/>
                </w:rPr>
                <w:t>Item 4.</w:t>
              </w:r>
            </w:hyperlink>
          </w:p>
        </w:tc>
        <w:tc>
          <w:tcPr>
            <w:tcW w:w="920" w:type="dxa"/>
            <w:vAlign w:val="bottom"/>
            <w:gridSpan w:val="3"/>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Controls and Procedures</w:t>
              </w:r>
            </w:hyperlink>
          </w:p>
        </w:tc>
        <w:tc>
          <w:tcPr>
            <w:tcW w:w="1140" w:type="dxa"/>
            <w:vAlign w:val="bottom"/>
          </w:tcPr>
          <w:p>
            <w:pPr>
              <w:jc w:val="right"/>
              <w:spacing w:after="0"/>
              <w:rPr>
                <w:rFonts w:ascii="Arial" w:cs="Arial" w:eastAsia="Arial" w:hAnsi="Arial"/>
                <w:sz w:val="17"/>
                <w:szCs w:val="17"/>
                <w:color w:val="0000EE"/>
              </w:rPr>
            </w:pPr>
            <w:hyperlink w:anchor="page83">
              <w:r>
                <w:rPr>
                  <w:rFonts w:ascii="Arial" w:cs="Arial" w:eastAsia="Arial" w:hAnsi="Arial"/>
                  <w:sz w:val="17"/>
                  <w:szCs w:val="17"/>
                  <w:color w:val="0000EE"/>
                </w:rPr>
                <w:t>82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720" w:type="dxa"/>
            <w:vAlign w:val="bottom"/>
            <w:tcBorders>
              <w:bottom w:val="single" w:sz="8" w:color="0000EE"/>
            </w:tcBorders>
            <w:gridSpan w:val="3"/>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PART II -</w:t>
              </w:r>
            </w:hyperlink>
          </w:p>
        </w:tc>
        <w:tc>
          <w:tcPr>
            <w:tcW w:w="74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7"/>
                <w:szCs w:val="17"/>
                <w:color w:val="0000EE"/>
                <w:w w:val="99"/>
              </w:rPr>
            </w:pPr>
            <w:hyperlink w:anchor="page84">
              <w:r>
                <w:rPr>
                  <w:rFonts w:ascii="Arial" w:cs="Arial" w:eastAsia="Arial" w:hAnsi="Arial"/>
                  <w:sz w:val="17"/>
                  <w:szCs w:val="17"/>
                  <w:color w:val="0000EE"/>
                  <w:w w:val="99"/>
                </w:rPr>
                <w:t>OTHER INFORMATION</w:t>
              </w:r>
            </w:hyperlink>
          </w:p>
        </w:tc>
        <w:tc>
          <w:tcPr>
            <w:tcW w:w="690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540" w:type="dxa"/>
            <w:vAlign w:val="bottom"/>
          </w:tcPr>
          <w:p>
            <w:pPr>
              <w:spacing w:after="0"/>
              <w:rPr>
                <w:rFonts w:ascii="Arial" w:cs="Arial" w:eastAsia="Arial" w:hAnsi="Arial"/>
                <w:sz w:val="17"/>
                <w:szCs w:val="17"/>
                <w:color w:val="0000EE"/>
                <w:w w:val="99"/>
              </w:rPr>
            </w:pPr>
            <w:hyperlink w:anchor="page84">
              <w:r>
                <w:rPr>
                  <w:rFonts w:ascii="Arial" w:cs="Arial" w:eastAsia="Arial" w:hAnsi="Arial"/>
                  <w:sz w:val="17"/>
                  <w:szCs w:val="17"/>
                  <w:color w:val="0000EE"/>
                  <w:w w:val="99"/>
                </w:rPr>
                <w:t>Item 1.</w:t>
              </w:r>
            </w:hyperlink>
          </w:p>
        </w:tc>
        <w:tc>
          <w:tcPr>
            <w:tcW w:w="920" w:type="dxa"/>
            <w:vAlign w:val="bottom"/>
            <w:gridSpan w:val="3"/>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Legal Proceedings</w:t>
              </w:r>
            </w:hyperlink>
          </w:p>
        </w:tc>
        <w:tc>
          <w:tcPr>
            <w:tcW w:w="1140" w:type="dxa"/>
            <w:vAlign w:val="bottom"/>
          </w:tcPr>
          <w:p>
            <w:pPr>
              <w:jc w:val="right"/>
              <w:spacing w:after="0"/>
              <w:rPr>
                <w:rFonts w:ascii="Arial" w:cs="Arial" w:eastAsia="Arial" w:hAnsi="Arial"/>
                <w:sz w:val="17"/>
                <w:szCs w:val="17"/>
                <w:color w:val="0000EE"/>
              </w:rPr>
            </w:pPr>
            <w:hyperlink w:anchor="page84">
              <w:r>
                <w:rPr>
                  <w:rFonts w:ascii="Arial" w:cs="Arial" w:eastAsia="Arial" w:hAnsi="Arial"/>
                  <w:sz w:val="17"/>
                  <w:szCs w:val="17"/>
                  <w:color w:val="0000EE"/>
                </w:rPr>
                <w:t>83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660" w:type="dxa"/>
            <w:vAlign w:val="bottom"/>
            <w:gridSpan w:val="2"/>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Item 1A.</w:t>
              </w:r>
            </w:hyperlink>
          </w:p>
        </w:tc>
        <w:tc>
          <w:tcPr>
            <w:tcW w:w="800" w:type="dxa"/>
            <w:vAlign w:val="bottom"/>
            <w:gridSpan w:val="2"/>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Risk Factors</w:t>
              </w:r>
            </w:hyperlink>
          </w:p>
        </w:tc>
        <w:tc>
          <w:tcPr>
            <w:tcW w:w="1140" w:type="dxa"/>
            <w:vAlign w:val="bottom"/>
          </w:tcPr>
          <w:p>
            <w:pPr>
              <w:jc w:val="right"/>
              <w:spacing w:after="0"/>
              <w:rPr>
                <w:rFonts w:ascii="Arial" w:cs="Arial" w:eastAsia="Arial" w:hAnsi="Arial"/>
                <w:sz w:val="17"/>
                <w:szCs w:val="17"/>
                <w:color w:val="0000EE"/>
              </w:rPr>
            </w:pPr>
            <w:hyperlink w:anchor="page84">
              <w:r>
                <w:rPr>
                  <w:rFonts w:ascii="Arial" w:cs="Arial" w:eastAsia="Arial" w:hAnsi="Arial"/>
                  <w:sz w:val="17"/>
                  <w:szCs w:val="17"/>
                  <w:color w:val="0000EE"/>
                </w:rPr>
                <w:t>83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84">
              <w:r>
                <w:rPr>
                  <w:rFonts w:ascii="Arial" w:cs="Arial" w:eastAsia="Arial" w:hAnsi="Arial"/>
                  <w:sz w:val="17"/>
                  <w:szCs w:val="17"/>
                  <w:color w:val="0000EE"/>
                  <w:w w:val="99"/>
                </w:rPr>
                <w:t>Item 2.</w:t>
              </w:r>
            </w:hyperlink>
          </w:p>
        </w:tc>
        <w:tc>
          <w:tcPr>
            <w:tcW w:w="1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84">
              <w:r>
                <w:rPr>
                  <w:rFonts w:ascii="Arial" w:cs="Arial" w:eastAsia="Arial" w:hAnsi="Arial"/>
                  <w:sz w:val="17"/>
                  <w:szCs w:val="17"/>
                  <w:color w:val="0000EE"/>
                  <w:w w:val="92"/>
                </w:rPr>
                <w:t>Unregistered Sales of Equity Securities and Use of Proceeds</w:t>
              </w:r>
            </w:hyperlink>
          </w:p>
        </w:tc>
        <w:tc>
          <w:tcPr>
            <w:tcW w:w="4500" w:type="dxa"/>
            <w:vAlign w:val="bottom"/>
            <w:gridSpan w:val="8"/>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4">
              <w:r>
                <w:rPr>
                  <w:rFonts w:ascii="Arial" w:cs="Arial" w:eastAsia="Arial" w:hAnsi="Arial"/>
                  <w:sz w:val="17"/>
                  <w:szCs w:val="17"/>
                  <w:color w:val="0000EE"/>
                </w:rPr>
                <w:t>83</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85">
              <w:r>
                <w:rPr>
                  <w:rFonts w:ascii="Arial" w:cs="Arial" w:eastAsia="Arial" w:hAnsi="Arial"/>
                  <w:sz w:val="17"/>
                  <w:szCs w:val="17"/>
                  <w:color w:val="0000EE"/>
                  <w:w w:val="99"/>
                </w:rPr>
                <w:t>Item 3.</w:t>
              </w:r>
            </w:hyperlink>
          </w:p>
        </w:tc>
        <w:tc>
          <w:tcPr>
            <w:tcW w:w="920" w:type="dxa"/>
            <w:vAlign w:val="bottom"/>
            <w:gridSpan w:val="3"/>
          </w:tcPr>
          <w:p>
            <w:pPr>
              <w:spacing w:after="0"/>
              <w:rPr>
                <w:sz w:val="24"/>
                <w:szCs w:val="24"/>
                <w:color w:val="auto"/>
              </w:rPr>
            </w:pPr>
          </w:p>
        </w:tc>
        <w:tc>
          <w:tcPr>
            <w:tcW w:w="8740" w:type="dxa"/>
            <w:vAlign w:val="bottom"/>
            <w:gridSpan w:val="18"/>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Defaults Upon Senior Securities</w:t>
              </w:r>
            </w:hyperlink>
          </w:p>
        </w:tc>
        <w:tc>
          <w:tcPr>
            <w:tcW w:w="1140" w:type="dxa"/>
            <w:vAlign w:val="bottom"/>
          </w:tcPr>
          <w:p>
            <w:pPr>
              <w:jc w:val="right"/>
              <w:spacing w:after="0"/>
              <w:rPr>
                <w:rFonts w:ascii="Arial" w:cs="Arial" w:eastAsia="Arial" w:hAnsi="Arial"/>
                <w:sz w:val="17"/>
                <w:szCs w:val="17"/>
                <w:color w:val="0000EE"/>
              </w:rPr>
            </w:pPr>
            <w:hyperlink w:anchor="page85">
              <w:r>
                <w:rPr>
                  <w:rFonts w:ascii="Arial" w:cs="Arial" w:eastAsia="Arial" w:hAnsi="Arial"/>
                  <w:sz w:val="17"/>
                  <w:szCs w:val="17"/>
                  <w:color w:val="0000EE"/>
                </w:rPr>
                <w:t>84</w:t>
              </w:r>
            </w:hyperlink>
          </w:p>
        </w:tc>
      </w:tr>
      <w:tr>
        <w:trPr>
          <w:trHeight w:val="505"/>
        </w:trPr>
        <w:tc>
          <w:tcPr>
            <w:tcW w:w="540" w:type="dxa"/>
            <w:vAlign w:val="bottom"/>
            <w:tcBorders>
              <w:top w:val="single" w:sz="8" w:color="0000EE"/>
            </w:tcBorders>
          </w:tcPr>
          <w:p>
            <w:pPr>
              <w:spacing w:after="0"/>
              <w:rPr>
                <w:rFonts w:ascii="Arial" w:cs="Arial" w:eastAsia="Arial" w:hAnsi="Arial"/>
                <w:sz w:val="17"/>
                <w:szCs w:val="17"/>
                <w:color w:val="0000EE"/>
                <w:w w:val="99"/>
              </w:rPr>
            </w:pPr>
            <w:hyperlink w:anchor="page85">
              <w:r>
                <w:rPr>
                  <w:rFonts w:ascii="Arial" w:cs="Arial" w:eastAsia="Arial" w:hAnsi="Arial"/>
                  <w:sz w:val="17"/>
                  <w:szCs w:val="17"/>
                  <w:color w:val="0000EE"/>
                  <w:w w:val="99"/>
                </w:rPr>
                <w:t>Item 4.</w:t>
              </w:r>
            </w:hyperlink>
          </w:p>
        </w:tc>
        <w:tc>
          <w:tcPr>
            <w:tcW w:w="920" w:type="dxa"/>
            <w:vAlign w:val="bottom"/>
            <w:gridSpan w:val="3"/>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Mine Safety Disclosures</w:t>
              </w:r>
            </w:hyperlink>
          </w:p>
        </w:tc>
        <w:tc>
          <w:tcPr>
            <w:tcW w:w="6480" w:type="dxa"/>
            <w:vAlign w:val="bottom"/>
            <w:gridSpan w:val="9"/>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5">
              <w:r>
                <w:rPr>
                  <w:rFonts w:ascii="Arial" w:cs="Arial" w:eastAsia="Arial" w:hAnsi="Arial"/>
                  <w:sz w:val="17"/>
                  <w:szCs w:val="17"/>
                  <w:color w:val="0000EE"/>
                </w:rPr>
                <w:t>84</w:t>
              </w:r>
            </w:hyperlink>
          </w:p>
        </w:tc>
      </w:tr>
      <w:tr>
        <w:trPr>
          <w:trHeight w:val="505"/>
        </w:trPr>
        <w:tc>
          <w:tcPr>
            <w:tcW w:w="540" w:type="dxa"/>
            <w:vAlign w:val="bottom"/>
            <w:tcBorders>
              <w:top w:val="single" w:sz="8" w:color="0000EE"/>
            </w:tcBorders>
          </w:tcPr>
          <w:p>
            <w:pPr>
              <w:spacing w:after="0"/>
              <w:rPr>
                <w:rFonts w:ascii="Arial" w:cs="Arial" w:eastAsia="Arial" w:hAnsi="Arial"/>
                <w:sz w:val="17"/>
                <w:szCs w:val="17"/>
                <w:color w:val="0000EE"/>
                <w:w w:val="99"/>
              </w:rPr>
            </w:pPr>
            <w:hyperlink w:anchor="page85">
              <w:r>
                <w:rPr>
                  <w:rFonts w:ascii="Arial" w:cs="Arial" w:eastAsia="Arial" w:hAnsi="Arial"/>
                  <w:sz w:val="17"/>
                  <w:szCs w:val="17"/>
                  <w:color w:val="0000EE"/>
                  <w:w w:val="99"/>
                </w:rPr>
                <w:t>Item 5.</w:t>
              </w:r>
            </w:hyperlink>
          </w:p>
        </w:tc>
        <w:tc>
          <w:tcPr>
            <w:tcW w:w="920" w:type="dxa"/>
            <w:vAlign w:val="bottom"/>
            <w:gridSpan w:val="3"/>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Other Information</w:t>
              </w:r>
            </w:hyperlink>
          </w:p>
        </w:tc>
        <w:tc>
          <w:tcPr>
            <w:tcW w:w="7020" w:type="dxa"/>
            <w:vAlign w:val="bottom"/>
            <w:gridSpan w:val="1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5">
              <w:r>
                <w:rPr>
                  <w:rFonts w:ascii="Arial" w:cs="Arial" w:eastAsia="Arial" w:hAnsi="Arial"/>
                  <w:sz w:val="17"/>
                  <w:szCs w:val="17"/>
                  <w:color w:val="0000EE"/>
                </w:rPr>
                <w:t>84</w:t>
              </w:r>
            </w:hyperlink>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85">
              <w:r>
                <w:rPr>
                  <w:rFonts w:ascii="Arial" w:cs="Arial" w:eastAsia="Arial" w:hAnsi="Arial"/>
                  <w:sz w:val="17"/>
                  <w:szCs w:val="17"/>
                  <w:color w:val="0000EE"/>
                  <w:w w:val="99"/>
                </w:rPr>
                <w:t>Item 6.</w:t>
              </w:r>
            </w:hyperlink>
          </w:p>
        </w:tc>
        <w:tc>
          <w:tcPr>
            <w:tcW w:w="92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7"/>
                <w:szCs w:val="17"/>
                <w:color w:val="0000EE"/>
                <w:w w:val="97"/>
              </w:rPr>
            </w:pPr>
            <w:hyperlink w:anchor="page85">
              <w:r>
                <w:rPr>
                  <w:rFonts w:ascii="Arial" w:cs="Arial" w:eastAsia="Arial" w:hAnsi="Arial"/>
                  <w:sz w:val="17"/>
                  <w:szCs w:val="17"/>
                  <w:color w:val="0000EE"/>
                  <w:w w:val="97"/>
                </w:rPr>
                <w:t>Exhibits</w:t>
              </w:r>
            </w:hyperlink>
          </w:p>
        </w:tc>
        <w:tc>
          <w:tcPr>
            <w:tcW w:w="700" w:type="dxa"/>
            <w:vAlign w:val="bottom"/>
            <w:tcBorders>
              <w:top w:val="single" w:sz="8" w:color="0000EE"/>
            </w:tcBorders>
            <w:gridSpan w:val="3"/>
          </w:tcPr>
          <w:p>
            <w:pPr>
              <w:spacing w:after="0"/>
              <w:rPr>
                <w:sz w:val="24"/>
                <w:szCs w:val="24"/>
                <w:color w:val="auto"/>
              </w:rPr>
            </w:pPr>
          </w:p>
        </w:tc>
        <w:tc>
          <w:tcPr>
            <w:tcW w:w="7440" w:type="dxa"/>
            <w:vAlign w:val="bottom"/>
            <w:gridSpan w:val="14"/>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5">
              <w:r>
                <w:rPr>
                  <w:rFonts w:ascii="Arial" w:cs="Arial" w:eastAsia="Arial" w:hAnsi="Arial"/>
                  <w:sz w:val="17"/>
                  <w:szCs w:val="17"/>
                  <w:color w:val="0000EE"/>
                </w:rPr>
                <w:t>84</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Borders>
              <w:bottom w:val="single" w:sz="8" w:color="0000EE"/>
            </w:tcBorders>
            <w:gridSpan w:val="3"/>
          </w:tcPr>
          <w:p>
            <w:pPr>
              <w:spacing w:after="0"/>
              <w:rPr>
                <w:rFonts w:ascii="Arial" w:cs="Arial" w:eastAsia="Arial" w:hAnsi="Arial"/>
                <w:sz w:val="17"/>
                <w:szCs w:val="17"/>
                <w:color w:val="0000EE"/>
                <w:w w:val="95"/>
              </w:rPr>
            </w:pPr>
            <w:hyperlink w:anchor="page86">
              <w:r>
                <w:rPr>
                  <w:rFonts w:ascii="Arial" w:cs="Arial" w:eastAsia="Arial" w:hAnsi="Arial"/>
                  <w:sz w:val="17"/>
                  <w:szCs w:val="17"/>
                  <w:color w:val="0000EE"/>
                  <w:w w:val="95"/>
                </w:rPr>
                <w:t>SIGNATURES</w:t>
              </w:r>
            </w:hyperlink>
          </w:p>
        </w:tc>
        <w:tc>
          <w:tcPr>
            <w:tcW w:w="7660" w:type="dxa"/>
            <w:vAlign w:val="bottom"/>
            <w:gridSpan w:val="1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0000EE"/>
              </w:rPr>
            </w:pPr>
            <w:hyperlink w:anchor="page86">
              <w:r>
                <w:rPr>
                  <w:rFonts w:ascii="Arial" w:cs="Arial" w:eastAsia="Arial" w:hAnsi="Arial"/>
                  <w:sz w:val="17"/>
                  <w:szCs w:val="17"/>
                  <w:color w:val="0000EE"/>
                </w:rPr>
                <w:t>85</w:t>
              </w:r>
            </w:hyperlink>
          </w:p>
        </w:tc>
      </w:tr>
    </w:tbl>
    <w:p>
      <w:pPr>
        <w:spacing w:after="0" w:line="250"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Condensed Consolidated Financial Statements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40" w:type="dxa"/>
            <w:vAlign w:val="bottom"/>
          </w:tcPr>
          <w:p>
            <w:pPr>
              <w:jc w:val="right"/>
              <w:ind w:right="358"/>
              <w:spacing w:after="0"/>
              <w:rPr>
                <w:sz w:val="20"/>
                <w:szCs w:val="20"/>
                <w:color w:val="auto"/>
              </w:rPr>
            </w:pPr>
            <w:r>
              <w:rPr>
                <w:rFonts w:ascii="Arial" w:cs="Arial" w:eastAsia="Arial" w:hAnsi="Arial"/>
                <w:sz w:val="14"/>
                <w:szCs w:val="14"/>
                <w:b w:val="1"/>
                <w:bCs w:val="1"/>
                <w:color w:val="auto"/>
              </w:rPr>
              <w:t>PAGE</w:t>
            </w:r>
          </w:p>
        </w:tc>
      </w:tr>
      <w:tr>
        <w:trPr>
          <w:trHeight w:val="188"/>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NUMBER</w:t>
            </w:r>
          </w:p>
        </w:tc>
      </w:tr>
      <w:tr>
        <w:trPr>
          <w:trHeight w:val="195"/>
        </w:trPr>
        <w:tc>
          <w:tcPr>
            <w:tcW w:w="10140" w:type="dxa"/>
            <w:vAlign w:val="bottom"/>
            <w:gridSpan w:val="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Financial Condition (Unaudited)</w:t>
              </w:r>
            </w:hyperlink>
          </w:p>
        </w:tc>
        <w:tc>
          <w:tcPr>
            <w:tcW w:w="1240" w:type="dxa"/>
            <w:vAlign w:val="bottom"/>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3</w:t>
              </w:r>
            </w:hyperlink>
          </w:p>
        </w:tc>
      </w:tr>
      <w:tr>
        <w:trPr>
          <w:trHeight w:val="20"/>
        </w:trPr>
        <w:tc>
          <w:tcPr>
            <w:tcW w:w="4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05"/>
        </w:trPr>
        <w:tc>
          <w:tcPr>
            <w:tcW w:w="10140" w:type="dxa"/>
            <w:vAlign w:val="bottom"/>
            <w:gridSpan w:val="6"/>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Comprehensive Income (Loss) (Unaudited)</w:t>
              </w:r>
            </w:hyperlink>
          </w:p>
        </w:tc>
        <w:tc>
          <w:tcPr>
            <w:tcW w:w="1240" w:type="dxa"/>
            <w:vAlign w:val="bottom"/>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5</w:t>
              </w:r>
            </w:hyperlink>
          </w:p>
        </w:tc>
      </w:tr>
      <w:tr>
        <w:trPr>
          <w:trHeight w:val="505"/>
        </w:trPr>
        <w:tc>
          <w:tcPr>
            <w:tcW w:w="5820" w:type="dxa"/>
            <w:vAlign w:val="bottom"/>
            <w:tcBorders>
              <w:top w:val="single" w:sz="8" w:color="0000EE"/>
            </w:tcBorders>
            <w:gridSpan w:val="5"/>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Changes in Equity (Unaudited)</w:t>
              </w:r>
            </w:hyperlink>
          </w:p>
        </w:tc>
        <w:tc>
          <w:tcPr>
            <w:tcW w:w="432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6</w:t>
              </w:r>
            </w:hyperlink>
          </w:p>
        </w:tc>
      </w:tr>
      <w:tr>
        <w:trPr>
          <w:trHeight w:val="505"/>
        </w:trPr>
        <w:tc>
          <w:tcPr>
            <w:tcW w:w="4540" w:type="dxa"/>
            <w:vAlign w:val="bottom"/>
            <w:tcBorders>
              <w:top w:val="single" w:sz="8" w:color="0000EE"/>
              <w:bottom w:val="single" w:sz="8" w:color="0000EE"/>
            </w:tcBorders>
          </w:tcPr>
          <w:p>
            <w:pPr>
              <w:spacing w:after="0"/>
              <w:rPr>
                <w:rFonts w:ascii="Arial" w:cs="Arial" w:eastAsia="Arial" w:hAnsi="Arial"/>
                <w:sz w:val="17"/>
                <w:szCs w:val="17"/>
                <w:color w:val="0000EE"/>
                <w:w w:val="92"/>
              </w:rPr>
            </w:pPr>
            <w:hyperlink w:anchor="page8">
              <w:r>
                <w:rPr>
                  <w:rFonts w:ascii="Arial" w:cs="Arial" w:eastAsia="Arial" w:hAnsi="Arial"/>
                  <w:sz w:val="17"/>
                  <w:szCs w:val="17"/>
                  <w:color w:val="0000EE"/>
                  <w:w w:val="92"/>
                </w:rPr>
                <w:t>Condensed Consolidated Statements of Cash Flows (Unaudited)</w:t>
              </w:r>
            </w:hyperlink>
          </w:p>
        </w:tc>
        <w:tc>
          <w:tcPr>
            <w:tcW w:w="420" w:type="dxa"/>
            <w:vAlign w:val="bottom"/>
            <w:tcBorders>
              <w:top w:val="single" w:sz="8" w:color="0000EE"/>
            </w:tcBorders>
            <w:gridSpan w:val="2"/>
          </w:tcPr>
          <w:p>
            <w:pPr>
              <w:spacing w:after="0"/>
              <w:rPr>
                <w:sz w:val="24"/>
                <w:szCs w:val="24"/>
                <w:color w:val="auto"/>
              </w:rPr>
            </w:pPr>
          </w:p>
        </w:tc>
        <w:tc>
          <w:tcPr>
            <w:tcW w:w="5180" w:type="dxa"/>
            <w:vAlign w:val="bottom"/>
            <w:gridSpan w:val="3"/>
          </w:tcPr>
          <w:p>
            <w:pPr>
              <w:spacing w:after="0"/>
              <w:rPr>
                <w:sz w:val="24"/>
                <w:szCs w:val="24"/>
                <w:color w:val="auto"/>
              </w:rPr>
            </w:pPr>
          </w:p>
        </w:tc>
        <w:tc>
          <w:tcPr>
            <w:tcW w:w="1240" w:type="dxa"/>
            <w:vAlign w:val="bottom"/>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7</w:t>
              </w:r>
            </w:hyperlink>
          </w:p>
        </w:tc>
      </w:tr>
      <w:tr>
        <w:trPr>
          <w:trHeight w:val="505"/>
        </w:trPr>
        <w:tc>
          <w:tcPr>
            <w:tcW w:w="10140" w:type="dxa"/>
            <w:vAlign w:val="bottom"/>
            <w:gridSpan w:val="6"/>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 (Unaudited)</w:t>
              </w:r>
            </w:hyperlink>
          </w:p>
        </w:tc>
        <w:tc>
          <w:tcPr>
            <w:tcW w:w="1240" w:type="dxa"/>
            <w:vAlign w:val="bottom"/>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9</w:t>
              </w:r>
            </w:hyperlink>
          </w:p>
        </w:tc>
      </w:tr>
      <w:tr>
        <w:trPr>
          <w:trHeight w:val="491"/>
        </w:trPr>
        <w:tc>
          <w:tcPr>
            <w:tcW w:w="4760" w:type="dxa"/>
            <w:vAlign w:val="bottom"/>
            <w:tcBorders>
              <w:top w:val="single" w:sz="8" w:color="0000EE"/>
            </w:tcBorders>
            <w:gridSpan w:val="2"/>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2</w:t>
            </w:r>
          </w:p>
        </w:tc>
        <w:tc>
          <w:tcPr>
            <w:tcW w:w="43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771,003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729,547</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6,500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1,282,867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1,399,684</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15,475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1,187,720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1,101,449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2,211,819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1,848,806</w:t>
            </w: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740,630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791,115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2"/>
              </w:rPr>
              <w:t>Property, equipment and capitalized software (net of accumulated depreciation of $522,971 and $323,718 as of March 31, 2019 and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December 31, 2018, respectively)</w:t>
            </w:r>
          </w:p>
        </w:tc>
        <w:tc>
          <w:tcPr>
            <w:tcW w:w="10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154,754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113,322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1,193,697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836,583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92"/>
              </w:rPr>
              <w:t>Intangibles (net of accumulated amortization of $159,686 and $148,644 as of March 31, 2019 and December 31, 2018,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552,547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83,989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215,063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200,359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assets ($49,046 and $48,273, at fair value, as of March 31, 2019 and December 31, 2018,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271,921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254,149</w:t>
            </w:r>
          </w:p>
        </w:tc>
      </w:tr>
      <w:tr>
        <w:trPr>
          <w:trHeight w:val="276"/>
        </w:trPr>
        <w:tc>
          <w:tcPr>
            <w:tcW w:w="8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9,076,973</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7,380,978</w:t>
            </w:r>
          </w:p>
        </w:tc>
      </w:tr>
      <w:tr>
        <w:trPr>
          <w:trHeight w:val="262"/>
        </w:trPr>
        <w:tc>
          <w:tcPr>
            <w:tcW w:w="8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159,716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15,128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819,903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1,130,039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281,861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987,842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567,441</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72,404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2,294,625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2,475,395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214,403</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Deferred tax liabilities</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65,860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363,094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294,975</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394,764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1,977,716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907,037</w:t>
            </w:r>
          </w:p>
        </w:tc>
      </w:tr>
      <w:tr>
        <w:trPr>
          <w:trHeight w:val="21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7,640,327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5,886,279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3"/>
              </w:rPr>
              <w:t>Class A common stock (par value $0.00001), Authorized — 1,000,000,000 and 1,000,000,000 shares, Issued — 109,921,498 and</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92"/>
              </w:rPr>
              <w:t>108,955,048 shares, Outstanding — 107,742,727 and 106,776,277 shares at March 31, 2019 and December 31, 2018,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0"/>
              </w:rPr>
              <w:t>Class B common stock (par value $0.00001), Authorized — 175,000,000 and 175,000,000 shares, Issued and Outstanding — 0 and 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shares at March 31, 2019 and December 31, 2018, respectively</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8"/>
              </w:rPr>
              <w:t>Class C common stock (par value $0.00001), Authorized — 90,000,000 and 90,000,000 shares, Issued and Outstanding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13,509,886 and 13,749,886 shares at March 31, 2019 and December 31, 2018,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6"/>
              </w:rPr>
              <w:t>Class D common stock (par value $0.00001), Authorized — 175,000,000 and 175,000,000 shares, Issued and Outstanding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69,091,740 and 69,091,740 shares at March 31, 2019 and December 31, 2018, respectively</w:t>
            </w:r>
          </w:p>
        </w:tc>
        <w:tc>
          <w:tcPr>
            <w:tcW w:w="10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Treasury stock, at cost, 2,178,771 and 2,178,771 shares at March 31, 2019 and December 31, 2018,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(55,005)</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1,042,091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1,010,468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54,723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96,513</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1,039,593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1,051,896</w:t>
            </w:r>
          </w:p>
        </w:tc>
      </w:tr>
      <w:tr>
        <w:trPr>
          <w:trHeight w:val="33"/>
        </w:trPr>
        <w:tc>
          <w:tcPr>
            <w:tcW w:w="8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127"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w w:val="91"/>
              </w:rPr>
              <w:t>(in thousands, except share data)</w:t>
            </w:r>
          </w:p>
        </w:tc>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2018</w:t>
            </w:r>
          </w:p>
        </w:tc>
      </w:tr>
      <w:tr>
        <w:trPr>
          <w:trHeight w:val="33"/>
        </w:trPr>
        <w:tc>
          <w:tcPr>
            <w:tcW w:w="2360" w:type="dxa"/>
            <w:vAlign w:val="bottom"/>
            <w:tcBorders>
              <w:bottom w:val="single" w:sz="8" w:color="auto"/>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23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397,053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442,803</w:t>
            </w:r>
          </w:p>
        </w:tc>
      </w:tr>
      <w:tr>
        <w:trPr>
          <w:trHeight w:val="33"/>
        </w:trPr>
        <w:tc>
          <w:tcPr>
            <w:tcW w:w="236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672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1,436,646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1,494,699</w:t>
            </w:r>
          </w:p>
        </w:tc>
      </w:tr>
      <w:tr>
        <w:trPr>
          <w:trHeight w:val="276"/>
        </w:trPr>
        <w:tc>
          <w:tcPr>
            <w:tcW w:w="2360" w:type="dxa"/>
            <w:vAlign w:val="bottom"/>
            <w:tcBorders>
              <w:bottom w:val="single" w:sz="8" w:color="CCEEFF"/>
            </w:tcBorders>
          </w:tcPr>
          <w:p>
            <w:pPr>
              <w:spacing w:after="0"/>
              <w:rPr>
                <w:sz w:val="23"/>
                <w:szCs w:val="23"/>
                <w:color w:val="auto"/>
              </w:rPr>
            </w:pPr>
          </w:p>
        </w:tc>
        <w:tc>
          <w:tcPr>
            <w:tcW w:w="62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672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9,076,973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7,380,978</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2360" w:type="dxa"/>
            <w:vAlign w:val="bottom"/>
          </w:tcPr>
          <w:p>
            <w:pPr>
              <w:spacing w:after="0"/>
              <w:rPr>
                <w:sz w:val="24"/>
                <w:szCs w:val="24"/>
                <w:color w:val="auto"/>
              </w:rPr>
            </w:pPr>
          </w:p>
        </w:tc>
        <w:tc>
          <w:tcPr>
            <w:tcW w:w="6720" w:type="dxa"/>
            <w:vAlign w:val="bottom"/>
            <w:gridSpan w:val="3"/>
          </w:tcPr>
          <w:p>
            <w:pPr>
              <w:jc w:val="center"/>
              <w:ind w:right="1"/>
              <w:spacing w:after="0"/>
              <w:rPr>
                <w:sz w:val="20"/>
                <w:szCs w:val="20"/>
                <w:color w:val="auto"/>
              </w:rPr>
            </w:pPr>
            <w:r>
              <w:rPr>
                <w:rFonts w:ascii="Arial" w:cs="Arial" w:eastAsia="Arial" w:hAnsi="Arial"/>
                <w:sz w:val="17"/>
                <w:szCs w:val="17"/>
                <w:color w:val="auto"/>
                <w:w w:val="92"/>
              </w:rPr>
              <w:t>See accompanying notes to the Condensed Consolidated Financial Statements (Unaudited).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6"/>
        </w:trPr>
        <w:tc>
          <w:tcPr>
            <w:tcW w:w="2360" w:type="dxa"/>
            <w:vAlign w:val="bottom"/>
          </w:tcPr>
          <w:p>
            <w:pPr>
              <w:spacing w:after="0"/>
              <w:rPr>
                <w:sz w:val="24"/>
                <w:szCs w:val="24"/>
                <w:color w:val="auto"/>
              </w:rPr>
            </w:pPr>
          </w:p>
        </w:tc>
        <w:tc>
          <w:tcPr>
            <w:tcW w:w="6280" w:type="dxa"/>
            <w:vAlign w:val="bottom"/>
          </w:tcPr>
          <w:p>
            <w:pPr>
              <w:jc w:val="right"/>
              <w:ind w:right="2837"/>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395" w:lineRule="exact"/>
        <w:rPr>
          <w:sz w:val="20"/>
          <w:szCs w:val="20"/>
          <w:color w:val="auto"/>
        </w:rPr>
      </w:pPr>
    </w:p>
    <w:tbl>
      <w:tblPr>
        <w:tblLayout w:type="fixed"/>
        <w:tblInd w:w="90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92"/>
              </w:rPr>
              <w:t>For the Three Months Ended</w:t>
            </w:r>
          </w:p>
        </w:tc>
      </w:tr>
      <w:tr>
        <w:trPr>
          <w:trHeight w:val="204"/>
        </w:trPr>
        <w:tc>
          <w:tcPr>
            <w:tcW w:w="7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17"/>
                <w:szCs w:val="17"/>
                <w:color w:val="auto"/>
              </w:rPr>
            </w:pPr>
          </w:p>
        </w:tc>
      </w:tr>
      <w:tr>
        <w:trPr>
          <w:trHeight w:val="33"/>
        </w:trPr>
        <w:tc>
          <w:tcPr>
            <w:tcW w:w="72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19"/>
                <w:szCs w:val="19"/>
                <w:color w:val="auto"/>
              </w:rPr>
            </w:pPr>
          </w:p>
        </w:tc>
        <w:tc>
          <w:tcPr>
            <w:tcW w:w="9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r>
      <w:tr>
        <w:trPr>
          <w:trHeight w:val="33"/>
        </w:trPr>
        <w:tc>
          <w:tcPr>
            <w:tcW w:w="7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6"/>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Trading income, net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257,540</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406,162</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17,949</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75,147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53,844</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337,098</w:t>
            </w:r>
          </w:p>
        </w:tc>
      </w:tr>
      <w:tr>
        <w:trPr>
          <w:trHeight w:val="210"/>
        </w:trPr>
        <w:tc>
          <w:tcPr>
            <w:tcW w:w="722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362,991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815,053</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446"/>
        </w:trPr>
        <w:tc>
          <w:tcPr>
            <w:tcW w:w="7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87,824</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49,486</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64,670</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Payments for order flow</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23,561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16,256</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33,624</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Operations and administrative</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22,078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19,919</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15,339</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10,922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6,851</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Termination of office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19,970</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Debt issue cost related to debt refinancing and prepayment</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6,021</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7,496</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Charges related to share based compensation at IPO</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19,047</w:t>
            </w:r>
          </w:p>
        </w:tc>
      </w:tr>
      <w:tr>
        <w:trPr>
          <w:trHeight w:val="210"/>
        </w:trPr>
        <w:tc>
          <w:tcPr>
            <w:tcW w:w="7220" w:type="dxa"/>
            <w:vAlign w:val="bottom"/>
            <w:gridSpan w:val="2"/>
          </w:tcPr>
          <w:p>
            <w:pPr>
              <w:ind w:left="3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379,195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346,517</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Income (loss) before income taxes and noncontrolling interest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468,536</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58,514</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410,022</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(235,271)</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6"/>
        </w:trPr>
        <w:tc>
          <w:tcPr>
            <w:tcW w:w="7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r>
      <w:tr>
        <w:trPr>
          <w:trHeight w:val="276"/>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available for common stockholders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174,751</w:t>
            </w:r>
          </w:p>
        </w:tc>
      </w:tr>
      <w:tr>
        <w:trPr>
          <w:trHeight w:val="262"/>
        </w:trPr>
        <w:tc>
          <w:tcPr>
            <w:tcW w:w="7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1.86</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6"/>
        </w:trPr>
        <w:tc>
          <w:tcPr>
            <w:tcW w:w="7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6"/>
              </w:rPr>
              <w:t>107,319,812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7"/>
              </w:rPr>
              <w:t>90,699,321</w:t>
            </w:r>
          </w:p>
        </w:tc>
      </w:tr>
      <w:tr>
        <w:trPr>
          <w:trHeight w:val="230"/>
        </w:trPr>
        <w:tc>
          <w:tcPr>
            <w:tcW w:w="722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w w:val="96"/>
              </w:rPr>
              <w:t>107,319,812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w w:val="87"/>
              </w:rPr>
              <w:t>92,406,318</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6"/>
        </w:trPr>
        <w:tc>
          <w:tcPr>
            <w:tcW w:w="7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(13,619)</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410,022</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2"/>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6"/>
                <w:szCs w:val="16"/>
                <w:color w:val="auto"/>
              </w:rPr>
              <w:t>Foreign exchange translation adjustment, net of taxes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2,529</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412,551</w:t>
            </w:r>
          </w:p>
        </w:tc>
      </w:tr>
      <w:tr>
        <w:trPr>
          <w:trHeight w:val="230"/>
        </w:trPr>
        <w:tc>
          <w:tcPr>
            <w:tcW w:w="7220" w:type="dxa"/>
            <w:vAlign w:val="bottom"/>
            <w:gridSpan w:val="2"/>
          </w:tcPr>
          <w:p>
            <w:pPr>
              <w:ind w:left="14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1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(236,559)</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6"/>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common stockholders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175,992</w:t>
            </w: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ectPr>
          <w:pgSz w:w="11900" w:h="16838" w:orient="portrait"/>
          <w:cols w:equalWidth="0" w:num="1">
            <w:col w:w="10540"/>
          </w:cols>
          <w:pgMar w:left="240" w:top="127" w:right="1119" w:bottom="1440" w:gutter="0" w:footer="0" w:header="0"/>
        </w:sectPr>
      </w:pPr>
    </w:p>
    <w:p>
      <w:pPr>
        <w:spacing w:after="0" w:line="2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540"/>
          </w:cols>
          <w:pgMar w:left="240" w:top="127" w:right="1119" w:bottom="1440" w:gutter="0" w:footer="0" w:header="0"/>
          <w:type w:val="continuous"/>
        </w:sectPr>
      </w:pPr>
    </w:p>
    <w:bookmarkStart w:id="6" w:name="page7"/>
    <w:bookmarkEnd w:id="6"/>
    <w:p>
      <w:pPr>
        <w:ind w:left="280"/>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Three Months Ended March 31, 2019 and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Total Virtu</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5"/>
                <w:szCs w:val="5"/>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6"/>
              </w:rPr>
              <w:t>Financial</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5"/>
            <w:vMerge w:val="restart"/>
          </w:tcPr>
          <w:p>
            <w:pPr>
              <w:ind w:left="120"/>
              <w:spacing w:after="0"/>
              <w:rPr>
                <w:sz w:val="20"/>
                <w:szCs w:val="20"/>
                <w:color w:val="auto"/>
              </w:rPr>
            </w:pPr>
            <w:r>
              <w:rPr>
                <w:rFonts w:ascii="Arial" w:cs="Arial" w:eastAsia="Arial" w:hAnsi="Arial"/>
                <w:sz w:val="10"/>
                <w:szCs w:val="10"/>
                <w:b w:val="1"/>
                <w:bCs w:val="1"/>
                <w:color w:val="auto"/>
              </w:rPr>
              <w:t>Class A Common Stock</w:t>
            </w: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C Common Stock</w:t>
            </w:r>
          </w:p>
        </w:tc>
        <w:tc>
          <w:tcPr>
            <w:tcW w:w="1320" w:type="dxa"/>
            <w:vAlign w:val="bottom"/>
            <w:gridSpan w:val="5"/>
            <w:vMerge w:val="restart"/>
          </w:tcPr>
          <w:p>
            <w:pPr>
              <w:jc w:val="right"/>
              <w:ind w:right="180"/>
              <w:spacing w:after="0"/>
              <w:rPr>
                <w:sz w:val="20"/>
                <w:szCs w:val="20"/>
                <w:color w:val="auto"/>
              </w:rPr>
            </w:pPr>
            <w:r>
              <w:rPr>
                <w:rFonts w:ascii="Arial" w:cs="Arial" w:eastAsia="Arial" w:hAnsi="Arial"/>
                <w:sz w:val="10"/>
                <w:szCs w:val="10"/>
                <w:b w:val="1"/>
                <w:bCs w:val="1"/>
                <w:color w:val="auto"/>
                <w:w w:val="99"/>
              </w:rPr>
              <w:t>Class D Common Stock</w:t>
            </w:r>
          </w:p>
        </w:tc>
        <w:tc>
          <w:tcPr>
            <w:tcW w:w="134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Treasury Stock</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line="86" w:lineRule="exact"/>
              <w:rPr>
                <w:sz w:val="20"/>
                <w:szCs w:val="20"/>
                <w:color w:val="auto"/>
              </w:rPr>
            </w:pPr>
            <w:r>
              <w:rPr>
                <w:rFonts w:ascii="Arial" w:cs="Arial" w:eastAsia="Arial" w:hAnsi="Arial"/>
                <w:sz w:val="9"/>
                <w:szCs w:val="9"/>
                <w:b w:val="1"/>
                <w:bCs w:val="1"/>
                <w:color w:val="auto"/>
              </w:rPr>
              <w:t>Earnings</w:t>
            </w:r>
          </w:p>
        </w:tc>
        <w:tc>
          <w:tcPr>
            <w:tcW w:w="160" w:type="dxa"/>
            <w:vAlign w:val="bottom"/>
          </w:tcPr>
          <w:p>
            <w:pPr>
              <w:spacing w:after="0"/>
              <w:rPr>
                <w:sz w:val="7"/>
                <w:szCs w:val="7"/>
                <w:color w:val="auto"/>
              </w:rPr>
            </w:pPr>
          </w:p>
        </w:tc>
        <w:tc>
          <w:tcPr>
            <w:tcW w:w="680" w:type="dxa"/>
            <w:vAlign w:val="bottom"/>
            <w:gridSpan w:val="2"/>
            <w:vMerge w:val="restart"/>
          </w:tcPr>
          <w:p>
            <w:pPr>
              <w:jc w:val="center"/>
              <w:ind w:right="260"/>
              <w:spacing w:after="0" w:line="86" w:lineRule="exact"/>
              <w:rPr>
                <w:sz w:val="20"/>
                <w:szCs w:val="20"/>
                <w:color w:val="auto"/>
              </w:rPr>
            </w:pPr>
            <w:r>
              <w:rPr>
                <w:rFonts w:ascii="Arial" w:cs="Arial" w:eastAsia="Arial" w:hAnsi="Arial"/>
                <w:sz w:val="9"/>
                <w:szCs w:val="9"/>
                <w:b w:val="1"/>
                <w:bCs w:val="1"/>
                <w:color w:val="auto"/>
              </w:rPr>
              <w:t>Other</w:t>
            </w:r>
          </w:p>
        </w:tc>
        <w:tc>
          <w:tcPr>
            <w:tcW w:w="80" w:type="dxa"/>
            <w:vAlign w:val="bottom"/>
          </w:tcPr>
          <w:p>
            <w:pPr>
              <w:spacing w:after="0"/>
              <w:rPr>
                <w:sz w:val="7"/>
                <w:szCs w:val="7"/>
                <w:color w:val="auto"/>
              </w:rPr>
            </w:pPr>
          </w:p>
        </w:tc>
        <w:tc>
          <w:tcPr>
            <w:tcW w:w="68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Inc.</w:t>
            </w:r>
          </w:p>
        </w:tc>
        <w:tc>
          <w:tcPr>
            <w:tcW w:w="660" w:type="dxa"/>
            <w:vAlign w:val="bottom"/>
            <w:gridSpan w:val="2"/>
            <w:vMerge w:val="restart"/>
          </w:tcPr>
          <w:p>
            <w:pPr>
              <w:jc w:val="center"/>
              <w:ind w:right="120"/>
              <w:spacing w:after="0" w:line="86" w:lineRule="exact"/>
              <w:rPr>
                <w:sz w:val="20"/>
                <w:szCs w:val="20"/>
                <w:color w:val="auto"/>
              </w:rPr>
            </w:pPr>
            <w:r>
              <w:rPr>
                <w:rFonts w:ascii="Arial" w:cs="Arial" w:eastAsia="Arial" w:hAnsi="Arial"/>
                <w:sz w:val="9"/>
                <w:szCs w:val="9"/>
                <w:b w:val="1"/>
                <w:bCs w:val="1"/>
                <w:color w:val="auto"/>
              </w:rPr>
              <w:t>Non-</w:t>
            </w: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46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auto"/>
              </w:rPr>
              <w:t>(in thousands, except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jc w:val="center"/>
              <w:ind w:right="80"/>
              <w:spacing w:after="0" w:line="111" w:lineRule="exact"/>
              <w:rPr>
                <w:sz w:val="20"/>
                <w:szCs w:val="20"/>
                <w:color w:val="auto"/>
              </w:rPr>
            </w:pPr>
            <w:r>
              <w:rPr>
                <w:rFonts w:ascii="Arial" w:cs="Arial" w:eastAsia="Arial" w:hAnsi="Arial"/>
                <w:sz w:val="10"/>
                <w:szCs w:val="10"/>
                <w:b w:val="1"/>
                <w:bCs w:val="1"/>
                <w:color w:val="auto"/>
                <w:w w:val="96"/>
              </w:rPr>
              <w:t>(Accumulated</w:t>
            </w:r>
          </w:p>
        </w:tc>
        <w:tc>
          <w:tcPr>
            <w:tcW w:w="840" w:type="dxa"/>
            <w:vAlign w:val="bottom"/>
            <w:gridSpan w:val="3"/>
          </w:tcPr>
          <w:p>
            <w:pPr>
              <w:jc w:val="center"/>
              <w:ind w:right="100"/>
              <w:spacing w:after="0" w:line="111" w:lineRule="exact"/>
              <w:rPr>
                <w:sz w:val="20"/>
                <w:szCs w:val="20"/>
                <w:color w:val="auto"/>
              </w:rPr>
            </w:pPr>
            <w:r>
              <w:rPr>
                <w:rFonts w:ascii="Arial" w:cs="Arial" w:eastAsia="Arial" w:hAnsi="Arial"/>
                <w:sz w:val="10"/>
                <w:szCs w:val="10"/>
                <w:b w:val="1"/>
                <w:bCs w:val="1"/>
                <w:color w:val="auto"/>
                <w:w w:val="93"/>
              </w:rPr>
              <w:t>Comprehensive</w:t>
            </w:r>
          </w:p>
        </w:tc>
        <w:tc>
          <w:tcPr>
            <w:tcW w:w="760" w:type="dxa"/>
            <w:vAlign w:val="bottom"/>
            <w:gridSpan w:val="3"/>
          </w:tcPr>
          <w:p>
            <w:pPr>
              <w:jc w:val="center"/>
              <w:ind w:right="100"/>
              <w:spacing w:after="0" w:line="111" w:lineRule="exact"/>
              <w:rPr>
                <w:sz w:val="20"/>
                <w:szCs w:val="20"/>
                <w:color w:val="auto"/>
              </w:rPr>
            </w:pPr>
            <w:r>
              <w:rPr>
                <w:rFonts w:ascii="Arial" w:cs="Arial" w:eastAsia="Arial" w:hAnsi="Arial"/>
                <w:sz w:val="10"/>
                <w:szCs w:val="10"/>
                <w:b w:val="1"/>
                <w:bCs w:val="1"/>
                <w:color w:val="auto"/>
                <w:w w:val="94"/>
              </w:rPr>
              <w:t>Stockholders'</w:t>
            </w:r>
          </w:p>
        </w:tc>
        <w:tc>
          <w:tcPr>
            <w:tcW w:w="660" w:type="dxa"/>
            <w:vAlign w:val="bottom"/>
            <w:gridSpan w:val="2"/>
          </w:tcPr>
          <w:p>
            <w:pPr>
              <w:jc w:val="center"/>
              <w:ind w:right="100"/>
              <w:spacing w:after="0" w:line="111" w:lineRule="exact"/>
              <w:rPr>
                <w:sz w:val="20"/>
                <w:szCs w:val="20"/>
                <w:color w:val="auto"/>
              </w:rPr>
            </w:pPr>
            <w:r>
              <w:rPr>
                <w:rFonts w:ascii="Arial" w:cs="Arial" w:eastAsia="Arial" w:hAnsi="Arial"/>
                <w:sz w:val="10"/>
                <w:szCs w:val="10"/>
                <w:b w:val="1"/>
                <w:bCs w:val="1"/>
                <w:color w:val="auto"/>
                <w:w w:val="97"/>
              </w:rPr>
              <w:t>Controlling</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76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Amounts</w:t>
            </w:r>
          </w:p>
        </w:tc>
        <w:tc>
          <w:tcPr>
            <w:tcW w:w="72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Amounts</w:t>
            </w:r>
          </w:p>
        </w:tc>
        <w:tc>
          <w:tcPr>
            <w:tcW w:w="6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Amounts</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Amounts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Deficit)</w:t>
            </w:r>
          </w:p>
        </w:tc>
        <w:tc>
          <w:tcPr>
            <w:tcW w:w="8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Equity</w:t>
            </w:r>
          </w:p>
        </w:tc>
        <w:tc>
          <w:tcPr>
            <w:tcW w:w="6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Interest</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December 31,</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3"/>
              </w:rPr>
              <w:t>108,955,048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13,749,886</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5"/>
              </w:rPr>
              <w:t>69,091,740</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7"/>
              </w:rPr>
              <w:t>(2,178,771)</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6"/>
              </w:rPr>
              <w:t>$ (55,005)</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$ 1,010,468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96,513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(82)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8"/>
              </w:rPr>
              <w:t>1,051,896</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$ 442,803</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$ 1,494,699</w:t>
            </w:r>
          </w:p>
        </w:tc>
        <w:tc>
          <w:tcPr>
            <w:tcW w:w="0" w:type="dxa"/>
            <w:vAlign w:val="bottom"/>
          </w:tcPr>
          <w:p>
            <w:pPr>
              <w:spacing w:after="0"/>
              <w:rPr>
                <w:sz w:val="1"/>
                <w:szCs w:val="1"/>
                <w:color w:val="auto"/>
              </w:rPr>
            </w:pPr>
          </w:p>
        </w:tc>
      </w:tr>
      <w:tr>
        <w:trPr>
          <w:trHeight w:val="240"/>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Share based compensation</w:t>
            </w: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965,421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30,764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30,764</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30,764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Repurchase of Class C</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common stock</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40"/>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Treasury stock purchases</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(325,195)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(8,805)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(8,805)</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(8,805)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Stock options exercised</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86,224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859</w:t>
            </w:r>
          </w:p>
        </w:tc>
        <w:tc>
          <w:tcPr>
            <w:tcW w:w="0" w:type="dxa"/>
            <w:vAlign w:val="bottom"/>
          </w:tcPr>
          <w:p>
            <w:pPr>
              <w:spacing w:after="0"/>
              <w:rPr>
                <w:sz w:val="1"/>
                <w:szCs w:val="1"/>
                <w:color w:val="auto"/>
              </w:rPr>
            </w:pPr>
          </w:p>
        </w:tc>
      </w:tr>
      <w:tr>
        <w:trPr>
          <w:trHeight w:val="240"/>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Net income (loss)</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(6,673)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(6,673)</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(6,946)</w:t>
            </w:r>
          </w:p>
        </w:tc>
        <w:tc>
          <w:tcPr>
            <w:tcW w:w="100" w:type="dxa"/>
            <w:vAlign w:val="bottom"/>
          </w:tcPr>
          <w:p>
            <w:pPr>
              <w:spacing w:after="0"/>
              <w:rPr>
                <w:sz w:val="20"/>
                <w:szCs w:val="20"/>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(13,619)</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exchange translation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adjustment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(2,136)</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(2,136)</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(1,608)</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(3,744)</w:t>
            </w:r>
          </w:p>
        </w:tc>
        <w:tc>
          <w:tcPr>
            <w:tcW w:w="0" w:type="dxa"/>
            <w:vAlign w:val="bottom"/>
          </w:tcPr>
          <w:p>
            <w:pPr>
              <w:spacing w:after="0"/>
              <w:rPr>
                <w:sz w:val="1"/>
                <w:szCs w:val="1"/>
                <w:color w:val="auto"/>
              </w:rPr>
            </w:pPr>
          </w:p>
        </w:tc>
      </w:tr>
      <w:tr>
        <w:trPr>
          <w:trHeight w:val="135"/>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Distribution from Virtu</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Financial to non-controlling</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interest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(37,196)</w:t>
            </w:r>
          </w:p>
        </w:tc>
        <w:tc>
          <w:tcPr>
            <w:tcW w:w="100" w:type="dxa"/>
            <w:vAlign w:val="bottom"/>
          </w:tcPr>
          <w:p>
            <w:pPr>
              <w:spacing w:after="0"/>
              <w:rPr>
                <w:sz w:val="11"/>
                <w:szCs w:val="11"/>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(37,196)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Dividends</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(26,312)</w:t>
            </w:r>
          </w:p>
        </w:tc>
        <w:tc>
          <w:tcPr>
            <w:tcW w:w="0" w:type="dxa"/>
            <w:vAlign w:val="bottom"/>
          </w:tcPr>
          <w:p>
            <w:pPr>
              <w:spacing w:after="0"/>
              <w:rPr>
                <w:sz w:val="1"/>
                <w:szCs w:val="1"/>
                <w:color w:val="auto"/>
              </w:rPr>
            </w:pPr>
          </w:p>
        </w:tc>
      </w:tr>
      <w:tr>
        <w:trPr>
          <w:trHeight w:val="135"/>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Issuance of common stock 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connection with employee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exchanges</w:t>
            </w: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240,000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Repurchase of Virtu Financial</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Units and corresponding</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number of Class C common</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stock in connection with</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employee exchanges</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(240,000)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0"/>
        </w:trPr>
        <w:tc>
          <w:tcPr>
            <w:tcW w:w="1460" w:type="dxa"/>
            <w:vAlign w:val="bottom"/>
            <w:gridSpan w:val="2"/>
          </w:tcPr>
          <w:p>
            <w:pPr>
              <w:ind w:left="20"/>
              <w:spacing w:after="0"/>
              <w:rPr>
                <w:sz w:val="20"/>
                <w:szCs w:val="20"/>
                <w:color w:val="auto"/>
              </w:rPr>
            </w:pPr>
            <w:r>
              <w:rPr>
                <w:rFonts w:ascii="Arial" w:cs="Arial" w:eastAsia="Arial" w:hAnsi="Arial"/>
                <w:sz w:val="10"/>
                <w:szCs w:val="10"/>
                <w:color w:val="auto"/>
              </w:rPr>
              <w:t>Balance at March 31, 2019</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93"/>
              </w:rPr>
              <w:t>109,921,498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95"/>
              </w:rPr>
              <w:t>13,509,886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95"/>
              </w:rPr>
              <w:t>69,091,740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97"/>
              </w:rPr>
              <w:t>(2,178,771)</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96"/>
              </w:rPr>
              <w:t>$ (55,005)</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$ 1,042,091</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54,723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(2,218)</w:t>
            </w: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8"/>
              </w:rPr>
              <w:t>1,039,593</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$ 397,053</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$ 1,436,646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Total Virtu</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540" w:type="dxa"/>
            <w:vAlign w:val="bottom"/>
          </w:tcPr>
          <w:p>
            <w:pPr>
              <w:spacing w:after="0"/>
              <w:rPr>
                <w:sz w:val="4"/>
                <w:szCs w:val="4"/>
                <w:color w:val="auto"/>
              </w:rPr>
            </w:pP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36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C Common Stock</w:t>
            </w: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D Common Stock</w:t>
            </w:r>
          </w:p>
        </w:tc>
        <w:tc>
          <w:tcPr>
            <w:tcW w:w="134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Treasury Stock</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line="86" w:lineRule="exact"/>
              <w:rPr>
                <w:sz w:val="20"/>
                <w:szCs w:val="20"/>
                <w:color w:val="auto"/>
              </w:rPr>
            </w:pPr>
            <w:r>
              <w:rPr>
                <w:rFonts w:ascii="Arial" w:cs="Arial" w:eastAsia="Arial" w:hAnsi="Arial"/>
                <w:sz w:val="9"/>
                <w:szCs w:val="9"/>
                <w:b w:val="1"/>
                <w:bCs w:val="1"/>
                <w:color w:val="auto"/>
              </w:rPr>
              <w:t>Retained</w:t>
            </w:r>
          </w:p>
        </w:tc>
        <w:tc>
          <w:tcPr>
            <w:tcW w:w="840" w:type="dxa"/>
            <w:vAlign w:val="bottom"/>
            <w:gridSpan w:val="3"/>
            <w:vMerge w:val="restart"/>
          </w:tcPr>
          <w:p>
            <w:pPr>
              <w:jc w:val="center"/>
              <w:ind w:right="120"/>
              <w:spacing w:after="0" w:line="86"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68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Financial</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540" w:type="dxa"/>
            <w:vAlign w:val="bottom"/>
          </w:tcPr>
          <w:p>
            <w:pPr>
              <w:ind w:left="20"/>
              <w:spacing w:after="0" w:line="111" w:lineRule="exact"/>
              <w:rPr>
                <w:sz w:val="20"/>
                <w:szCs w:val="20"/>
                <w:color w:val="auto"/>
              </w:rPr>
            </w:pPr>
            <w:r>
              <w:rPr>
                <w:rFonts w:ascii="Arial" w:cs="Arial" w:eastAsia="Arial" w:hAnsi="Arial"/>
                <w:sz w:val="10"/>
                <w:szCs w:val="10"/>
                <w:b w:val="1"/>
                <w:bCs w:val="1"/>
                <w:color w:val="auto"/>
              </w:rPr>
              <w:t>(in thousands, except</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93"/>
              </w:rPr>
              <w:t>Earnings</w:t>
            </w:r>
          </w:p>
        </w:tc>
        <w:tc>
          <w:tcPr>
            <w:tcW w:w="160" w:type="dxa"/>
            <w:vAlign w:val="bottom"/>
          </w:tcPr>
          <w:p>
            <w:pPr>
              <w:spacing w:after="0"/>
              <w:rPr>
                <w:sz w:val="9"/>
                <w:szCs w:val="9"/>
                <w:color w:val="auto"/>
              </w:rPr>
            </w:pPr>
          </w:p>
        </w:tc>
        <w:tc>
          <w:tcPr>
            <w:tcW w:w="680" w:type="dxa"/>
            <w:vAlign w:val="bottom"/>
            <w:gridSpan w:val="2"/>
          </w:tcPr>
          <w:p>
            <w:pPr>
              <w:jc w:val="center"/>
              <w:ind w:right="260"/>
              <w:spacing w:after="0" w:line="111"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rPr>
              <w:t>Inc.</w:t>
            </w:r>
          </w:p>
        </w:tc>
        <w:tc>
          <w:tcPr>
            <w:tcW w:w="66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6"/>
              </w:rPr>
              <w:t>Non-</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6"/>
              </w:rPr>
              <w:t>(Accumulated</w:t>
            </w:r>
          </w:p>
        </w:tc>
        <w:tc>
          <w:tcPr>
            <w:tcW w:w="8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Comprehensive</w:t>
            </w:r>
          </w:p>
        </w:tc>
        <w:tc>
          <w:tcPr>
            <w:tcW w:w="7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4"/>
              </w:rPr>
              <w:t>Stockholders'</w:t>
            </w: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Controlling</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4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2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Amounts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Deficit)</w:t>
            </w:r>
          </w:p>
        </w:tc>
        <w:tc>
          <w:tcPr>
            <w:tcW w:w="8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Equity</w:t>
            </w:r>
          </w:p>
        </w:tc>
        <w:tc>
          <w:tcPr>
            <w:tcW w:w="6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Interest</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2017</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1"/>
              </w:rPr>
              <w:t>90,415,532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17,880,239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1"/>
              </w:rPr>
              <w:t>79,610,490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(616,923)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6"/>
              </w:rPr>
              <w:t>$ (11,041)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$ 900,746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(62,129)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2,991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830,569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$ 321,009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$ 1,151,578</w:t>
            </w:r>
          </w:p>
        </w:tc>
        <w:tc>
          <w:tcPr>
            <w:tcW w:w="0" w:type="dxa"/>
            <w:vAlign w:val="bottom"/>
          </w:tcPr>
          <w:p>
            <w:pPr>
              <w:spacing w:after="0"/>
              <w:rPr>
                <w:sz w:val="1"/>
                <w:szCs w:val="1"/>
                <w:color w:val="auto"/>
              </w:rPr>
            </w:pPr>
          </w:p>
        </w:tc>
      </w:tr>
      <w:tr>
        <w:trPr>
          <w:trHeight w:val="240"/>
        </w:trPr>
        <w:tc>
          <w:tcPr>
            <w:tcW w:w="1540" w:type="dxa"/>
            <w:vAlign w:val="bottom"/>
          </w:tcPr>
          <w:p>
            <w:pPr>
              <w:ind w:left="16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68"/>
              <w:spacing w:after="0"/>
              <w:rPr>
                <w:sz w:val="20"/>
                <w:szCs w:val="20"/>
                <w:color w:val="auto"/>
              </w:rPr>
            </w:pPr>
            <w:r>
              <w:rPr>
                <w:rFonts w:ascii="Arial" w:cs="Arial" w:eastAsia="Arial" w:hAnsi="Arial"/>
                <w:sz w:val="10"/>
                <w:szCs w:val="10"/>
                <w:color w:val="auto"/>
              </w:rPr>
              <w:t>744,536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16,632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16,632</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16,632</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Repurchase of Class C</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common stock</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(18,154)</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(332)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(332)</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240"/>
        </w:trPr>
        <w:tc>
          <w:tcPr>
            <w:tcW w:w="1540" w:type="dxa"/>
            <w:vAlign w:val="bottom"/>
          </w:tcPr>
          <w:p>
            <w:pPr>
              <w:ind w:left="160"/>
              <w:spacing w:after="0"/>
              <w:rPr>
                <w:sz w:val="20"/>
                <w:szCs w:val="20"/>
                <w:color w:val="auto"/>
              </w:rPr>
            </w:pPr>
            <w:r>
              <w:rPr>
                <w:rFonts w:ascii="Arial" w:cs="Arial" w:eastAsia="Arial" w:hAnsi="Arial"/>
                <w:sz w:val="10"/>
                <w:szCs w:val="10"/>
                <w:color w:val="auto"/>
              </w:rPr>
              <w:t>Treasury stock purchases</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rPr>
              <w:t>(558,084)</w:t>
            </w:r>
          </w:p>
        </w:tc>
        <w:tc>
          <w:tcPr>
            <w:tcW w:w="100" w:type="dxa"/>
            <w:vAlign w:val="bottom"/>
          </w:tcPr>
          <w:p>
            <w:pPr>
              <w:spacing w:after="0"/>
              <w:rPr>
                <w:sz w:val="20"/>
                <w:szCs w:val="20"/>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(14,444)</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(14,444)</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(14,444)</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Stock options exercised</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732,000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13,908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13,908</w:t>
            </w:r>
          </w:p>
        </w:tc>
        <w:tc>
          <w:tcPr>
            <w:tcW w:w="0" w:type="dxa"/>
            <w:vAlign w:val="bottom"/>
          </w:tcPr>
          <w:p>
            <w:pPr>
              <w:spacing w:after="0"/>
              <w:rPr>
                <w:sz w:val="1"/>
                <w:szCs w:val="1"/>
                <w:color w:val="auto"/>
              </w:rPr>
            </w:pPr>
          </w:p>
        </w:tc>
      </w:tr>
      <w:tr>
        <w:trPr>
          <w:trHeight w:val="240"/>
        </w:trPr>
        <w:tc>
          <w:tcPr>
            <w:tcW w:w="1540" w:type="dxa"/>
            <w:vAlign w:val="bottom"/>
          </w:tcPr>
          <w:p>
            <w:pPr>
              <w:ind w:left="160"/>
              <w:spacing w:after="0"/>
              <w:rPr>
                <w:sz w:val="20"/>
                <w:szCs w:val="20"/>
                <w:color w:val="auto"/>
              </w:rPr>
            </w:pPr>
            <w:r>
              <w:rPr>
                <w:rFonts w:ascii="Arial" w:cs="Arial" w:eastAsia="Arial" w:hAnsi="Arial"/>
                <w:sz w:val="10"/>
                <w:szCs w:val="10"/>
                <w:color w:val="auto"/>
              </w:rPr>
              <w:t>Net income</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174,751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174,751</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235,271</w:t>
            </w:r>
          </w:p>
        </w:tc>
        <w:tc>
          <w:tcPr>
            <w:tcW w:w="100" w:type="dxa"/>
            <w:vAlign w:val="bottom"/>
          </w:tcPr>
          <w:p>
            <w:pPr>
              <w:spacing w:after="0"/>
              <w:rPr>
                <w:sz w:val="20"/>
                <w:szCs w:val="20"/>
                <w:color w:val="auto"/>
              </w:rPr>
            </w:pP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410,022</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Foreign exchange translation</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adjustment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1,241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1,241</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1,288</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2,529</w:t>
            </w:r>
          </w:p>
        </w:tc>
        <w:tc>
          <w:tcPr>
            <w:tcW w:w="0" w:type="dxa"/>
            <w:vAlign w:val="bottom"/>
          </w:tcPr>
          <w:p>
            <w:pPr>
              <w:spacing w:after="0"/>
              <w:rPr>
                <w:sz w:val="1"/>
                <w:szCs w:val="1"/>
                <w:color w:val="auto"/>
              </w:rPr>
            </w:pPr>
          </w:p>
        </w:tc>
      </w:tr>
      <w:tr>
        <w:trPr>
          <w:trHeight w:val="135"/>
        </w:trPr>
        <w:tc>
          <w:tcPr>
            <w:tcW w:w="1540" w:type="dxa"/>
            <w:vAlign w:val="bottom"/>
          </w:tcPr>
          <w:p>
            <w:pPr>
              <w:ind w:left="160"/>
              <w:spacing w:after="0"/>
              <w:rPr>
                <w:sz w:val="20"/>
                <w:szCs w:val="20"/>
                <w:color w:val="auto"/>
              </w:rPr>
            </w:pPr>
            <w:r>
              <w:rPr>
                <w:rFonts w:ascii="Arial" w:cs="Arial" w:eastAsia="Arial" w:hAnsi="Arial"/>
                <w:sz w:val="10"/>
                <w:szCs w:val="10"/>
                <w:color w:val="auto"/>
              </w:rPr>
              <w:t>Distribution from Virtu</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540" w:type="dxa"/>
            <w:vAlign w:val="bottom"/>
          </w:tcPr>
          <w:p>
            <w:pPr>
              <w:ind w:left="160"/>
              <w:spacing w:after="0"/>
              <w:rPr>
                <w:sz w:val="20"/>
                <w:szCs w:val="20"/>
                <w:color w:val="auto"/>
              </w:rPr>
            </w:pPr>
            <w:r>
              <w:rPr>
                <w:rFonts w:ascii="Arial" w:cs="Arial" w:eastAsia="Arial" w:hAnsi="Arial"/>
                <w:sz w:val="10"/>
                <w:szCs w:val="10"/>
                <w:color w:val="auto"/>
              </w:rPr>
              <w:t>Financial to non-controlling</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40" w:type="dxa"/>
            <w:vAlign w:val="bottom"/>
          </w:tcPr>
          <w:p>
            <w:pPr>
              <w:ind w:left="160"/>
              <w:spacing w:after="0"/>
              <w:rPr>
                <w:sz w:val="20"/>
                <w:szCs w:val="20"/>
                <w:color w:val="auto"/>
              </w:rPr>
            </w:pPr>
            <w:r>
              <w:rPr>
                <w:rFonts w:ascii="Arial" w:cs="Arial" w:eastAsia="Arial" w:hAnsi="Arial"/>
                <w:sz w:val="10"/>
                <w:szCs w:val="10"/>
                <w:color w:val="auto"/>
              </w:rPr>
              <w:t>interest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(99,038)</w:t>
            </w:r>
          </w:p>
        </w:tc>
        <w:tc>
          <w:tcPr>
            <w:tcW w:w="100" w:type="dxa"/>
            <w:vAlign w:val="bottom"/>
          </w:tcPr>
          <w:p>
            <w:pPr>
              <w:spacing w:after="0"/>
              <w:rPr>
                <w:sz w:val="11"/>
                <w:szCs w:val="11"/>
                <w:color w:val="auto"/>
              </w:rPr>
            </w:pP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(99,038)</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Dividends</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(22,380)</w:t>
            </w:r>
          </w:p>
        </w:tc>
        <w:tc>
          <w:tcPr>
            <w:tcW w:w="0" w:type="dxa"/>
            <w:vAlign w:val="bottom"/>
          </w:tcPr>
          <w:p>
            <w:pPr>
              <w:spacing w:after="0"/>
              <w:rPr>
                <w:sz w:val="1"/>
                <w:szCs w:val="1"/>
                <w:color w:val="auto"/>
              </w:rPr>
            </w:pPr>
          </w:p>
        </w:tc>
      </w:tr>
      <w:tr>
        <w:trPr>
          <w:trHeight w:val="135"/>
        </w:trPr>
        <w:tc>
          <w:tcPr>
            <w:tcW w:w="1540" w:type="dxa"/>
            <w:vAlign w:val="bottom"/>
          </w:tcPr>
          <w:p>
            <w:pPr>
              <w:ind w:left="160"/>
              <w:spacing w:after="0"/>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540" w:type="dxa"/>
            <w:vAlign w:val="bottom"/>
          </w:tcPr>
          <w:p>
            <w:pPr>
              <w:ind w:left="160"/>
              <w:spacing w:after="0"/>
              <w:rPr>
                <w:sz w:val="20"/>
                <w:szCs w:val="20"/>
                <w:color w:val="auto"/>
              </w:rPr>
            </w:pPr>
            <w:r>
              <w:rPr>
                <w:rFonts w:ascii="Arial" w:cs="Arial" w:eastAsia="Arial" w:hAnsi="Arial"/>
                <w:sz w:val="10"/>
                <w:szCs w:val="10"/>
                <w:color w:val="auto"/>
              </w:rPr>
              <w:t>connection with employee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40" w:type="dxa"/>
            <w:vAlign w:val="bottom"/>
          </w:tcPr>
          <w:p>
            <w:pPr>
              <w:ind w:left="160"/>
              <w:spacing w:after="0"/>
              <w:rPr>
                <w:sz w:val="20"/>
                <w:szCs w:val="20"/>
                <w:color w:val="auto"/>
              </w:rPr>
            </w:pPr>
            <w:r>
              <w:rPr>
                <w:rFonts w:ascii="Arial" w:cs="Arial" w:eastAsia="Arial" w:hAnsi="Arial"/>
                <w:sz w:val="10"/>
                <w:szCs w:val="10"/>
                <w:color w:val="auto"/>
              </w:rPr>
              <w:t>exchanges</w:t>
            </w:r>
          </w:p>
        </w:tc>
        <w:tc>
          <w:tcPr>
            <w:tcW w:w="600" w:type="dxa"/>
            <w:vAlign w:val="bottom"/>
          </w:tcPr>
          <w:p>
            <w:pPr>
              <w:jc w:val="right"/>
              <w:ind w:right="68"/>
              <w:spacing w:after="0"/>
              <w:rPr>
                <w:sz w:val="20"/>
                <w:szCs w:val="20"/>
                <w:color w:val="auto"/>
              </w:rPr>
            </w:pPr>
            <w:r>
              <w:rPr>
                <w:rFonts w:ascii="Arial" w:cs="Arial" w:eastAsia="Arial" w:hAnsi="Arial"/>
                <w:sz w:val="10"/>
                <w:szCs w:val="10"/>
                <w:color w:val="auto"/>
              </w:rPr>
              <w:t>795,521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Repurchase of Virtu</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Financial Units and</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corresponding number of</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Class C common stock in</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160"/>
              <w:spacing w:after="0"/>
              <w:rPr>
                <w:sz w:val="20"/>
                <w:szCs w:val="20"/>
                <w:color w:val="auto"/>
              </w:rPr>
            </w:pPr>
            <w:r>
              <w:rPr>
                <w:rFonts w:ascii="Arial" w:cs="Arial" w:eastAsia="Arial" w:hAnsi="Arial"/>
                <w:sz w:val="10"/>
                <w:szCs w:val="10"/>
                <w:color w:val="auto"/>
              </w:rPr>
              <w:t>connection with employee</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exchanges</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(795,521)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0"/>
        </w:trPr>
        <w:tc>
          <w:tcPr>
            <w:tcW w:w="1540" w:type="dxa"/>
            <w:vAlign w:val="bottom"/>
          </w:tcPr>
          <w:p>
            <w:pPr>
              <w:ind w:left="20"/>
              <w:spacing w:after="0"/>
              <w:rPr>
                <w:sz w:val="20"/>
                <w:szCs w:val="20"/>
                <w:color w:val="auto"/>
              </w:rPr>
            </w:pPr>
            <w:r>
              <w:rPr>
                <w:rFonts w:ascii="Arial" w:cs="Arial" w:eastAsia="Arial" w:hAnsi="Arial"/>
                <w:sz w:val="10"/>
                <w:szCs w:val="10"/>
                <w:color w:val="auto"/>
              </w:rPr>
              <w:t>Balance at March 31, 2018</w:t>
            </w: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1"/>
              </w:rPr>
              <w:t>92,687,589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95"/>
              </w:rPr>
              <w:t>17,066,564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1"/>
              </w:rPr>
              <w:t>79,610,490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97"/>
              </w:rPr>
              <w:t>(1,175,007)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96"/>
              </w:rPr>
              <w:t>$ (25,485)</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$ 930,954</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90,242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4,232</w:t>
            </w: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999,945</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$ 458,530</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w w:val="94"/>
              </w:rPr>
              <w:t>$ 1,458,475</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the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40" w:top="127" w:right="31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0" w:lineRule="exact"/>
        <w:rPr>
          <w:sz w:val="20"/>
          <w:szCs w:val="20"/>
          <w:color w:val="auto"/>
        </w:rPr>
      </w:pPr>
    </w:p>
    <w:p>
      <w:pPr>
        <w:spacing w:after="0" w:line="252"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r>
      <w:tr>
        <w:trPr>
          <w:trHeight w:val="26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r>
      <w:tr>
        <w:trPr>
          <w:trHeight w:val="261"/>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(13,619)</w:t>
            </w:r>
          </w:p>
        </w:tc>
        <w:tc>
          <w:tcPr>
            <w:tcW w:w="100" w:type="dxa"/>
            <w:vAlign w:val="bottom"/>
          </w:tcPr>
          <w:p>
            <w:pPr>
              <w:spacing w:after="0"/>
              <w:rPr>
                <w:sz w:val="22"/>
                <w:szCs w:val="22"/>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410,022</w:t>
            </w:r>
          </w:p>
        </w:tc>
      </w:tr>
      <w:tr>
        <w:trPr>
          <w:trHeight w:val="268"/>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16,450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15,339</w:t>
            </w:r>
          </w:p>
        </w:tc>
      </w:tr>
      <w:tr>
        <w:trPr>
          <w:trHeight w:val="257"/>
        </w:trPr>
        <w:tc>
          <w:tcPr>
            <w:tcW w:w="7240" w:type="dxa"/>
            <w:vAlign w:val="bottom"/>
            <w:gridSpan w:val="2"/>
          </w:tcPr>
          <w:p>
            <w:pPr>
              <w:ind w:left="2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10,922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6,851</w:t>
            </w:r>
          </w:p>
        </w:tc>
      </w:tr>
      <w:tr>
        <w:trPr>
          <w:trHeight w:val="268"/>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Debt issue cost related to debt refinancing and prepayment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6,021</w:t>
            </w:r>
          </w:p>
        </w:tc>
      </w:tr>
      <w:tr>
        <w:trPr>
          <w:trHeight w:val="257"/>
        </w:trPr>
        <w:tc>
          <w:tcPr>
            <w:tcW w:w="7240" w:type="dxa"/>
            <w:vAlign w:val="bottom"/>
            <w:gridSpan w:val="2"/>
          </w:tcPr>
          <w:p>
            <w:pPr>
              <w:ind w:left="260"/>
              <w:spacing w:after="0"/>
              <w:rPr>
                <w:sz w:val="20"/>
                <w:szCs w:val="20"/>
                <w:color w:val="auto"/>
              </w:rPr>
            </w:pPr>
            <w:r>
              <w:rPr>
                <w:rFonts w:ascii="Arial" w:cs="Arial" w:eastAsia="Arial" w:hAnsi="Arial"/>
                <w:sz w:val="14"/>
                <w:szCs w:val="14"/>
                <w:color w:val="auto"/>
              </w:rPr>
              <w:t>Amortization of debt issuance costs and deferred financing fees</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2,644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1,583</w:t>
            </w:r>
          </w:p>
        </w:tc>
      </w:tr>
      <w:tr>
        <w:trPr>
          <w:trHeight w:val="268"/>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Termination of office leases</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19,970</w:t>
            </w:r>
          </w:p>
        </w:tc>
      </w:tr>
      <w:tr>
        <w:trPr>
          <w:trHeight w:val="257"/>
        </w:trPr>
        <w:tc>
          <w:tcPr>
            <w:tcW w:w="7240" w:type="dxa"/>
            <w:vAlign w:val="bottom"/>
            <w:gridSpan w:val="2"/>
          </w:tcPr>
          <w:p>
            <w:pPr>
              <w:ind w:left="260"/>
              <w:spacing w:after="0"/>
              <w:rPr>
                <w:sz w:val="20"/>
                <w:szCs w:val="20"/>
                <w:color w:val="auto"/>
              </w:rPr>
            </w:pPr>
            <w:r>
              <w:rPr>
                <w:rFonts w:ascii="Arial" w:cs="Arial" w:eastAsia="Arial" w:hAnsi="Arial"/>
                <w:sz w:val="14"/>
                <w:szCs w:val="14"/>
                <w:color w:val="auto"/>
              </w:rPr>
              <w:t>Share based compensation</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21,890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9,122</w:t>
            </w:r>
          </w:p>
        </w:tc>
      </w:tr>
      <w:tr>
        <w:trPr>
          <w:trHeight w:val="268"/>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taxes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2,471</w:t>
            </w:r>
          </w:p>
        </w:tc>
      </w:tr>
      <w:tr>
        <w:trPr>
          <w:trHeight w:val="257"/>
        </w:trPr>
        <w:tc>
          <w:tcPr>
            <w:tcW w:w="7240" w:type="dxa"/>
            <w:vAlign w:val="bottom"/>
            <w:gridSpan w:val="2"/>
          </w:tcPr>
          <w:p>
            <w:pPr>
              <w:ind w:left="260"/>
              <w:spacing w:after="0"/>
              <w:rPr>
                <w:sz w:val="20"/>
                <w:szCs w:val="20"/>
                <w:color w:val="auto"/>
              </w:rPr>
            </w:pPr>
            <w:r>
              <w:rPr>
                <w:rFonts w:ascii="Arial" w:cs="Arial" w:eastAsia="Arial" w:hAnsi="Arial"/>
                <w:sz w:val="14"/>
                <w:szCs w:val="14"/>
                <w:color w:val="auto"/>
              </w:rPr>
              <w:t>Gain on sale of businesses</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(329,703)</w:t>
            </w:r>
          </w:p>
        </w:tc>
      </w:tr>
      <w:tr>
        <w:trPr>
          <w:trHeight w:val="268"/>
        </w:trPr>
        <w:tc>
          <w:tcPr>
            <w:tcW w:w="7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(7,328)</w:t>
            </w:r>
          </w:p>
        </w:tc>
      </w:tr>
      <w:tr>
        <w:trPr>
          <w:trHeight w:val="257"/>
        </w:trPr>
        <w:tc>
          <w:tcPr>
            <w:tcW w:w="7240" w:type="dxa"/>
            <w:vAlign w:val="bottom"/>
            <w:gridSpan w:val="2"/>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Securities borrowed</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129,999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239,124</w:t>
            </w:r>
          </w:p>
        </w:tc>
      </w:tr>
      <w:tr>
        <w:trPr>
          <w:trHeight w:val="257"/>
        </w:trPr>
        <w:tc>
          <w:tcPr>
            <w:tcW w:w="7240" w:type="dxa"/>
            <w:vAlign w:val="bottom"/>
            <w:gridSpan w:val="2"/>
          </w:tcPr>
          <w:p>
            <w:pPr>
              <w:ind w:left="360"/>
              <w:spacing w:after="0"/>
              <w:rPr>
                <w:sz w:val="20"/>
                <w:szCs w:val="20"/>
                <w:color w:val="auto"/>
              </w:rPr>
            </w:pPr>
            <w:r>
              <w:rPr>
                <w:rFonts w:ascii="Arial" w:cs="Arial" w:eastAsia="Arial" w:hAnsi="Arial"/>
                <w:sz w:val="14"/>
                <w:szCs w:val="14"/>
                <w:color w:val="auto"/>
              </w:rPr>
              <w:t>Securities purchased under agreements to resell</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9,820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Receivables from broker-dealers and clearing organizations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241,841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(462,022)</w:t>
            </w:r>
          </w:p>
        </w:tc>
      </w:tr>
      <w:tr>
        <w:trPr>
          <w:trHeight w:val="257"/>
        </w:trPr>
        <w:tc>
          <w:tcPr>
            <w:tcW w:w="7240" w:type="dxa"/>
            <w:vAlign w:val="bottom"/>
            <w:gridSpan w:val="2"/>
          </w:tcPr>
          <w:p>
            <w:pPr>
              <w:ind w:left="360"/>
              <w:spacing w:after="0"/>
              <w:rPr>
                <w:sz w:val="20"/>
                <w:szCs w:val="20"/>
                <w:color w:val="auto"/>
              </w:rPr>
            </w:pPr>
            <w:r>
              <w:rPr>
                <w:rFonts w:ascii="Arial" w:cs="Arial" w:eastAsia="Arial" w:hAnsi="Arial"/>
                <w:sz w:val="14"/>
                <w:szCs w:val="14"/>
                <w:color w:val="auto"/>
              </w:rPr>
              <w:t>Trading assets, at fair value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(312,005)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(194,984)</w:t>
            </w: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Receivables from customer</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7240" w:type="dxa"/>
            <w:vAlign w:val="bottom"/>
            <w:gridSpan w:val="2"/>
          </w:tcPr>
          <w:p>
            <w:pPr>
              <w:ind w:left="36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13,337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5,848</w:t>
            </w: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Securities loaned</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181,374</w:t>
            </w:r>
          </w:p>
        </w:tc>
      </w:tr>
      <w:tr>
        <w:trPr>
          <w:trHeight w:val="257"/>
        </w:trPr>
        <w:tc>
          <w:tcPr>
            <w:tcW w:w="7240" w:type="dxa"/>
            <w:vAlign w:val="bottom"/>
            <w:gridSpan w:val="2"/>
          </w:tcPr>
          <w:p>
            <w:pPr>
              <w:ind w:left="360"/>
              <w:spacing w:after="0"/>
              <w:rPr>
                <w:sz w:val="20"/>
                <w:szCs w:val="20"/>
                <w:color w:val="auto"/>
              </w:rPr>
            </w:pPr>
            <w:r>
              <w:rPr>
                <w:rFonts w:ascii="Arial" w:cs="Arial" w:eastAsia="Arial" w:hAnsi="Arial"/>
                <w:sz w:val="14"/>
                <w:szCs w:val="14"/>
                <w:color w:val="auto"/>
              </w:rPr>
              <w:t>Securities sold under agreements to repurchase</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8,139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(125,241)</w:t>
            </w: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Payables to broker-dealers and clearing organizations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268,358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(67,417)</w:t>
            </w:r>
          </w:p>
        </w:tc>
      </w:tr>
      <w:tr>
        <w:trPr>
          <w:trHeight w:val="257"/>
        </w:trPr>
        <w:tc>
          <w:tcPr>
            <w:tcW w:w="7240" w:type="dxa"/>
            <w:vAlign w:val="bottom"/>
            <w:gridSpan w:val="2"/>
          </w:tcPr>
          <w:p>
            <w:pPr>
              <w:ind w:left="360"/>
              <w:spacing w:after="0"/>
              <w:rPr>
                <w:sz w:val="20"/>
                <w:szCs w:val="20"/>
                <w:color w:val="auto"/>
              </w:rPr>
            </w:pPr>
            <w:r>
              <w:rPr>
                <w:rFonts w:ascii="Arial" w:cs="Arial" w:eastAsia="Arial" w:hAnsi="Arial"/>
                <w:sz w:val="14"/>
                <w:szCs w:val="14"/>
                <w:color w:val="auto"/>
              </w:rPr>
              <w:t>Payables to customers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Trading liabilities, at fair value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461,855</w:t>
            </w:r>
          </w:p>
        </w:tc>
      </w:tr>
      <w:tr>
        <w:trPr>
          <w:trHeight w:val="257"/>
        </w:trPr>
        <w:tc>
          <w:tcPr>
            <w:tcW w:w="724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(53,276)</w:t>
            </w:r>
          </w:p>
        </w:tc>
      </w:tr>
      <w:tr>
        <w:trPr>
          <w:trHeight w:val="248"/>
        </w:trPr>
        <w:tc>
          <w:tcPr>
            <w:tcW w:w="72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119,007</w:t>
            </w:r>
          </w:p>
        </w:tc>
      </w:tr>
      <w:tr>
        <w:trPr>
          <w:trHeight w:val="262"/>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Development of capitalized software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(7,016)</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(4,505)</w:t>
            </w: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Proceeds from sale of BondPoint</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400,192</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ITG Acquisition, net of cash acquired, described in Note 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(835,581)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7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Investment in joint ventures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r>
      <w:tr>
        <w:trPr>
          <w:trHeight w:val="248"/>
        </w:trPr>
        <w:tc>
          <w:tcPr>
            <w:tcW w:w="72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388,671</w:t>
            </w:r>
          </w:p>
        </w:tc>
      </w:tr>
      <w:tr>
        <w:trPr>
          <w:trHeight w:val="262"/>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(99,038)</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(22,380)</w:t>
            </w: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Repurchase of Class C common stock</w:t>
            </w:r>
          </w:p>
        </w:tc>
        <w:tc>
          <w:tcPr>
            <w:tcW w:w="3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w:t>
            </w: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Stock options exercised</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13,908</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Short-term borrowings, net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127,616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Proceeds from long-term borrowings</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1,492,500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long term borrowings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(276,000)</w:t>
            </w:r>
          </w:p>
        </w:tc>
      </w:tr>
      <w:tr>
        <w:trPr>
          <w:trHeight w:val="257"/>
        </w:trPr>
        <w:tc>
          <w:tcPr>
            <w:tcW w:w="7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Debt issuance costs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r>
      <w:tr>
        <w:trPr>
          <w:trHeight w:val="248"/>
        </w:trPr>
        <w:tc>
          <w:tcPr>
            <w:tcW w:w="72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1,113,641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(405,786)</w:t>
            </w:r>
          </w:p>
        </w:tc>
      </w:tr>
      <w:tr>
        <w:trPr>
          <w:trHeight w:val="262"/>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2,529</w:t>
            </w:r>
          </w:p>
        </w:tc>
      </w:tr>
      <w:tr>
        <w:trPr>
          <w:trHeight w:val="262"/>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52,280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104,421</w:t>
            </w:r>
          </w:p>
        </w:tc>
      </w:tr>
      <w:tr>
        <w:trPr>
          <w:trHeight w:val="257"/>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736,047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532,887</w:t>
            </w:r>
          </w:p>
        </w:tc>
      </w:tr>
      <w:tr>
        <w:trPr>
          <w:trHeight w:val="235"/>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788,327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637,308</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2"/>
        </w:trPr>
        <w:tc>
          <w:tcPr>
            <w:tcW w:w="7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800"/>
          </w:cols>
          <w:pgMar w:left="240" w:top="127" w:right="859" w:bottom="0" w:gutter="0" w:footer="0" w:header="0"/>
        </w:sectPr>
      </w:pPr>
    </w:p>
    <w:p>
      <w:pPr>
        <w:spacing w:after="0" w:line="2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800"/>
          </w:cols>
          <w:pgMar w:left="240" w:top="127" w:right="859" w:bottom="0"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r>
      <w:tr>
        <w:trPr>
          <w:trHeight w:val="26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r>
      <w:tr>
        <w:trPr>
          <w:trHeight w:val="256"/>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31,954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30,632</w:t>
            </w:r>
          </w:p>
        </w:tc>
      </w:tr>
      <w:tr>
        <w:trPr>
          <w:trHeight w:val="257"/>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Cash paid for taxes</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156</w:t>
            </w:r>
          </w:p>
        </w:tc>
      </w:tr>
      <w:tr>
        <w:trPr>
          <w:trHeight w:val="268"/>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7"/>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w:t>
            </w:r>
          </w:p>
        </w:tc>
      </w:tr>
      <w:tr>
        <w:trPr>
          <w:trHeight w:val="257"/>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7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2"/>
        </w:trPr>
        <w:tc>
          <w:tcPr>
            <w:tcW w:w="7240" w:type="dxa"/>
            <w:vAlign w:val="bottom"/>
            <w:gridSpan w:val="2"/>
          </w:tcPr>
          <w:p>
            <w:pPr>
              <w:ind w:left="160"/>
              <w:spacing w:after="0"/>
              <w:rPr>
                <w:sz w:val="20"/>
                <w:szCs w:val="20"/>
                <w:color w:val="auto"/>
              </w:rPr>
            </w:pPr>
            <w:r>
              <w:rPr>
                <w:rFonts w:ascii="Arial" w:cs="Arial" w:eastAsia="Arial" w:hAnsi="Arial"/>
                <w:sz w:val="14"/>
                <w:szCs w:val="14"/>
                <w:color w:val="auto"/>
              </w:rPr>
              <w:t>Discount on issuance of senior secured credit facility</w:t>
            </w: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w:t>
            </w:r>
          </w:p>
        </w:tc>
      </w:tr>
    </w:tbl>
    <w:p>
      <w:pPr>
        <w:spacing w:after="0" w:line="156"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5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00"/>
          </w:cols>
          <w:pgMar w:left="240" w:top="127" w:right="8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24"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2019, VFI owned approximately 57.0% of the membership interests of Virtu Financial. VFI is the sole managing member of Virtu Financial and operates and controls all of the businesses and affairs of Virtu Financial and its subsidiaries (the “Group”).</w:t>
      </w:r>
    </w:p>
    <w:p>
      <w:pPr>
        <w:spacing w:after="0" w:line="161"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at over 235 venues, in 36 countries worldwide to help create more efficient markets. It also leverages its market structure expertise and scaled, multi-asset technology infrastructure to provide a complete suite of client solutions, including transparent agency execution and broker-neutral offerings.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20, 2017 (the “KCG Closing Date”), the Company completed the all-cash acquisition of KCG Holdings, Inc. (“KCG”) (the “Acquisition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KCG”).</w:t>
      </w:r>
    </w:p>
    <w:p>
      <w:pPr>
        <w:spacing w:after="0" w:line="213"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that will contribute to the Company's Execution Services segment.</w:t>
      </w:r>
    </w:p>
    <w:p>
      <w:pPr>
        <w:spacing w:after="0" w:line="170"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Virtu Financial’s principal subsidiaries include Virtu Financial BD LLC (“VFBD”), Virtu Americas LLC (“VAL”), Virtu ITG LLC (“VITG”), Virtu Alternet Securities LLC (“VALT”) and Virtu Financial Capital Markets LLC (“VFCM”, collectively with VFBD, VAL, VITG, and VALT, the “broker-dealers”), which are self-clearing U.S. broker-dealers. Other principal subsidiaries include Virtu Financial Global Markets LLC, a U.S. trading entity focused on futures and currencies; Virtu Financial Ireland Limited and Virtu ITG Europe Limited, each formed in Ireland; Virtu ITG Canada Corp., formed in Canada; Virtu Financial Asia Pty Ltd. and Virtu ITG Australia Limited, each formed in Australia; Virtu ITG Hong Kong Limited, formed in Hong Kong; and Virtu Financial Singapore Pte. Ltd. and Virtu ITG Singapore Pte. Ltd., each formed in Singapore, each of which are trading entities focused on asset classes in their respective geographic regions.</w:t>
      </w:r>
    </w:p>
    <w:p>
      <w:pPr>
        <w:spacing w:after="0" w:line="180" w:lineRule="exact"/>
        <w:rPr>
          <w:sz w:val="20"/>
          <w:szCs w:val="20"/>
          <w:color w:val="auto"/>
        </w:rPr>
      </w:pPr>
    </w:p>
    <w:p>
      <w:pPr>
        <w:ind w:right="380" w:firstLine="630"/>
        <w:spacing w:after="0" w:line="290"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24"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2018.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168"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27" w:right="2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current and all previously issued financial statements taken as a whole and have no effect on previously reported consolidated net income available to common stockholders.</w:t>
      </w:r>
    </w:p>
    <w:p>
      <w:pPr>
        <w:spacing w:after="0" w:line="158"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The condensed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77" w:lineRule="exact"/>
        <w:rPr>
          <w:sz w:val="20"/>
          <w:szCs w:val="20"/>
          <w:color w:val="auto"/>
        </w:rPr>
      </w:pPr>
    </w:p>
    <w:p>
      <w:pPr>
        <w:ind w:right="40" w:firstLine="630"/>
        <w:spacing w:after="0" w:line="283" w:lineRule="auto"/>
        <w:rPr>
          <w:sz w:val="20"/>
          <w:szCs w:val="20"/>
          <w:color w:val="auto"/>
        </w:rPr>
      </w:pPr>
      <w:r>
        <w:rPr>
          <w:rFonts w:ascii="Arial" w:cs="Arial" w:eastAsia="Arial" w:hAnsi="Arial"/>
          <w:sz w:val="16"/>
          <w:szCs w:val="16"/>
          <w:color w:val="auto"/>
        </w:rPr>
        <w:t>As discussed in Note 3 “ITG Acquisition”, the Company has accounted for the ITG Acquisition under the acquisition method of 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three months ended March 31, 2019 comprise the results of the Company for the entire applicable period and the results of ITG from the ITG Closing Date through March 31, 2019. All periods prior to the ITG Closing Date comprise solely the results of the Company.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leases,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24"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1"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The Company grants restricted stock units (“RSUs”), certain of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restricted or segregated under regulations and other represents (i) special reserve bank accounts for the exclusive benefit of customers (“Special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Reserve Bank Account”) maintained by VAL and VITG in accordance with Rule 15c3-3 of the Securities Exchange Act of 1934, as amended (“Customer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Protection Rule”), or agreements for proprietary accounts of broker-dealers, (ii) funds on deposit for Canadian and European trade clearing and settlement activity,</w:t>
      </w:r>
    </w:p>
    <w:p>
      <w:pPr>
        <w:spacing w:after="0" w:line="38" w:lineRule="exact"/>
        <w:rPr>
          <w:sz w:val="20"/>
          <w:szCs w:val="20"/>
          <w:color w:val="auto"/>
        </w:rPr>
      </w:pPr>
    </w:p>
    <w:p>
      <w:pPr>
        <w:ind w:right="400" w:firstLine="5"/>
        <w:spacing w:after="0" w:line="275" w:lineRule="auto"/>
        <w:tabs>
          <w:tab w:leader="none" w:pos="306" w:val="left"/>
        </w:tabs>
        <w:numPr>
          <w:ilvl w:val="0"/>
          <w:numId w:val="3"/>
        </w:numPr>
        <w:rPr>
          <w:rFonts w:ascii="Arial" w:cs="Arial" w:eastAsia="Arial" w:hAnsi="Arial"/>
          <w:sz w:val="17"/>
          <w:szCs w:val="17"/>
          <w:color w:val="auto"/>
        </w:rPr>
      </w:pPr>
      <w:r>
        <w:rPr>
          <w:rFonts w:ascii="Arial" w:cs="Arial" w:eastAsia="Arial" w:hAnsi="Arial"/>
          <w:sz w:val="17"/>
          <w:szCs w:val="17"/>
          <w:color w:val="auto"/>
        </w:rPr>
        <w:t>segregated balances under a collateral account control agreement for the benefit of certain customers, and (iv) funds relating to the securitization of bank guarantees supporting certain of the Company’s foreign leases.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127"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Borrowed and Securities Loaned</w:t>
      </w:r>
    </w:p>
    <w:p>
      <w:pPr>
        <w:spacing w:after="0" w:line="224" w:lineRule="exact"/>
        <w:rPr>
          <w:sz w:val="20"/>
          <w:szCs w:val="20"/>
          <w:color w:val="auto"/>
        </w:rPr>
      </w:pPr>
    </w:p>
    <w:p>
      <w:pPr>
        <w:ind w:right="20" w:firstLine="630"/>
        <w:spacing w:after="0" w:line="262"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Purchased Under Agreements to Resell and Securities Sold Under Agreements to Repurchase</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from/Payables to Broker-dealers and Clearing Organizations</w:t>
      </w:r>
    </w:p>
    <w:p>
      <w:pPr>
        <w:spacing w:after="0" w:line="224" w:lineRule="exact"/>
        <w:rPr>
          <w:sz w:val="20"/>
          <w:szCs w:val="20"/>
          <w:color w:val="auto"/>
        </w:rPr>
      </w:pPr>
    </w:p>
    <w:p>
      <w:pPr>
        <w:ind w:right="20" w:firstLine="630"/>
        <w:spacing w:after="0" w:line="286" w:lineRule="auto"/>
        <w:rPr>
          <w:sz w:val="20"/>
          <w:szCs w:val="20"/>
          <w:color w:val="auto"/>
        </w:rPr>
      </w:pPr>
      <w:r>
        <w:rPr>
          <w:rFonts w:ascii="Arial" w:cs="Arial" w:eastAsia="Arial" w:hAnsi="Arial"/>
          <w:sz w:val="16"/>
          <w:szCs w:val="16"/>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credit facilities, on a net-by-counterparty basis within receivables from and payables to broker-dealers and clearing organizations when the criteria for offsetting are met.</w:t>
      </w:r>
    </w:p>
    <w:p>
      <w:pPr>
        <w:spacing w:after="0" w:line="164" w:lineRule="exact"/>
        <w:rPr>
          <w:sz w:val="20"/>
          <w:szCs w:val="20"/>
          <w:color w:val="auto"/>
        </w:rPr>
      </w:pPr>
    </w:p>
    <w:p>
      <w:pPr>
        <w:jc w:val="both"/>
        <w:ind w:right="300" w:firstLine="630"/>
        <w:spacing w:after="0" w:line="326" w:lineRule="auto"/>
        <w:rPr>
          <w:sz w:val="20"/>
          <w:szCs w:val="20"/>
          <w:color w:val="auto"/>
        </w:rPr>
      </w:pPr>
      <w:r>
        <w:rPr>
          <w:rFonts w:ascii="Arial" w:cs="Arial" w:eastAsia="Arial" w:hAnsi="Arial"/>
          <w:sz w:val="15"/>
          <w:szCs w:val="15"/>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 Owned Including Those Pledged as Collateral and Financial Instruments Sold, Not Yet Purchased</w:t>
      </w:r>
    </w:p>
    <w:p>
      <w:pPr>
        <w:spacing w:after="0" w:line="22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100" w:firstLine="630"/>
        <w:spacing w:after="0" w:line="274" w:lineRule="auto"/>
        <w:rPr>
          <w:sz w:val="20"/>
          <w:szCs w:val="20"/>
          <w:color w:val="auto"/>
        </w:rPr>
      </w:pPr>
      <w:r>
        <w:rPr>
          <w:rFonts w:ascii="Arial" w:cs="Arial" w:eastAsia="Arial" w:hAnsi="Arial"/>
          <w:sz w:val="17"/>
          <w:szCs w:val="17"/>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27"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firstLine="630"/>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36" w:lineRule="exact"/>
        <w:rPr>
          <w:sz w:val="20"/>
          <w:szCs w:val="20"/>
          <w:color w:val="auto"/>
        </w:rPr>
      </w:pPr>
    </w:p>
    <w:p>
      <w:pPr>
        <w:ind w:left="640" w:right="64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Transfers in or out of levels are recognized based on the beginning fair value of the period in which they occurred.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224"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24"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Client Commission Arrangements</w:t>
      </w:r>
    </w:p>
    <w:p>
      <w:pPr>
        <w:spacing w:after="0" w:line="224" w:lineRule="exact"/>
        <w:rPr>
          <w:sz w:val="20"/>
          <w:szCs w:val="20"/>
          <w:color w:val="auto"/>
        </w:rPr>
      </w:pPr>
    </w:p>
    <w:p>
      <w:pPr>
        <w:ind w:right="20" w:firstLine="630"/>
        <w:spacing w:after="0" w:line="211" w:lineRule="exact"/>
        <w:rPr>
          <w:sz w:val="20"/>
          <w:szCs w:val="20"/>
          <w:color w:val="auto"/>
        </w:rPr>
      </w:pPr>
      <w:r>
        <w:rPr>
          <w:rFonts w:ascii="Arial" w:cs="Arial" w:eastAsia="Arial" w:hAnsi="Arial"/>
          <w:sz w:val="17"/>
          <w:szCs w:val="17"/>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w:t>
      </w:r>
      <w:r>
        <w:rPr>
          <w:rFonts w:ascii="MS PGothic" w:cs="MS PGothic" w:eastAsia="MS PGothic" w:hAnsi="MS PGothic"/>
          <w:sz w:val="17"/>
          <w:szCs w:val="17"/>
          <w:color w:val="auto"/>
        </w:rPr>
        <w:t>‑</w:t>
      </w:r>
      <w:r>
        <w:rPr>
          <w:rFonts w:ascii="Arial" w:cs="Arial" w:eastAsia="Arial" w:hAnsi="Arial"/>
          <w:sz w:val="17"/>
          <w:szCs w:val="17"/>
          <w:color w:val="auto"/>
        </w:rPr>
        <w:t>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capitalizes costs of materials, consultants, and payroll and payroll related costs for employees incurred in developing internal-use software.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during the preliminary project and post-implementation stages are charged to expense.</w:t>
      </w:r>
    </w:p>
    <w:p>
      <w:pPr>
        <w:spacing w:after="0" w:line="213"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8"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ind w:right="620" w:firstLine="630"/>
        <w:spacing w:after="0" w:line="290" w:lineRule="auto"/>
        <w:rPr>
          <w:sz w:val="20"/>
          <w:szCs w:val="20"/>
          <w:color w:val="auto"/>
        </w:rPr>
      </w:pPr>
      <w:r>
        <w:rPr>
          <w:rFonts w:ascii="Arial" w:cs="Arial" w:eastAsia="Arial" w:hAnsi="Arial"/>
          <w:sz w:val="17"/>
          <w:szCs w:val="17"/>
          <w:color w:val="auto"/>
        </w:rPr>
        <w:t>All research and development costs are expensed as incurred. Research and development costs are included in Operations and administrative and Employee compensation and payroll taxes in the condensed consolidated statement of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24" w:lineRule="exact"/>
        <w:rPr>
          <w:sz w:val="20"/>
          <w:szCs w:val="20"/>
          <w:color w:val="auto"/>
        </w:rPr>
      </w:pPr>
    </w:p>
    <w:p>
      <w:pPr>
        <w:ind w:right="80" w:firstLine="630"/>
        <w:spacing w:after="0" w:line="299"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Operating lease right-of use assets and Operating lease liabilities on the condensed consolidated statements of financial condition. Operating lease right-of-use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4" w:lineRule="exact"/>
        <w:rPr>
          <w:sz w:val="20"/>
          <w:szCs w:val="20"/>
          <w:color w:val="auto"/>
        </w:rPr>
      </w:pPr>
    </w:p>
    <w:p>
      <w:pPr>
        <w:ind w:right="220" w:firstLine="630"/>
        <w:spacing w:after="0" w:line="268"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77" w:lineRule="exact"/>
        <w:rPr>
          <w:sz w:val="20"/>
          <w:szCs w:val="20"/>
          <w:color w:val="auto"/>
        </w:rPr>
      </w:pPr>
    </w:p>
    <w:p>
      <w:pPr>
        <w:jc w:val="both"/>
        <w:ind w:right="20" w:firstLine="630"/>
        <w:spacing w:after="0" w:line="274" w:lineRule="auto"/>
        <w:rPr>
          <w:sz w:val="20"/>
          <w:szCs w:val="20"/>
          <w:color w:val="auto"/>
        </w:rPr>
      </w:pPr>
      <w:r>
        <w:rPr>
          <w:rFonts w:ascii="Arial" w:cs="Arial" w:eastAsia="Arial" w:hAnsi="Arial"/>
          <w:sz w:val="17"/>
          <w:szCs w:val="17"/>
          <w:color w:val="auto"/>
        </w:rPr>
        <w:t>The Company assesses goodwill for impairment on an annual basis on July 1 and on an interim basis when certain events occur or certain circumstances exist. In the impairment assessment as of July 1, 2018, the Company assessed qualitative factors as described in ASC 350-20 for each of its reporting units for any indicators that the fair values of the reporting units were less than their carrying values.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127"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4" w:lineRule="exact"/>
        <w:rPr>
          <w:sz w:val="20"/>
          <w:szCs w:val="20"/>
          <w:color w:val="auto"/>
        </w:rPr>
      </w:pPr>
    </w:p>
    <w:p>
      <w:pPr>
        <w:ind w:right="440" w:firstLine="630"/>
        <w:spacing w:after="0" w:line="290"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Memberships and Stock</w:t>
      </w:r>
    </w:p>
    <w:p>
      <w:pPr>
        <w:spacing w:after="0" w:line="224" w:lineRule="exact"/>
        <w:rPr>
          <w:sz w:val="20"/>
          <w:szCs w:val="20"/>
          <w:color w:val="auto"/>
        </w:rPr>
      </w:pPr>
    </w:p>
    <w:p>
      <w:pPr>
        <w:ind w:right="220" w:firstLine="630"/>
        <w:spacing w:after="0" w:line="268" w:lineRule="auto"/>
        <w:rPr>
          <w:sz w:val="20"/>
          <w:szCs w:val="20"/>
          <w:color w:val="auto"/>
        </w:rPr>
      </w:pPr>
      <w:r>
        <w:rPr>
          <w:rFonts w:ascii="Arial" w:cs="Arial" w:eastAsia="Arial" w:hAnsi="Arial"/>
          <w:sz w:val="17"/>
          <w:szCs w:val="17"/>
          <w:color w:val="auto"/>
        </w:rPr>
        <w:t>Exchange memberships are recorded at cost or, if any other than temporary impairment in value has occurred, at a value that reflects management’s estimate of fair value. Exchange memberships acquired in connection with the Acquisition of KCG and the ITG Acquisition were recorded at their fair value on the date of acquisition. Exchange stock includes shares that entitle the Company to certain trading privileges. The Company’s exchange memberships and stock are included in intangibles in the condensed consolidated statements of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Income, net</w:t>
      </w:r>
    </w:p>
    <w:p>
      <w:pPr>
        <w:spacing w:after="0" w:line="224"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Commissions, net and Technology Services</w:t>
      </w:r>
    </w:p>
    <w:p>
      <w:pPr>
        <w:spacing w:after="0" w:line="224"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condensed consolidated statements of comprehensive income.</w:t>
      </w:r>
    </w:p>
    <w:p>
      <w:pPr>
        <w:spacing w:after="0" w:line="181" w:lineRule="exact"/>
        <w:rPr>
          <w:sz w:val="20"/>
          <w:szCs w:val="20"/>
          <w:color w:val="auto"/>
        </w:rPr>
      </w:pPr>
    </w:p>
    <w:p>
      <w:pPr>
        <w:ind w:right="100" w:firstLine="630"/>
        <w:spacing w:after="0" w:line="294" w:lineRule="auto"/>
        <w:rPr>
          <w:sz w:val="20"/>
          <w:szCs w:val="20"/>
          <w:color w:val="auto"/>
        </w:rPr>
      </w:pPr>
      <w:r>
        <w:rPr>
          <w:rFonts w:ascii="Arial" w:cs="Arial" w:eastAsia="Arial" w:hAnsi="Arial"/>
          <w:sz w:val="15"/>
          <w:szCs w:val="15"/>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w:t>
      </w:r>
    </w:p>
    <w:p>
      <w:pPr>
        <w:spacing w:after="0" w:line="4"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 significant reversal of cumulative revenue recognized will not occur. Recurring fees, which exclude variable consideration, are billed and collected on a quarterly basis.</w:t>
      </w:r>
    </w:p>
    <w:p>
      <w:pPr>
        <w:spacing w:after="0" w:line="17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Company also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77"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Dividends Income/Interest and Dividends Expense</w:t>
      </w:r>
    </w:p>
    <w:p>
      <w:pPr>
        <w:spacing w:after="0" w:line="224"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Brokerage, Exchange and Clearance Fees, Net</w:t>
      </w:r>
    </w:p>
    <w:p>
      <w:pPr>
        <w:spacing w:after="0" w:line="224"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for Order Flow</w:t>
      </w:r>
    </w:p>
    <w:p>
      <w:pPr>
        <w:spacing w:after="0" w:line="224" w:lineRule="exact"/>
        <w:rPr>
          <w:sz w:val="20"/>
          <w:szCs w:val="20"/>
          <w:color w:val="auto"/>
        </w:rPr>
      </w:pPr>
    </w:p>
    <w:p>
      <w:pPr>
        <w:ind w:right="20" w:firstLine="630"/>
        <w:spacing w:after="0" w:line="323" w:lineRule="auto"/>
        <w:rPr>
          <w:sz w:val="20"/>
          <w:szCs w:val="20"/>
          <w:color w:val="auto"/>
        </w:rPr>
      </w:pPr>
      <w:r>
        <w:rPr>
          <w:rFonts w:ascii="Arial" w:cs="Arial" w:eastAsia="Arial" w:hAnsi="Arial"/>
          <w:sz w:val="16"/>
          <w:szCs w:val="16"/>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58"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0"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and Foreign Currency Translation</w:t>
      </w:r>
    </w:p>
    <w:p>
      <w:pPr>
        <w:spacing w:after="0" w:line="224"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61"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w:t>
      </w:r>
    </w:p>
    <w:p>
      <w:pPr>
        <w:spacing w:after="0" w:line="170"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investment income and Other, net on the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fair value of awards issued for compensation prior to the Company's initial public offering in April 2015 (the “IPO”) and certain reorganization transactions consummated in connection with the IPO (the “Reorganization Transactions”) was determined by management, with the assistance of an independent third party valuation firm, using a projected annual forfeiture rate, where applicable, on the date of grant.</w:t>
      </w:r>
    </w:p>
    <w:p>
      <w:pPr>
        <w:spacing w:after="0" w:line="170"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were in the form of stock options, Class A common stock, par value $0.00001 per share (the “Class A Common Stock”) and RSUs, as applicable.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224" w:lineRule="exact"/>
        <w:rPr>
          <w:sz w:val="20"/>
          <w:szCs w:val="20"/>
          <w:color w:val="auto"/>
        </w:rPr>
      </w:pPr>
    </w:p>
    <w:p>
      <w:pPr>
        <w:ind w:right="60" w:firstLine="630"/>
        <w:spacing w:after="0" w:line="298"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55" w:lineRule="exact"/>
        <w:rPr>
          <w:sz w:val="20"/>
          <w:szCs w:val="20"/>
          <w:color w:val="auto"/>
        </w:rPr>
      </w:pPr>
    </w:p>
    <w:p>
      <w:pPr>
        <w:ind w:right="100" w:firstLine="630"/>
        <w:spacing w:after="0" w:line="274"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70"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Acquisition of KCG, KCG was required to relinquish their ownership in the JV. As of March 31, 2019, each of the remaining parties owns approximately 11% of the voting shares and 11% of the equity of this JV. In addition, 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w:t>
      </w:r>
    </w:p>
    <w:p>
      <w:pPr>
        <w:spacing w:after="0" w:line="180" w:lineRule="exact"/>
        <w:rPr>
          <w:sz w:val="20"/>
          <w:szCs w:val="20"/>
          <w:color w:val="auto"/>
        </w:rPr>
      </w:pPr>
    </w:p>
    <w:p>
      <w:pPr>
        <w:ind w:right="340" w:firstLine="630"/>
        <w:spacing w:after="0" w:line="290" w:lineRule="auto"/>
        <w:rPr>
          <w:sz w:val="20"/>
          <w:szCs w:val="20"/>
          <w:color w:val="auto"/>
        </w:rPr>
      </w:pPr>
      <w:r>
        <w:rPr>
          <w:rFonts w:ascii="Arial" w:cs="Arial" w:eastAsia="Arial" w:hAnsi="Arial"/>
          <w:sz w:val="17"/>
          <w:szCs w:val="17"/>
          <w:color w:val="auto"/>
        </w:rPr>
        <w:t>The Company also has an interest in a JV that offers derivatives trading technology and execution services to broker-dealers, professional traders and select hedge funds. As of March 31, 2019, the Company held approximately a 10% indirect minority stake in this JV.</w:t>
      </w:r>
    </w:p>
    <w:p>
      <w:pPr>
        <w:spacing w:after="0" w:line="158" w:lineRule="exact"/>
        <w:rPr>
          <w:sz w:val="20"/>
          <w:szCs w:val="20"/>
          <w:color w:val="auto"/>
        </w:rPr>
      </w:pPr>
    </w:p>
    <w:p>
      <w:pPr>
        <w:ind w:right="40" w:firstLine="630"/>
        <w:spacing w:after="0" w:line="283" w:lineRule="auto"/>
        <w:rPr>
          <w:sz w:val="20"/>
          <w:szCs w:val="20"/>
          <w:color w:val="auto"/>
        </w:rPr>
      </w:pPr>
      <w:r>
        <w:rPr>
          <w:rFonts w:ascii="Arial" w:cs="Arial" w:eastAsia="Arial" w:hAnsi="Arial"/>
          <w:sz w:val="16"/>
          <w:szCs w:val="16"/>
          <w:color w:val="auto"/>
        </w:rPr>
        <w:t>The Company's three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68"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March 31, 2019:</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19,226</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56,272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2018:</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18,254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30" w:lineRule="exact"/>
        <w:rPr>
          <w:sz w:val="20"/>
          <w:szCs w:val="20"/>
          <w:color w:val="auto"/>
        </w:rPr>
      </w:pPr>
    </w:p>
    <w:p>
      <w:pPr>
        <w:ind w:right="60" w:firstLine="630"/>
        <w:spacing w:after="0" w:line="28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In May 2014, the FASB issued Accounting Standard Update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2014-09 is a comprehensive new revenue recognition model that requires a company to recognize 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For a discussion of the impact of the new standard on the Company’s revenues as well as the additional disclosures required by the new standard, see Note 13 “Revenues from Contracts with Customers”.</w:t>
      </w:r>
    </w:p>
    <w:p>
      <w:pPr>
        <w:spacing w:after="0" w:line="168" w:lineRule="exact"/>
        <w:rPr>
          <w:sz w:val="20"/>
          <w:szCs w:val="20"/>
          <w:color w:val="auto"/>
        </w:rPr>
      </w:pPr>
    </w:p>
    <w:p>
      <w:pPr>
        <w:ind w:right="60" w:firstLine="630"/>
        <w:spacing w:after="0" w:line="264"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In February 2016, the FASB issued ASU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the new ASU, a lessee is required to recognize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leases with lease terms of more than 12 months. The liability is equal to the present value of the future lease payments. The ROU asset is based on the liability, subject to adjustment, such as for initial direct costs. For statement of comprehensive income purposes, leases are classified as either operating or finance. Operating leases result in straight-line expense (similar to previous operating lease guidance) while finance leases result in a front-loaded expense pattern (similar to previous capital lease guidance). Classification is based on criteria that are largely similar to those applied in previous lease accounting, but without explicit bright lines.</w:t>
      </w:r>
    </w:p>
    <w:p>
      <w:pPr>
        <w:spacing w:after="0" w:line="180"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The Company adopted this ASU on January 1, 2019 using the modified retrospective method of implementation. The Company elected to recognize the cumulative effect adjustment to the opening balance of retained earnings in the period of adoption rather than in the earliest period presented. The Company elected not to recognize lease assets and lease liabilities for leases with a determined lease term of twelve months or less that are not expected to be renewed. The Company elected several practical expedients upon transition, including the expedient not to re-assess the lease population as long as contracts were properly scoped as a lease under previous guidance, not to re-assess existing lease classification for existing leases, not to adjust existing costs that were capitalized, and not to separate lease and non-lease components of fixed lease payments.</w:t>
      </w:r>
    </w:p>
    <w:p>
      <w:pPr>
        <w:spacing w:after="0" w:line="180"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The standard had a material impact on the Company's condensed consolidated statements of financial condition due to the recognition of ROU assets and lease liabilities for operating leases, while the Company's accounting for finance leases remained substantially unchanged. The standard had an immaterial impact on the condensed consolidated statements of comprehensive income. The additional disclosures required by the new standard have been included in Note 16 “Leases”.</w:t>
      </w:r>
    </w:p>
    <w:p>
      <w:pPr>
        <w:spacing w:after="0" w:line="177"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 In June 2018, the FASB issued ASU 2018-07,</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Compensation, Stock Compensation (Topic 718): Improvements to Nonemployee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Share-Based Payment Accounting</w:t>
      </w:r>
      <w:r>
        <w:rPr>
          <w:rFonts w:ascii="Arial" w:cs="Arial" w:eastAsia="Arial" w:hAnsi="Arial"/>
          <w:sz w:val="17"/>
          <w:szCs w:val="17"/>
          <w:color w:val="auto"/>
        </w:rPr>
        <w:t>, with the objective of conforming the accounting for share-based awards to non-employees to the accounting for awards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to employees. Previously, non-employee awards were measured at the vesting date, rather than the grant date, which effectively required the awards to be marked to market until the award vested. Under the new ASU, companies are required to measure non-employee awards at the fair value of the instruments issued at the grant date. Entities can also consider the probability of the recipient satisfying any performance conditions. The Company adopted this standard on January 1, 2019. The Company does not currently make share-based awards to non-employees, and the adoption of this ASU did not have a material impact on its condensed consolidated financial statements.</w:t>
      </w:r>
    </w:p>
    <w:p>
      <w:pPr>
        <w:spacing w:after="0" w:line="180"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 In January 2017, the FASB issued ASU 2017-04,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Intangibles—Goodwill and Other (Topic 350), Simplifying the Test for Goodwill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To simplify the subsequent measurement of goodwill, this ASU eliminated Step 2 from the goodwill impairment test. In computing the implied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under Step 2, an entity had to perform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color w:val="auto"/>
        </w:rPr>
        <w:t>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The Company early adopted this standard as of January 1, 2019, and the adoption of this ASU did not have a material impact on its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March 31, 2019</w:t>
      </w:r>
    </w:p>
    <w:p>
      <w:pPr>
        <w:spacing w:after="0" w:line="230" w:lineRule="exact"/>
        <w:rPr>
          <w:sz w:val="20"/>
          <w:szCs w:val="20"/>
          <w:color w:val="auto"/>
        </w:rPr>
      </w:pPr>
    </w:p>
    <w:p>
      <w:pPr>
        <w:ind w:right="20" w:firstLine="630"/>
        <w:spacing w:after="0" w:line="261" w:lineRule="auto"/>
        <w:rPr>
          <w:sz w:val="20"/>
          <w:szCs w:val="20"/>
          <w:color w:val="auto"/>
        </w:rPr>
      </w:pPr>
      <w:r>
        <w:rPr>
          <w:rFonts w:ascii="Arial" w:cs="Arial" w:eastAsia="Arial" w:hAnsi="Arial"/>
          <w:sz w:val="17"/>
          <w:szCs w:val="17"/>
          <w:b w:val="1"/>
          <w:bCs w:val="1"/>
          <w:i w:val="1"/>
          <w:iCs w:val="1"/>
          <w:color w:val="auto"/>
        </w:rPr>
        <w:t xml:space="preserve">Fair Value Measurement </w:t>
      </w:r>
      <w:r>
        <w:rPr>
          <w:rFonts w:ascii="Arial" w:cs="Arial" w:eastAsia="Arial" w:hAnsi="Arial"/>
          <w:sz w:val="17"/>
          <w:szCs w:val="17"/>
          <w:color w:val="auto"/>
        </w:rPr>
        <w:t>- In August 2018, the FASB issued ASU 2018-13,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 Measurement (Topic 820): Disclosure Framework-Changes to</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the Disclosure Requirements for Fair Value Measurement</w:t>
      </w:r>
      <w:r>
        <w:rPr>
          <w:rFonts w:ascii="Arial" w:cs="Arial" w:eastAsia="Arial" w:hAnsi="Arial"/>
          <w:sz w:val="17"/>
          <w:szCs w:val="17"/>
          <w:color w:val="auto"/>
        </w:rPr>
        <w:t>, which modified the disclosure requirements on fair value measurements in ASC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87" w:lineRule="exact"/>
        <w:rPr>
          <w:sz w:val="20"/>
          <w:szCs w:val="20"/>
          <w:color w:val="auto"/>
        </w:rPr>
      </w:pPr>
    </w:p>
    <w:p>
      <w:pPr>
        <w:ind w:right="120" w:firstLine="630"/>
        <w:spacing w:after="0" w:line="286" w:lineRule="auto"/>
        <w:rPr>
          <w:sz w:val="20"/>
          <w:szCs w:val="20"/>
          <w:color w:val="auto"/>
        </w:rPr>
      </w:pPr>
      <w:r>
        <w:rPr>
          <w:rFonts w:ascii="Arial" w:cs="Arial" w:eastAsia="Arial" w:hAnsi="Arial"/>
          <w:sz w:val="16"/>
          <w:szCs w:val="16"/>
          <w:b w:val="1"/>
          <w:bCs w:val="1"/>
          <w:i w:val="1"/>
          <w:iCs w:val="1"/>
          <w:color w:val="auto"/>
        </w:rPr>
        <w:t xml:space="preserve">Consolidation </w:t>
      </w:r>
      <w:r>
        <w:rPr>
          <w:rFonts w:ascii="Arial" w:cs="Arial" w:eastAsia="Arial" w:hAnsi="Arial"/>
          <w:sz w:val="16"/>
          <w:szCs w:val="16"/>
          <w:color w:val="auto"/>
        </w:rPr>
        <w:t>- In October 2018, the FASB issued ASU 2018-17,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 (Topic 810): Targeted Improvements to Related Party Guidance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which modified how VIEs are assessed for consolidation purposes under ASC Topic 810, Consolidation. Under the update,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held through related parties in common control arrangements should be considered on a proportional basis for determining whether fees paid to decision makers and service providers are variable interests.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64"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b w:val="1"/>
          <w:bCs w:val="1"/>
          <w:i w:val="1"/>
          <w:iCs w:val="1"/>
          <w:color w:val="auto"/>
        </w:rPr>
        <w:t xml:space="preserve">Measurement of Credit Losses on Financial Instruments </w:t>
      </w:r>
      <w:r>
        <w:rPr>
          <w:rFonts w:ascii="Arial" w:cs="Arial" w:eastAsia="Arial" w:hAnsi="Arial"/>
          <w:sz w:val="16"/>
          <w:szCs w:val="16"/>
          <w:color w:val="auto"/>
        </w:rPr>
        <w:t>- In June 2016, the FASB issued ASU No.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(Topic 326) -Measurement of Credit Losses on Financial Instruments</w:t>
      </w:r>
      <w:r>
        <w:rPr>
          <w:rFonts w:ascii="Arial" w:cs="Arial" w:eastAsia="Arial" w:hAnsi="Arial"/>
          <w:sz w:val="16"/>
          <w:szCs w:val="16"/>
          <w:color w:val="auto"/>
        </w:rPr>
        <w:t>. This ASU amends several aspects of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 The ASU is effective for periods beginning after December 15, 2019, including interim periods within that fiscal year.</w:t>
      </w:r>
    </w:p>
    <w:p>
      <w:pPr>
        <w:spacing w:after="0" w:line="173" w:lineRule="exact"/>
        <w:rPr>
          <w:sz w:val="20"/>
          <w:szCs w:val="20"/>
          <w:color w:val="auto"/>
        </w:rPr>
      </w:pPr>
    </w:p>
    <w:p>
      <w:pPr>
        <w:ind w:right="80" w:firstLine="630"/>
        <w:spacing w:after="0" w:line="264" w:lineRule="auto"/>
        <w:rPr>
          <w:sz w:val="20"/>
          <w:szCs w:val="20"/>
          <w:color w:val="auto"/>
        </w:rPr>
      </w:pPr>
      <w:r>
        <w:rPr>
          <w:rFonts w:ascii="Arial" w:cs="Arial" w:eastAsia="Arial" w:hAnsi="Arial"/>
          <w:sz w:val="17"/>
          <w:szCs w:val="17"/>
          <w:color w:val="auto"/>
        </w:rPr>
        <w:t>The Company is currently in the process of identifying and developing the changes to the Company’s existing models and processes that will be required under CECL. As of March 31, 2019, the ASU is expected to impact only those financial instruments that are carried by the Company at amortized cost such as collateralized financing arrangements (repurchase agreements and securities borrowing/ lending transactions) and receivables from broker dealers and clearing organizations, and therefore the Company expects the ASU to have a limited impact on its financial condition, results of operations and cash flows. However, the ultimate impact of adoption of this ASU on the firm’s financial condition, results of operations and cash flows will depend on, among other things, the economic environment and the type of financial assets held by the firm on the date of adoption.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ITG Acquisition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w:t>
      </w:r>
    </w:p>
    <w:p>
      <w:pPr>
        <w:spacing w:after="0" w:line="224" w:lineRule="exact"/>
        <w:rPr>
          <w:sz w:val="20"/>
          <w:szCs w:val="20"/>
          <w:color w:val="auto"/>
        </w:rPr>
      </w:pPr>
    </w:p>
    <w:p>
      <w:pPr>
        <w:ind w:right="180" w:firstLine="630"/>
        <w:spacing w:after="0" w:line="299" w:lineRule="auto"/>
        <w:rPr>
          <w:sz w:val="20"/>
          <w:szCs w:val="20"/>
          <w:color w:val="auto"/>
        </w:rPr>
      </w:pPr>
      <w:r>
        <w:rPr>
          <w:rFonts w:ascii="Arial" w:cs="Arial" w:eastAsia="Arial" w:hAnsi="Arial"/>
          <w:sz w:val="15"/>
          <w:szCs w:val="15"/>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(the “Credit Agreement”), with the lenders party thereto, Jefferies Finance LLC, as administrative agent and Jefferies Finance LLC and RBC Capital Markets, as joint lead arrangers and joint bookrunners. The Credit Agreement provides (i) a senior secured first lien term loan in an aggregate principal amount of $1.5 billion, drawn in its entirety on the ITG Closing Date, with approximately $404.5 million being borrowed by VFH to repay all amounts outstanding under its existing term loan facility and the remaining approximately $1,095 million being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treatment of the ITG Acquisition</w:t>
      </w:r>
    </w:p>
    <w:p>
      <w:pPr>
        <w:spacing w:after="0" w:line="224"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 xml:space="preserve">The ITG Acquisition has been accounted for as a business combination pursuant to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three months ended March 31, 2019 comprise the results of the Company for the entire applicable period and the results of ITG from the ITG Closing Date through March 31, 2019. All periods prior to the ITG Closing Date comprise solely the results of the Company.</w:t>
      </w:r>
    </w:p>
    <w:p>
      <w:pPr>
        <w:spacing w:after="0" w:line="180" w:lineRule="exact"/>
        <w:rPr>
          <w:sz w:val="20"/>
          <w:szCs w:val="20"/>
          <w:color w:val="auto"/>
        </w:rPr>
      </w:pPr>
    </w:p>
    <w:p>
      <w:pPr>
        <w:ind w:right="80" w:firstLine="630"/>
        <w:spacing w:after="0" w:line="298" w:lineRule="auto"/>
        <w:rPr>
          <w:sz w:val="20"/>
          <w:szCs w:val="20"/>
          <w:color w:val="auto"/>
        </w:rPr>
      </w:pPr>
      <w:r>
        <w:rPr>
          <w:rFonts w:ascii="Arial" w:cs="Arial" w:eastAsia="Arial" w:hAnsi="Arial"/>
          <w:sz w:val="16"/>
          <w:szCs w:val="16"/>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three months ended March 31, 2019.</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and goodwill</w:t>
      </w:r>
    </w:p>
    <w:p>
      <w:pPr>
        <w:spacing w:after="0" w:line="224" w:lineRule="exact"/>
        <w:rPr>
          <w:sz w:val="20"/>
          <w:szCs w:val="20"/>
          <w:color w:val="auto"/>
        </w:rPr>
      </w:pPr>
    </w:p>
    <w:p>
      <w:pPr>
        <w:jc w:val="both"/>
        <w:ind w:right="300" w:firstLine="630"/>
        <w:spacing w:after="0" w:line="274" w:lineRule="auto"/>
        <w:rPr>
          <w:sz w:val="20"/>
          <w:szCs w:val="20"/>
          <w:color w:val="auto"/>
        </w:rPr>
      </w:pPr>
      <w:r>
        <w:rPr>
          <w:rFonts w:ascii="Arial" w:cs="Arial" w:eastAsia="Arial" w:hAnsi="Arial"/>
          <w:sz w:val="17"/>
          <w:szCs w:val="17"/>
          <w:color w:val="auto"/>
        </w:rPr>
        <w:t>The aggregate cash purchase price of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70"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The purchase price has been allocated to the assets acquired and liabilities assumed using their estimated fair values at the ITG Closing Date. The Company has not yet completed its analysis to finalize the allocation of the purchase price to the ITG acquired assets and liabilities. The allocation of the purchase price may be modified over the measurement period, as more information is obtained about the fair values of assets acquired and liabilities assumed. The Company has engaged third party specialists for the purchase price allocation.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127"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amounts in the table below represent the allocation of the purchase price and are subject to revision during the remainder of the measurement period, a period not to exceed twelve months from the ITG Closing Date. Adjustments to the provisional values during the measurement period will be recorded in the reporting period in which the adjustment amounts are determined. The following table summarizes the estimated fair values of the assets acquired and liabilities assumed at the ITG Closing Date:</w:t>
      </w:r>
    </w:p>
    <w:p>
      <w:pPr>
        <w:spacing w:after="0" w:line="390" w:lineRule="exact"/>
        <w:rPr>
          <w:sz w:val="20"/>
          <w:szCs w:val="20"/>
          <w:color w:val="auto"/>
        </w:rPr>
      </w:pPr>
    </w:p>
    <w:tbl>
      <w:tblPr>
        <w:tblLayout w:type="fixed"/>
        <w:tblInd w:w="2160" w:type="dxa"/>
        <w:tblCellMar>
          <w:top w:w="0" w:type="dxa"/>
          <w:left w:w="0" w:type="dxa"/>
          <w:bottom w:w="0" w:type="dxa"/>
          <w:right w:w="0" w:type="dxa"/>
        </w:tblCellMar>
      </w:tblPr>
      <w:tr>
        <w:trPr>
          <w:trHeight w:val="188"/>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equivalents</w:t>
            </w:r>
          </w:p>
        </w:tc>
        <w:tc>
          <w:tcPr>
            <w:tcW w:w="4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197,072</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Cash and securities segregated under federal regulations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14,232</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borrowed</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13,182</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328,112</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owned, at fair value</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523</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Receivables from customers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122,697</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46,408</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479,600</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17,221</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87,236</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31,653</w:t>
            </w:r>
          </w:p>
        </w:tc>
      </w:tr>
      <w:tr>
        <w:trPr>
          <w:trHeight w:val="210"/>
        </w:trPr>
        <w:tc>
          <w:tcPr>
            <w:tcW w:w="56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1,337,936</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15"/>
        </w:trPr>
        <w:tc>
          <w:tcPr>
            <w:tcW w:w="5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Short-term borrowings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18,651</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loaned</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17,663</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Payables to broker dealers and clearing organizations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152,043</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Payables to customers</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116,419</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Financial instruments sold, not yet purchased, at fair value</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 and other liabilities</w:t>
            </w: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172,727</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104,983</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65,888</w:t>
            </w:r>
          </w:p>
        </w:tc>
      </w:tr>
      <w:tr>
        <w:trPr>
          <w:trHeight w:val="210"/>
        </w:trPr>
        <w:tc>
          <w:tcPr>
            <w:tcW w:w="5600" w:type="dxa"/>
            <w:vAlign w:val="bottom"/>
          </w:tcPr>
          <w:p>
            <w:pPr>
              <w:ind w:left="160"/>
              <w:spacing w:after="0"/>
              <w:rPr>
                <w:sz w:val="20"/>
                <w:szCs w:val="20"/>
                <w:color w:val="auto"/>
              </w:rPr>
            </w:pPr>
            <w:r>
              <w:rPr>
                <w:rFonts w:ascii="Arial" w:cs="Arial" w:eastAsia="Arial" w:hAnsi="Arial"/>
                <w:sz w:val="16"/>
                <w:szCs w:val="16"/>
                <w:color w:val="auto"/>
              </w:rPr>
              <w:t>Total Liabilities</w:t>
            </w: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648,385</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15"/>
        </w:trPr>
        <w:tc>
          <w:tcPr>
            <w:tcW w:w="56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10"/>
        </w:trPr>
        <w:tc>
          <w:tcPr>
            <w:tcW w:w="5600" w:type="dxa"/>
            <w:vAlign w:val="bottom"/>
          </w:tcPr>
          <w:p>
            <w:pPr>
              <w:ind w:left="160"/>
              <w:spacing w:after="0"/>
              <w:rPr>
                <w:sz w:val="20"/>
                <w:szCs w:val="20"/>
                <w:color w:val="auto"/>
              </w:rPr>
            </w:pPr>
            <w:r>
              <w:rPr>
                <w:rFonts w:ascii="Arial" w:cs="Arial" w:eastAsia="Arial" w:hAnsi="Arial"/>
                <w:sz w:val="16"/>
                <w:szCs w:val="16"/>
                <w:color w:val="auto"/>
              </w:rPr>
              <w:t>Total identified assets acquired, net of assumed liabilities</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689,551</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15"/>
        </w:trPr>
        <w:tc>
          <w:tcPr>
            <w:tcW w:w="5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17"/>
        </w:trPr>
        <w:tc>
          <w:tcPr>
            <w:tcW w:w="56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357,334</w:t>
            </w:r>
          </w:p>
        </w:tc>
      </w:tr>
      <w:tr>
        <w:trPr>
          <w:trHeight w:val="33"/>
        </w:trPr>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15"/>
        </w:trPr>
        <w:tc>
          <w:tcPr>
            <w:tcW w:w="56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6"/>
        </w:trPr>
        <w:tc>
          <w:tcPr>
            <w:tcW w:w="5600" w:type="dxa"/>
            <w:vAlign w:val="bottom"/>
          </w:tcPr>
          <w:p>
            <w:pPr>
              <w:ind w:left="160"/>
              <w:spacing w:after="0"/>
              <w:rPr>
                <w:sz w:val="20"/>
                <w:szCs w:val="20"/>
                <w:color w:val="auto"/>
              </w:rPr>
            </w:pPr>
            <w:r>
              <w:rPr>
                <w:rFonts w:ascii="Arial" w:cs="Arial" w:eastAsia="Arial" w:hAnsi="Arial"/>
                <w:sz w:val="16"/>
                <w:szCs w:val="16"/>
                <w:color w:val="auto"/>
              </w:rPr>
              <w:t>Total Purchase Price</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1,046,885</w:t>
            </w:r>
          </w:p>
        </w:tc>
      </w:tr>
      <w:tr>
        <w:trPr>
          <w:trHeight w:val="20"/>
        </w:trPr>
        <w:tc>
          <w:tcPr>
            <w:tcW w:w="5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60"/>
          </w:cols>
          <w:pgMar w:left="240" w:top="127" w:right="2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Amounts preliminarily allocated to intangible assets, the amortization period and goodwill were as follows:</w:t>
      </w:r>
    </w:p>
    <w:p>
      <w:pPr>
        <w:spacing w:after="0" w:line="380" w:lineRule="exact"/>
        <w:rPr>
          <w:sz w:val="20"/>
          <w:szCs w:val="20"/>
          <w:color w:val="auto"/>
        </w:rPr>
      </w:pPr>
    </w:p>
    <w:tbl>
      <w:tblPr>
        <w:tblLayout w:type="fixed"/>
        <w:tblInd w:w="260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left="21"/>
              <w:spacing w:after="0"/>
              <w:rPr>
                <w:sz w:val="20"/>
                <w:szCs w:val="20"/>
                <w:color w:val="auto"/>
              </w:rPr>
            </w:pPr>
            <w:r>
              <w:rPr>
                <w:rFonts w:ascii="Arial" w:cs="Arial" w:eastAsia="Arial" w:hAnsi="Arial"/>
                <w:sz w:val="16"/>
                <w:szCs w:val="16"/>
                <w:b w:val="1"/>
                <w:bCs w:val="1"/>
                <w:color w:val="auto"/>
                <w:w w:val="91"/>
              </w:rPr>
              <w:t>Amortization</w:t>
            </w:r>
          </w:p>
        </w:tc>
      </w:tr>
      <w:tr>
        <w:trPr>
          <w:trHeight w:val="232"/>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ind w:left="21"/>
              <w:spacing w:after="0"/>
              <w:rPr>
                <w:sz w:val="20"/>
                <w:szCs w:val="20"/>
                <w:color w:val="auto"/>
              </w:rPr>
            </w:pPr>
            <w:r>
              <w:rPr>
                <w:rFonts w:ascii="Arial" w:cs="Arial" w:eastAsia="Arial" w:hAnsi="Arial"/>
                <w:sz w:val="16"/>
                <w:szCs w:val="16"/>
                <w:b w:val="1"/>
                <w:bCs w:val="1"/>
                <w:color w:val="auto"/>
                <w:w w:val="87"/>
              </w:rPr>
              <w:t>Years</w:t>
            </w:r>
          </w:p>
        </w:tc>
      </w:tr>
      <w:tr>
        <w:trPr>
          <w:trHeight w:val="228"/>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93,000</w:t>
            </w:r>
          </w:p>
        </w:tc>
        <w:tc>
          <w:tcPr>
            <w:tcW w:w="1780" w:type="dxa"/>
            <w:vAlign w:val="bottom"/>
            <w:tcBorders>
              <w:bottom w:val="single" w:sz="8" w:color="CCEEFF"/>
            </w:tcBorders>
            <w:gridSpan w:val="2"/>
            <w:shd w:val="clear" w:color="auto" w:fill="CCEEFF"/>
          </w:tcPr>
          <w:p>
            <w:pPr>
              <w:jc w:val="center"/>
              <w:ind w:left="141"/>
              <w:spacing w:after="0"/>
              <w:rPr>
                <w:sz w:val="20"/>
                <w:szCs w:val="20"/>
                <w:color w:val="auto"/>
              </w:rPr>
            </w:pPr>
            <w:r>
              <w:rPr>
                <w:rFonts w:ascii="Arial" w:cs="Arial" w:eastAsia="Arial" w:hAnsi="Arial"/>
                <w:sz w:val="16"/>
                <w:szCs w:val="16"/>
                <w:color w:val="auto"/>
                <w:w w:val="89"/>
              </w:rPr>
              <w:t>5</w:t>
            </w:r>
          </w:p>
        </w:tc>
      </w:tr>
      <w:tr>
        <w:trPr>
          <w:trHeight w:val="230"/>
        </w:trPr>
        <w:tc>
          <w:tcPr>
            <w:tcW w:w="286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383,000</w:t>
            </w:r>
          </w:p>
        </w:tc>
        <w:tc>
          <w:tcPr>
            <w:tcW w:w="1780" w:type="dxa"/>
            <w:vAlign w:val="bottom"/>
            <w:gridSpan w:val="2"/>
          </w:tcPr>
          <w:p>
            <w:pPr>
              <w:jc w:val="center"/>
              <w:ind w:left="141"/>
              <w:spacing w:after="0"/>
              <w:rPr>
                <w:sz w:val="20"/>
                <w:szCs w:val="20"/>
                <w:color w:val="auto"/>
              </w:rPr>
            </w:pPr>
            <w:r>
              <w:rPr>
                <w:rFonts w:ascii="Arial" w:cs="Arial" w:eastAsia="Arial" w:hAnsi="Arial"/>
                <w:sz w:val="16"/>
                <w:szCs w:val="16"/>
                <w:color w:val="auto"/>
                <w:w w:val="89"/>
              </w:rPr>
              <w:t>10</w:t>
            </w:r>
          </w:p>
        </w:tc>
      </w:tr>
      <w:tr>
        <w:trPr>
          <w:trHeight w:val="33"/>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2"/>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Trade names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780" w:type="dxa"/>
            <w:vAlign w:val="bottom"/>
            <w:tcBorders>
              <w:bottom w:val="single" w:sz="8" w:color="CCEEFF"/>
            </w:tcBorders>
            <w:gridSpan w:val="2"/>
            <w:shd w:val="clear" w:color="auto" w:fill="CCEEFF"/>
          </w:tcPr>
          <w:p>
            <w:pPr>
              <w:jc w:val="center"/>
              <w:ind w:left="141"/>
              <w:spacing w:after="0"/>
              <w:rPr>
                <w:sz w:val="20"/>
                <w:szCs w:val="20"/>
                <w:color w:val="auto"/>
              </w:rPr>
            </w:pPr>
            <w:r>
              <w:rPr>
                <w:rFonts w:ascii="Arial" w:cs="Arial" w:eastAsia="Arial" w:hAnsi="Arial"/>
                <w:sz w:val="16"/>
                <w:szCs w:val="16"/>
                <w:color w:val="auto"/>
                <w:w w:val="89"/>
              </w:rPr>
              <w:t>3</w:t>
            </w:r>
          </w:p>
        </w:tc>
      </w:tr>
      <w:tr>
        <w:trPr>
          <w:trHeight w:val="210"/>
        </w:trPr>
        <w:tc>
          <w:tcPr>
            <w:tcW w:w="286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479,600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2"/>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357,330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36"/>
        </w:trPr>
        <w:tc>
          <w:tcPr>
            <w:tcW w:w="2860" w:type="dxa"/>
            <w:vAlign w:val="bottom"/>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836,930</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360" w:firstLine="630"/>
        <w:spacing w:after="0" w:line="290" w:lineRule="auto"/>
        <w:rPr>
          <w:sz w:val="20"/>
          <w:szCs w:val="20"/>
          <w:color w:val="auto"/>
        </w:rPr>
      </w:pPr>
      <w:r>
        <w:rPr>
          <w:rFonts w:ascii="Arial" w:cs="Arial" w:eastAsia="Arial" w:hAnsi="Arial"/>
          <w:sz w:val="17"/>
          <w:szCs w:val="17"/>
          <w:color w:val="auto"/>
        </w:rPr>
        <w:t>The total Goodwill of $357.3 million has been assigned to the Execution Services segment. Such goodwill is attributable to the expansion of product offerings and expected synergies of the combined workforce, products and technologies of the Company and ITG.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 of Equity Compensation Plan</w:t>
      </w:r>
    </w:p>
    <w:p>
      <w:pPr>
        <w:spacing w:after="0" w:line="224"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Securities and Exchange Commission a Registration Statement on Form S-8 on the ITG Closing Date to register such shares of 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treatment of the ITG Acquisition</w:t>
      </w:r>
    </w:p>
    <w:p>
      <w:pPr>
        <w:spacing w:after="0" w:line="224"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The Company believes that the ITG Acquisition will be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70" w:lineRule="exact"/>
        <w:rPr>
          <w:sz w:val="20"/>
          <w:szCs w:val="20"/>
          <w:color w:val="auto"/>
        </w:rPr>
      </w:pPr>
    </w:p>
    <w:p>
      <w:pPr>
        <w:jc w:val="both"/>
        <w:ind w:right="560" w:firstLine="630"/>
        <w:spacing w:after="0" w:line="274" w:lineRule="auto"/>
        <w:rPr>
          <w:sz w:val="20"/>
          <w:szCs w:val="20"/>
          <w:color w:val="auto"/>
        </w:rPr>
      </w:pPr>
      <w:r>
        <w:rPr>
          <w:rFonts w:ascii="Arial" w:cs="Arial" w:eastAsia="Arial" w:hAnsi="Arial"/>
          <w:sz w:val="17"/>
          <w:szCs w:val="17"/>
          <w:color w:val="auto"/>
        </w:rPr>
        <w:t>The Company recorded deferred tax assets of $17.2 million and deferred tax liabilities of $65.9 million with respect to recording ITG’s assets and liabilities under the purchase method of accounting as described above as well as recording the value of other tax attributes acquired as a result of the ITG Acquisition, as described in Note 14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results</w:t>
      </w:r>
    </w:p>
    <w:p>
      <w:pPr>
        <w:spacing w:after="0" w:line="224" w:lineRule="exact"/>
        <w:rPr>
          <w:sz w:val="20"/>
          <w:szCs w:val="20"/>
          <w:color w:val="auto"/>
        </w:rPr>
      </w:pPr>
    </w:p>
    <w:p>
      <w:pPr>
        <w:ind w:right="180" w:firstLine="630"/>
        <w:spacing w:after="0" w:line="290" w:lineRule="auto"/>
        <w:rPr>
          <w:sz w:val="20"/>
          <w:szCs w:val="20"/>
          <w:color w:val="auto"/>
        </w:rPr>
      </w:pPr>
      <w:r>
        <w:rPr>
          <w:rFonts w:ascii="Arial" w:cs="Arial" w:eastAsia="Arial" w:hAnsi="Arial"/>
          <w:sz w:val="17"/>
          <w:szCs w:val="17"/>
          <w:color w:val="auto"/>
        </w:rPr>
        <w:t>Included in the Company’s results for the three months ended March 31, 2019 are results from the business acquired as a result of the ITG Acquisition, from the ITG Closing Date through March 31, 2019 as follows:</w:t>
      </w:r>
    </w:p>
    <w:p>
      <w:pPr>
        <w:spacing w:after="0" w:line="182" w:lineRule="exact"/>
        <w:rPr>
          <w:sz w:val="20"/>
          <w:szCs w:val="20"/>
          <w:color w:val="auto"/>
        </w:rPr>
      </w:pPr>
    </w:p>
    <w:tbl>
      <w:tblPr>
        <w:tblLayout w:type="fixed"/>
        <w:tblInd w:w="2700" w:type="dxa"/>
        <w:tblCellMar>
          <w:top w:w="0" w:type="dxa"/>
          <w:left w:w="0" w:type="dxa"/>
          <w:bottom w:w="0" w:type="dxa"/>
          <w:right w:w="0" w:type="dxa"/>
        </w:tblCellMar>
      </w:tblPr>
      <w:tr>
        <w:trPr>
          <w:trHeight w:val="204"/>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8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35,901</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(48,407)</w:t>
            </w:r>
          </w:p>
        </w:tc>
      </w:tr>
    </w:tbl>
    <w:p>
      <w:pPr>
        <w:spacing w:after="0" w:line="230"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 nonrecurring costs associated with the ITG Acquisition, which comprise advisory and other professional fees incurred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Company and ITG of $15.1 million and $18.2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177"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three months ended March 31, 2019 and 2018:</w:t>
      </w:r>
    </w:p>
    <w:p>
      <w:pPr>
        <w:spacing w:after="0" w:line="200" w:lineRule="exact"/>
        <w:rPr>
          <w:sz w:val="20"/>
          <w:szCs w:val="20"/>
          <w:color w:val="auto"/>
        </w:rPr>
      </w:pPr>
    </w:p>
    <w:p>
      <w:pPr>
        <w:spacing w:after="0" w:line="211"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5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260" w:type="dxa"/>
            <w:vAlign w:val="bottom"/>
          </w:tcPr>
          <w:p>
            <w:pPr>
              <w:spacing w:after="0"/>
              <w:rPr>
                <w:sz w:val="17"/>
                <w:szCs w:val="17"/>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r>
      <w:tr>
        <w:trPr>
          <w:trHeight w:val="3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438,250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946,556</w:t>
            </w:r>
          </w:p>
        </w:tc>
      </w:tr>
      <w:tr>
        <w:trPr>
          <w:trHeight w:val="31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368,993</w:t>
            </w:r>
          </w:p>
        </w:tc>
      </w:tr>
      <w:tr>
        <w:trPr>
          <w:trHeight w:val="31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154,747</w:t>
            </w:r>
          </w:p>
        </w:tc>
      </w:tr>
      <w:tr>
        <w:trPr>
          <w:trHeight w:val="33"/>
        </w:trPr>
        <w:tc>
          <w:tcPr>
            <w:tcW w:w="4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BondPoint</w:t>
      </w:r>
    </w:p>
    <w:p>
      <w:pPr>
        <w:spacing w:after="0" w:line="230"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5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On January 2, 2018, the Company completed the sale of BondPoint to ICE for total gross proceeds of $400.2 million in cash. The Company incurred one-time transaction costs of $8.5 million, which included professional fees of $7.1 million related to the sale and $1.4 million of compensation expense, which is recorded in Transaction advisory fees and expenses and Employee compensation and payroll taxes, respectively, on the condensed consolidated statement of comprehensive income. The Company recognized a gain on sale of $337.6 million, which is recorded in Other, net on the condensed consolidated statement of comprehensive income for the three months ended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summary of the carrying value of BondPoint and gain on sale of BondPoint is as follows:</w:t>
      </w:r>
    </w:p>
    <w:p>
      <w:pPr>
        <w:spacing w:after="0" w:line="398" w:lineRule="exact"/>
        <w:rPr>
          <w:sz w:val="20"/>
          <w:szCs w:val="20"/>
          <w:color w:val="auto"/>
        </w:rPr>
      </w:pPr>
    </w:p>
    <w:tbl>
      <w:tblPr>
        <w:tblLayout w:type="fixed"/>
        <w:tblInd w:w="2100" w:type="dxa"/>
        <w:tblCellMar>
          <w:top w:w="0" w:type="dxa"/>
          <w:left w:w="0" w:type="dxa"/>
          <w:bottom w:w="0" w:type="dxa"/>
          <w:right w:w="0" w:type="dxa"/>
        </w:tblCellMar>
      </w:tblPr>
      <w:tr>
        <w:trPr>
          <w:trHeight w:val="20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400,192</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3,383</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51,687</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54,342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8,300</w:t>
            </w:r>
          </w:p>
        </w:tc>
      </w:tr>
      <w:tr>
        <w:trPr>
          <w:trHeight w:val="21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337,550</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8,568</w:t>
            </w:r>
          </w:p>
        </w:tc>
      </w:tr>
      <w:tr>
        <w:trPr>
          <w:trHeight w:val="236"/>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328,982</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table contains a reconciliation of net income before noncontrolling interest to net income available for common stockholders: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9"/>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5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1"/>
                <w:szCs w:val="21"/>
                <w:color w:val="auto"/>
              </w:rPr>
            </w:pPr>
          </w:p>
        </w:tc>
        <w:tc>
          <w:tcPr>
            <w:tcW w:w="59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468,536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58,514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1"/>
                <w:szCs w:val="21"/>
                <w:color w:val="auto"/>
              </w:rPr>
            </w:pPr>
          </w:p>
        </w:tc>
        <w:tc>
          <w:tcPr>
            <w:tcW w:w="59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410,022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3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59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6,946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60" w:type="dxa"/>
            <w:vAlign w:val="bottom"/>
          </w:tcPr>
          <w:p>
            <w:pPr>
              <w:spacing w:after="0"/>
              <w:rPr>
                <w:sz w:val="23"/>
                <w:szCs w:val="23"/>
                <w:color w:val="auto"/>
              </w:rPr>
            </w:pPr>
          </w:p>
        </w:tc>
        <w:tc>
          <w:tcPr>
            <w:tcW w:w="2120" w:type="dxa"/>
            <w:vAlign w:val="bottom"/>
            <w:tcBorders>
              <w:bottom w:val="single" w:sz="8" w:color="CCEEFF"/>
            </w:tcBorders>
          </w:tcPr>
          <w:p>
            <w:pPr>
              <w:spacing w:after="0"/>
              <w:rPr>
                <w:sz w:val="23"/>
                <w:szCs w:val="23"/>
                <w:color w:val="auto"/>
              </w:rPr>
            </w:pPr>
          </w:p>
        </w:tc>
        <w:tc>
          <w:tcPr>
            <w:tcW w:w="37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5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174,751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5"/>
            <w:vMerge w:val="restart"/>
          </w:tcPr>
          <w:p>
            <w:pPr>
              <w:ind w:left="640"/>
              <w:spacing w:after="0"/>
              <w:rPr>
                <w:sz w:val="20"/>
                <w:szCs w:val="20"/>
                <w:color w:val="auto"/>
              </w:rPr>
            </w:pPr>
            <w:r>
              <w:rPr>
                <w:rFonts w:ascii="Arial" w:cs="Arial" w:eastAsia="Arial" w:hAnsi="Arial"/>
                <w:sz w:val="17"/>
                <w:szCs w:val="17"/>
                <w:color w:val="auto"/>
              </w:rPr>
              <w:t>The calculation of basic and diluted earnings per share is presented below:</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4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9"/>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1"/>
                <w:szCs w:val="21"/>
                <w:color w:val="auto"/>
              </w:rPr>
            </w:pPr>
          </w:p>
        </w:tc>
        <w:tc>
          <w:tcPr>
            <w:tcW w:w="59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80" w:type="dxa"/>
            <w:vAlign w:val="bottom"/>
            <w:gridSpan w:val="4"/>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(6,673)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174,751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60" w:type="dxa"/>
            <w:vAlign w:val="bottom"/>
          </w:tcPr>
          <w:p>
            <w:pPr>
              <w:spacing w:after="0"/>
              <w:rPr>
                <w:sz w:val="23"/>
                <w:szCs w:val="23"/>
                <w:color w:val="auto"/>
              </w:rPr>
            </w:pPr>
          </w:p>
        </w:tc>
        <w:tc>
          <w:tcPr>
            <w:tcW w:w="59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5980" w:type="dxa"/>
            <w:vAlign w:val="bottom"/>
            <w:gridSpan w:val="4"/>
          </w:tcPr>
          <w:p>
            <w:pPr>
              <w:ind w:left="20"/>
              <w:spacing w:after="0" w:line="132" w:lineRule="exact"/>
              <w:rPr>
                <w:sz w:val="20"/>
                <w:szCs w:val="20"/>
                <w:color w:val="auto"/>
              </w:rPr>
            </w:pPr>
            <w:r>
              <w:rPr>
                <w:rFonts w:ascii="Arial" w:cs="Arial" w:eastAsia="Arial" w:hAnsi="Arial"/>
                <w:sz w:val="14"/>
                <w:szCs w:val="14"/>
                <w:color w:val="auto"/>
                <w:w w:val="98"/>
              </w:rPr>
              <w:t>Net income (loss) available for common stockholders, net of dividends and undistributed earnings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5980" w:type="dxa"/>
            <w:vAlign w:val="bottom"/>
            <w:gridSpan w:val="4"/>
          </w:tcPr>
          <w:p>
            <w:pPr>
              <w:ind w:left="20"/>
              <w:spacing w:after="0"/>
              <w:rPr>
                <w:sz w:val="20"/>
                <w:szCs w:val="20"/>
                <w:color w:val="auto"/>
              </w:rPr>
            </w:pPr>
            <w:r>
              <w:rPr>
                <w:rFonts w:ascii="Arial" w:cs="Arial" w:eastAsia="Arial" w:hAnsi="Arial"/>
                <w:sz w:val="14"/>
                <w:szCs w:val="14"/>
                <w:color w:val="auto"/>
              </w:rPr>
              <w:t>allocated to participating securities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171,538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360" w:type="dxa"/>
            <w:vAlign w:val="bottom"/>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37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80" w:type="dxa"/>
            <w:vAlign w:val="bottom"/>
            <w:gridSpan w:val="4"/>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360" w:type="dxa"/>
            <w:vAlign w:val="bottom"/>
          </w:tcPr>
          <w:p>
            <w:pPr>
              <w:spacing w:after="0"/>
              <w:rPr>
                <w:sz w:val="23"/>
                <w:szCs w:val="23"/>
                <w:color w:val="auto"/>
              </w:rPr>
            </w:pPr>
          </w:p>
        </w:tc>
        <w:tc>
          <w:tcPr>
            <w:tcW w:w="598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Class A</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107,319,812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90,699,321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378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5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60" w:type="dxa"/>
            <w:vAlign w:val="bottom"/>
            <w:tcBorders>
              <w:right w:val="single" w:sz="8" w:color="CCEEFF"/>
            </w:tcBorders>
          </w:tcPr>
          <w:p>
            <w:pPr>
              <w:spacing w:after="0"/>
              <w:rPr>
                <w:sz w:val="21"/>
                <w:szCs w:val="21"/>
                <w:color w:val="auto"/>
              </w:rPr>
            </w:pPr>
          </w:p>
        </w:tc>
        <w:tc>
          <w:tcPr>
            <w:tcW w:w="59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360" w:type="dxa"/>
            <w:vAlign w:val="bottom"/>
          </w:tcPr>
          <w:p>
            <w:pPr>
              <w:spacing w:after="0"/>
              <w:rPr>
                <w:sz w:val="13"/>
                <w:szCs w:val="13"/>
                <w:color w:val="auto"/>
              </w:rPr>
            </w:pPr>
          </w:p>
        </w:tc>
        <w:tc>
          <w:tcPr>
            <w:tcW w:w="5980" w:type="dxa"/>
            <w:vAlign w:val="bottom"/>
            <w:gridSpan w:val="4"/>
          </w:tcPr>
          <w:p>
            <w:pPr>
              <w:spacing w:after="0" w:line="152" w:lineRule="exact"/>
              <w:rPr>
                <w:sz w:val="20"/>
                <w:szCs w:val="20"/>
                <w:color w:val="auto"/>
              </w:rPr>
            </w:pPr>
            <w:r>
              <w:rPr>
                <w:rFonts w:ascii="Arial" w:cs="Arial" w:eastAsia="Arial" w:hAnsi="Arial"/>
                <w:sz w:val="14"/>
                <w:szCs w:val="14"/>
                <w:color w:val="auto"/>
                <w:w w:val="98"/>
              </w:rPr>
              <w:t>Net income (loss) available for common stockholders, net of dividends and undistributed earnings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allocated to participating securities</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171,538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CCEEFF"/>
            </w:tcBorders>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37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Weighted average shares of common stock outstanding:</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360" w:type="dxa"/>
            <w:vAlign w:val="bottom"/>
            <w:tcBorders>
              <w:right w:val="single" w:sz="8" w:color="CCEEFF"/>
            </w:tcBorders>
          </w:tcPr>
          <w:p>
            <w:pPr>
              <w:spacing w:after="0"/>
              <w:rPr>
                <w:sz w:val="21"/>
                <w:szCs w:val="21"/>
                <w:color w:val="auto"/>
              </w:rPr>
            </w:pPr>
          </w:p>
        </w:tc>
        <w:tc>
          <w:tcPr>
            <w:tcW w:w="5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4"/>
                <w:szCs w:val="14"/>
                <w:color w:val="auto"/>
              </w:rPr>
              <w:t>Class A</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2"/>
                <w:szCs w:val="22"/>
                <w:color w:val="auto"/>
              </w:rPr>
            </w:pPr>
          </w:p>
        </w:tc>
        <w:tc>
          <w:tcPr>
            <w:tcW w:w="5980" w:type="dxa"/>
            <w:vAlign w:val="bottom"/>
            <w:gridSpan w:val="4"/>
          </w:tcPr>
          <w:p>
            <w:pPr>
              <w:ind w:left="340"/>
              <w:spacing w:after="0"/>
              <w:rPr>
                <w:sz w:val="20"/>
                <w:szCs w:val="20"/>
                <w:color w:val="auto"/>
              </w:rPr>
            </w:pPr>
            <w:r>
              <w:rPr>
                <w:rFonts w:ascii="Arial" w:cs="Arial" w:eastAsia="Arial" w:hAnsi="Arial"/>
                <w:sz w:val="14"/>
                <w:szCs w:val="14"/>
                <w:color w:val="auto"/>
              </w:rPr>
              <w:t>Issued and outstanding</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107,319,812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90,699,321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60" w:type="dxa"/>
            <w:vAlign w:val="bottom"/>
            <w:tcBorders>
              <w:right w:val="single" w:sz="8" w:color="CCEEFF"/>
            </w:tcBorders>
          </w:tcPr>
          <w:p>
            <w:pPr>
              <w:spacing w:after="0"/>
              <w:rPr>
                <w:sz w:val="22"/>
                <w:szCs w:val="22"/>
                <w:color w:val="auto"/>
              </w:rPr>
            </w:pPr>
          </w:p>
        </w:tc>
        <w:tc>
          <w:tcPr>
            <w:tcW w:w="598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Issuable pursuant to Amended and Restated 2015 Management Incentive Plan (1)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1,706,996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107,319,812</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92,406,317</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CCEEFF"/>
            </w:tcBorders>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37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36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Diluted earnings per share</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20" w:hanging="315"/>
        <w:spacing w:after="0" w:line="257"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dilutive impact excludes from the computation of earnings per share 864,601 unexercised stock options and 168,221 restricted stock units issuable pursuant to Amended and Restated Investment Technology Group, Inc. 2007 Omnibus Equity Compensation Plan for the three months ended March 31, 2019 because the inclusion of the options and restricted stock units would have been anti-dilutive.</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Tax Receivable Agreements</w:t>
      </w:r>
    </w:p>
    <w:p>
      <w:pPr>
        <w:spacing w:after="0" w:line="230" w:lineRule="exact"/>
        <w:rPr>
          <w:sz w:val="20"/>
          <w:szCs w:val="20"/>
          <w:color w:val="auto"/>
        </w:rPr>
      </w:pPr>
    </w:p>
    <w:p>
      <w:pPr>
        <w:jc w:val="both"/>
        <w:ind w:right="200" w:firstLine="630"/>
        <w:spacing w:after="0" w:line="279"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w:t>
      </w:r>
    </w:p>
    <w:p>
      <w:pPr>
        <w:ind w:right="260"/>
        <w:spacing w:after="0" w:line="275" w:lineRule="auto"/>
        <w:rPr>
          <w:sz w:val="20"/>
          <w:szCs w:val="20"/>
          <w:color w:val="auto"/>
        </w:rPr>
      </w:pPr>
      <w:r>
        <w:rPr>
          <w:rFonts w:ascii="Arial" w:cs="Arial" w:eastAsia="Arial" w:hAnsi="Arial"/>
          <w:sz w:val="17"/>
          <w:szCs w:val="17"/>
          <w:color w:val="auto"/>
        </w:rPr>
        <w:t>membership interests for Class A Common Stock or Class B common stock, par value $0.00001 per share (the “Class B Common Stock”), and payments made under the tax receivable agreements. Payments will occur only after the filing of the U.S. federal and state income tax returns</w:t>
      </w:r>
    </w:p>
    <w:p>
      <w:pPr>
        <w:sectPr>
          <w:pgSz w:w="11900" w:h="16838" w:orient="portrait"/>
          <w:cols w:equalWidth="0" w:num="1">
            <w:col w:w="11420"/>
          </w:cols>
          <w:pgMar w:left="240" w:top="127"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7" w:right="239" w:bottom="1440" w:gutter="0" w:footer="0" w:header="0"/>
          <w:type w:val="continuous"/>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and realization of the cash tax savings from the favorable tax attributes. The Company made its first payment of $7.0 million in February 2017 and its second payment of $12.4 million in September 2018.</w:t>
      </w:r>
    </w:p>
    <w:p>
      <w:pPr>
        <w:spacing w:after="0" w:line="158" w:lineRule="exact"/>
        <w:rPr>
          <w:sz w:val="20"/>
          <w:szCs w:val="20"/>
          <w:color w:val="auto"/>
        </w:rPr>
      </w:pPr>
    </w:p>
    <w:p>
      <w:pPr>
        <w:ind w:right="40" w:firstLine="664"/>
        <w:spacing w:after="0" w:line="280" w:lineRule="auto"/>
        <w:rPr>
          <w:sz w:val="20"/>
          <w:szCs w:val="20"/>
          <w:color w:val="auto"/>
        </w:rPr>
      </w:pPr>
      <w:r>
        <w:rPr>
          <w:rFonts w:ascii="Arial" w:cs="Arial" w:eastAsia="Arial" w:hAnsi="Arial"/>
          <w:sz w:val="16"/>
          <w:szCs w:val="16"/>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and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(the “May 2018 Secondary Offering” and, together with the November 2015 Secondary Offering and September 2016 Secondary Offering, the “Secondary Offerings”), payments to certain Virtu Members in respect of the purchases are expected to range from approximately $4.7 million to $17.0 million per year over the next 15 years.</w:t>
      </w:r>
    </w:p>
    <w:p>
      <w:pPr>
        <w:spacing w:after="0" w:line="168" w:lineRule="exact"/>
        <w:rPr>
          <w:sz w:val="20"/>
          <w:szCs w:val="20"/>
          <w:color w:val="auto"/>
        </w:rPr>
      </w:pPr>
    </w:p>
    <w:p>
      <w:pPr>
        <w:ind w:right="320" w:firstLine="630"/>
        <w:spacing w:after="0" w:line="298" w:lineRule="auto"/>
        <w:rPr>
          <w:sz w:val="20"/>
          <w:szCs w:val="20"/>
          <w:color w:val="auto"/>
        </w:rPr>
      </w:pPr>
      <w:r>
        <w:rPr>
          <w:rFonts w:ascii="Arial" w:cs="Arial" w:eastAsia="Arial" w:hAnsi="Arial"/>
          <w:sz w:val="16"/>
          <w:szCs w:val="16"/>
          <w:color w:val="auto"/>
        </w:rPr>
        <w:t>In connection with the employee exchanges and May 2018 Secondary Offering between the Company and TJMT Holdings LLC and the other selling stockholders, both as described in Note 18 “Capital Structure”, the Company recorded an additional deferred tax asset of $78.7 million and payment liability pursuant to the tax receivable agreements of $79.7 million, with the $1.0 million difference recorded as a decrease to additional paid-in capital.</w:t>
      </w:r>
    </w:p>
    <w:p>
      <w:pPr>
        <w:spacing w:after="0" w:line="155" w:lineRule="exact"/>
        <w:rPr>
          <w:sz w:val="20"/>
          <w:szCs w:val="20"/>
          <w:color w:val="auto"/>
        </w:rPr>
      </w:pPr>
    </w:p>
    <w:p>
      <w:pPr>
        <w:jc w:val="both"/>
        <w:ind w:right="140" w:firstLine="630"/>
        <w:spacing w:after="0" w:line="298" w:lineRule="auto"/>
        <w:rPr>
          <w:sz w:val="20"/>
          <w:szCs w:val="20"/>
          <w:color w:val="auto"/>
        </w:rPr>
      </w:pPr>
      <w:r>
        <w:rPr>
          <w:rFonts w:ascii="Arial" w:cs="Arial" w:eastAsia="Arial" w:hAnsi="Arial"/>
          <w:sz w:val="16"/>
          <w:szCs w:val="16"/>
          <w:color w:val="auto"/>
        </w:rPr>
        <w:t>As a result of the reduction in the U.S. corporate income tax rate as described below, the aforementioned deferred tax asset and related payment liability were subsequently reduced as described below. The amounts recorded as of March 31, 2019 are based on best estimates available at the respective dates and may be subject to change after the filing of the Company’s U.S. federal and state income tax returns for the years in which tax savings were realized.</w:t>
      </w:r>
    </w:p>
    <w:p>
      <w:pPr>
        <w:spacing w:after="0" w:line="155" w:lineRule="exact"/>
        <w:rPr>
          <w:sz w:val="20"/>
          <w:szCs w:val="20"/>
          <w:color w:val="auto"/>
        </w:rPr>
      </w:pPr>
    </w:p>
    <w:p>
      <w:pPr>
        <w:ind w:right="160" w:firstLine="630"/>
        <w:spacing w:after="0" w:line="268" w:lineRule="auto"/>
        <w:rPr>
          <w:sz w:val="20"/>
          <w:szCs w:val="20"/>
          <w:color w:val="auto"/>
        </w:rPr>
      </w:pPr>
      <w:r>
        <w:rPr>
          <w:rFonts w:ascii="Arial" w:cs="Arial" w:eastAsia="Arial" w:hAnsi="Arial"/>
          <w:sz w:val="17"/>
          <w:szCs w:val="17"/>
          <w:color w:val="auto"/>
        </w:rPr>
        <w:t>At December 31, 2017, the Company recorded a reduction of its tax receivable agreement obligation of $86.6 million due to the change in the corporate income tax rate. At March 31, 2019 and December 31, 2018, the Company’s remaining deferred tax assets described above were approximately $163.6 million and $167.1 million, respectively, and the Company’s liabilities over the next 15 years pursuant to the tax receivable agreements were approximately $214.4 million and $214.4 million, respectively.</w:t>
      </w:r>
    </w:p>
    <w:p>
      <w:pPr>
        <w:spacing w:after="0" w:line="177" w:lineRule="exact"/>
        <w:rPr>
          <w:sz w:val="20"/>
          <w:szCs w:val="20"/>
          <w:color w:val="auto"/>
        </w:rPr>
      </w:pPr>
    </w:p>
    <w:p>
      <w:pPr>
        <w:ind w:right="100" w:firstLine="630"/>
        <w:spacing w:after="0" w:line="28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23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Company has two operating segments: (i) Market Making; (ii) Execution Services; and one non-operating segment: Corporate. As of March 31, 2019 and December 31, 2018, the Company’s total amount of goodwill recorded was $1,193.7 million and $836.6 million, respectively. The Company recognized $357.3 million of goodwill in connection with the ITG Acquisition, which was recorded in the Execution Services segment. No goodwill impairment was recognized during the three months ended March 31, 2019 and 2018.</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details of goodwill by segment:</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Execution Services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4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81,291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836,583</w:t>
            </w:r>
          </w:p>
        </w:tc>
      </w:tr>
      <w:tr>
        <w:trPr>
          <w:trHeight w:val="257"/>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Goodwill recognized in ITG Acquisition</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357,334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357,334</w:t>
            </w:r>
          </w:p>
        </w:tc>
      </w:tr>
      <w:tr>
        <w:trPr>
          <w:trHeight w:val="262"/>
        </w:trPr>
        <w:tc>
          <w:tcPr>
            <w:tcW w:w="5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Currency translation adjustment</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3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Balance as of March 31,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438,405</w:t>
            </w:r>
          </w:p>
        </w:tc>
        <w:tc>
          <w:tcPr>
            <w:tcW w:w="120" w:type="dxa"/>
            <w:vAlign w:val="bottom"/>
          </w:tcPr>
          <w:p>
            <w:pPr>
              <w:spacing w:after="0"/>
              <w:rPr>
                <w:sz w:val="20"/>
                <w:szCs w:val="20"/>
                <w:color w:val="auto"/>
              </w:rPr>
            </w:pPr>
          </w:p>
        </w:tc>
        <w:tc>
          <w:tcPr>
            <w:tcW w:w="920" w:type="dxa"/>
            <w:vAlign w:val="bottom"/>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1,193,697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As of March 31, 2019 and December 31, 2018, the Company's total amount of intangible assets recorded was $552.5 million and $84.0 million, respectively. The Company acquired $479.6 million of intangible assets in connection with the ITG Acquisition. Acquired intangible assets consisted of the following as of March 31, 2019 and December 31, 2018:</w:t>
      </w: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As of March 31, 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92"/>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153,000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36,538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116,462</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1</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tcPr>
          <w:p>
            <w:pPr>
              <w:jc w:val="center"/>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432,000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421,762</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89"/>
              </w:rPr>
              <w:t>10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12</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3,500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4,467</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76"/>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5,838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712,233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159,686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552,547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30,185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29,815</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9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43,095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4,671</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232,633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148,644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83,989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Amortization expense relating to finite-lived intangible assets was approximately $10.9 million and $6.9 million for the three months ended March 31, 2019 and 2018,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180"/>
          </w:cols>
          <w:pgMar w:left="240" w:top="127" w:right="47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Receivables from/Payables to Broker-Dealers and Clearing Organizations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March 31, 2019 and December 31, 2018:</w:t>
      </w:r>
    </w:p>
    <w:p>
      <w:pPr>
        <w:spacing w:after="0" w:line="200" w:lineRule="exact"/>
        <w:rPr>
          <w:sz w:val="20"/>
          <w:szCs w:val="20"/>
          <w:color w:val="auto"/>
        </w:rPr>
      </w:pP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December 31, 2018</w:t>
            </w:r>
          </w:p>
        </w:tc>
      </w:tr>
      <w:tr>
        <w:trPr>
          <w:trHeight w:val="261"/>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518,762</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302,152</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170,084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84,509</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00" w:type="dxa"/>
            <w:vAlign w:val="bottom"/>
          </w:tcPr>
          <w:p>
            <w:pPr>
              <w:spacing w:after="0"/>
              <w:rPr>
                <w:sz w:val="22"/>
                <w:szCs w:val="22"/>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248,879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294,884</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120,093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193,544</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300" w:type="dxa"/>
            <w:vAlign w:val="bottom"/>
          </w:tcPr>
          <w:p>
            <w:pPr>
              <w:spacing w:after="0"/>
              <w:rPr>
                <w:sz w:val="22"/>
                <w:szCs w:val="22"/>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123,219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218,663</w:t>
            </w:r>
          </w:p>
        </w:tc>
      </w:tr>
      <w:tr>
        <w:trPr>
          <w:trHeight w:val="26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3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6,683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7,697</w:t>
            </w:r>
          </w:p>
        </w:tc>
      </w:tr>
      <w:tr>
        <w:trPr>
          <w:trHeight w:val="275"/>
        </w:trPr>
        <w:tc>
          <w:tcPr>
            <w:tcW w:w="7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1,187,720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1,101,449</w:t>
            </w:r>
          </w:p>
        </w:tc>
      </w:tr>
      <w:tr>
        <w:trPr>
          <w:trHeight w:val="24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to prime brokers</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501,190</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354,300</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47,680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47,998</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300" w:type="dxa"/>
            <w:vAlign w:val="bottom"/>
          </w:tcPr>
          <w:p>
            <w:pPr>
              <w:spacing w:after="0"/>
              <w:rPr>
                <w:sz w:val="22"/>
                <w:szCs w:val="22"/>
                <w:color w:val="auto"/>
              </w:rPr>
            </w:pPr>
          </w:p>
        </w:tc>
        <w:tc>
          <w:tcPr>
            <w:tcW w:w="1580" w:type="dxa"/>
            <w:vAlign w:val="bottom"/>
          </w:tcPr>
          <w:p>
            <w:pPr>
              <w:jc w:val="right"/>
              <w:ind w:right="50"/>
              <w:spacing w:after="0"/>
              <w:rPr>
                <w:sz w:val="20"/>
                <w:szCs w:val="20"/>
                <w:color w:val="auto"/>
              </w:rPr>
            </w:pPr>
            <w:r>
              <w:rPr>
                <w:rFonts w:ascii="Arial" w:cs="Arial" w:eastAsia="Arial" w:hAnsi="Arial"/>
                <w:sz w:val="14"/>
                <w:szCs w:val="14"/>
                <w:color w:val="auto"/>
              </w:rPr>
              <w:t>227,880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90,021</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failed to receive</w:t>
            </w: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209,517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73,547</w:t>
            </w:r>
          </w:p>
        </w:tc>
      </w:tr>
      <w:tr>
        <w:trPr>
          <w:trHeight w:val="257"/>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Commissions and fees</w:t>
            </w: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1,575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1,575</w:t>
            </w:r>
          </w:p>
        </w:tc>
      </w:tr>
      <w:tr>
        <w:trPr>
          <w:trHeight w:val="235"/>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987,842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567,441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30"/>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10 “Borrowings”) of approximately $136.1 million and $184.6 million as of March 31, 2019 and December 31, 2018,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Collateralized Transactions</w:t>
      </w:r>
    </w:p>
    <w:p>
      <w:pPr>
        <w:spacing w:after="0" w:line="230"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2019 and December 31, 2018, substantially all of the securities received as collateral have been repledged. The fair value of the collateralized transactions at March 31, 2019 and December 31, 2018 are summarized as follows: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2018</w:t>
            </w:r>
          </w:p>
        </w:tc>
      </w:tr>
      <w:tr>
        <w:trPr>
          <w:trHeight w:val="26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7"/>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0"/>
              <w:spacing w:after="0"/>
              <w:rPr>
                <w:sz w:val="20"/>
                <w:szCs w:val="20"/>
                <w:color w:val="auto"/>
              </w:rPr>
            </w:pPr>
            <w:r>
              <w:rPr>
                <w:rFonts w:ascii="Arial" w:cs="Arial" w:eastAsia="Arial" w:hAnsi="Arial"/>
                <w:sz w:val="14"/>
                <w:szCs w:val="14"/>
                <w:color w:val="auto"/>
              </w:rPr>
              <w:t>1,246,913</w:t>
            </w:r>
          </w:p>
        </w:tc>
        <w:tc>
          <w:tcPr>
            <w:tcW w:w="120" w:type="dxa"/>
            <w:vAlign w:val="bottom"/>
          </w:tcPr>
          <w:p>
            <w:pPr>
              <w:spacing w:after="0"/>
              <w:rPr>
                <w:sz w:val="22"/>
                <w:szCs w:val="22"/>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1,361,635</w:t>
            </w:r>
          </w:p>
        </w:tc>
      </w:tr>
      <w:tr>
        <w:trPr>
          <w:trHeight w:val="262"/>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5,650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15,475</w:t>
            </w:r>
          </w:p>
        </w:tc>
      </w:tr>
      <w:tr>
        <w:trPr>
          <w:trHeight w:val="229"/>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1,252,563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1,377,110</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00" w:firstLine="630"/>
        <w:spacing w:after="0" w:line="290"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58"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Financial instruments owned and pledged, where the counterparty has the right to repledge, at March 31, 2019 and December 31, 2018 consisted of the following:</w:t>
      </w:r>
    </w:p>
    <w:p>
      <w:pPr>
        <w:spacing w:after="0" w:line="161"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2018</w:t>
            </w:r>
          </w:p>
        </w:tc>
      </w:tr>
      <w:tr>
        <w:trPr>
          <w:trHeight w:val="248"/>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697,090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748,846</w:t>
            </w:r>
          </w:p>
        </w:tc>
      </w:tr>
      <w:tr>
        <w:trPr>
          <w:trHeight w:val="257"/>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43,540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42,269</w:t>
            </w:r>
          </w:p>
        </w:tc>
      </w:tr>
      <w:tr>
        <w:trPr>
          <w:trHeight w:val="229"/>
        </w:trPr>
        <w:tc>
          <w:tcPr>
            <w:tcW w:w="7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740,630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791,115</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7" w:right="25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Broker-Dealer Credit Facilities</w:t>
      </w:r>
    </w:p>
    <w:p>
      <w:pPr>
        <w:spacing w:after="0" w:line="224"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$200 million and is collateralized by the trading and deposit account of one of the Company’s broker-dealer subsidiaries maintained at the financial institution.</w:t>
      </w:r>
    </w:p>
    <w:p>
      <w:pPr>
        <w:spacing w:after="0" w:line="177" w:lineRule="exact"/>
        <w:rPr>
          <w:sz w:val="20"/>
          <w:szCs w:val="20"/>
          <w:color w:val="auto"/>
        </w:rPr>
      </w:pPr>
    </w:p>
    <w:p>
      <w:pPr>
        <w:ind w:right="20" w:firstLine="630"/>
        <w:spacing w:after="0" w:line="262" w:lineRule="auto"/>
        <w:rPr>
          <w:sz w:val="20"/>
          <w:szCs w:val="20"/>
          <w:color w:val="auto"/>
        </w:rPr>
      </w:pPr>
      <w:r>
        <w:rPr>
          <w:rFonts w:ascii="Arial" w:cs="Arial" w:eastAsia="Arial" w:hAnsi="Arial"/>
          <w:sz w:val="17"/>
          <w:szCs w:val="17"/>
          <w:color w:val="auto"/>
        </w:rPr>
        <w:t>On November 3, 2017, the Company entered into the second credit facility (the “Committed Facility”) with the same financial institution for an aggregate borrowing limit of $500 million. The Committed Facility was subsequently amended and restated March 1, 2019 to increase the borrowing limit to $600 million and to enable a broker-dealer subsidiary of ITG as a borrower thereunder. The Committed Facility consists of two borrowing bases: Borrowing Base A Loan is to be used to finance the purchase and settlement of securities; Borrowing Base B Loan is to be used to fund margin deposit with the National Securities Clearing Corporation. Each of the three broker-dealers has a sublimit under Borrowing Base A Loan, from $400 million to $600 million, which bears interest at the adjusted LIBOR or base rate plus 1.25% per annum. Each of the three broker-dealers has a sublimit under Borrowing Base B Loan, from $40 million to $150 million, which bears interest at the adjusted LIBOR or base rate plus 2.50% per annum. A commitment fee of 0.50% per annum on the average daily unused portion of this facility is payable quarterly in arrears.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 March 31, 2019</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3.40%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9,292</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Committed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6,070</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15,362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3.40%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Committed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5,960</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630"/>
        <w:spacing w:after="0" w:line="290"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61" w:lineRule="exact"/>
        <w:rPr>
          <w:sz w:val="20"/>
          <w:szCs w:val="20"/>
          <w:color w:val="auto"/>
        </w:rPr>
      </w:pPr>
    </w:p>
    <w:tbl>
      <w:tblPr>
        <w:tblLayout w:type="fixed"/>
        <w:tblInd w:w="150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61"/>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7"/>
        </w:trPr>
        <w:tc>
          <w:tcPr>
            <w:tcW w:w="5620" w:type="dxa"/>
            <w:vAlign w:val="bottom"/>
            <w:gridSpan w:val="2"/>
          </w:tcPr>
          <w:p>
            <w:pPr>
              <w:ind w:left="220"/>
              <w:spacing w:after="0"/>
              <w:rPr>
                <w:sz w:val="20"/>
                <w:szCs w:val="20"/>
                <w:color w:val="auto"/>
              </w:rPr>
            </w:pPr>
            <w:r>
              <w:rPr>
                <w:rFonts w:ascii="Arial" w:cs="Arial" w:eastAsia="Arial" w:hAnsi="Arial"/>
                <w:sz w:val="14"/>
                <w:szCs w:val="14"/>
                <w:color w:val="auto"/>
              </w:rPr>
              <w:t>Uncommitted facility</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446</w:t>
            </w:r>
          </w:p>
        </w:tc>
      </w:tr>
      <w:tr>
        <w:trPr>
          <w:trHeight w:val="262"/>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Committed facility</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w:t>
            </w:r>
          </w:p>
        </w:tc>
      </w:tr>
      <w:tr>
        <w:trPr>
          <w:trHeight w:val="229"/>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544</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Credit Facilities</w:t>
      </w:r>
    </w:p>
    <w:p>
      <w:pPr>
        <w:spacing w:after="0" w:line="224" w:lineRule="exact"/>
        <w:rPr>
          <w:sz w:val="20"/>
          <w:szCs w:val="20"/>
          <w:color w:val="auto"/>
        </w:rPr>
      </w:pPr>
    </w:p>
    <w:p>
      <w:pPr>
        <w:jc w:val="both"/>
        <w:ind w:right="540" w:firstLine="630"/>
        <w:spacing w:after="0" w:line="298"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At March 31, 2019</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434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340" w:type="dxa"/>
            <w:vAlign w:val="bottom"/>
          </w:tcPr>
          <w:p>
            <w:pPr>
              <w:spacing w:after="0"/>
              <w:rPr>
                <w:sz w:val="12"/>
                <w:szCs w:val="12"/>
                <w:color w:val="auto"/>
              </w:rPr>
            </w:pPr>
          </w:p>
        </w:tc>
        <w:tc>
          <w:tcPr>
            <w:tcW w:w="20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43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340" w:type="dxa"/>
            <w:vAlign w:val="bottom"/>
          </w:tcPr>
          <w:p>
            <w:pPr>
              <w:spacing w:after="0"/>
              <w:rPr>
                <w:sz w:val="16"/>
                <w:szCs w:val="16"/>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48"/>
        </w:trPr>
        <w:tc>
          <w:tcPr>
            <w:tcW w:w="4340" w:type="dxa"/>
            <w:vAlign w:val="bottom"/>
            <w:tcBorders>
              <w:top w:val="single" w:sz="8" w:color="CCEEFF"/>
            </w:tcBorders>
            <w:shd w:val="clear" w:color="auto" w:fill="CCEEFF"/>
          </w:tcPr>
          <w:p>
            <w:pPr>
              <w:jc w:val="right"/>
              <w:ind w:right="251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57"/>
        </w:trPr>
        <w:tc>
          <w:tcPr>
            <w:tcW w:w="4340" w:type="dxa"/>
            <w:vAlign w:val="bottom"/>
            <w:tcBorders>
              <w:bottom w:val="single" w:sz="8" w:color="CCEEFF"/>
            </w:tcBorders>
          </w:tcPr>
          <w:p>
            <w:pPr>
              <w:jc w:val="right"/>
              <w:ind w:right="2510"/>
              <w:spacing w:after="0"/>
              <w:rPr>
                <w:sz w:val="20"/>
                <w:szCs w:val="20"/>
                <w:color w:val="auto"/>
              </w:rPr>
            </w:pPr>
            <w:r>
              <w:rPr>
                <w:rFonts w:ascii="Arial" w:cs="Arial" w:eastAsia="Arial" w:hAnsi="Arial"/>
                <w:sz w:val="14"/>
                <w:szCs w:val="14"/>
                <w:color w:val="auto"/>
                <w:w w:val="97"/>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5.03%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136,104</w:t>
            </w:r>
          </w:p>
        </w:tc>
      </w:tr>
      <w:tr>
        <w:trPr>
          <w:trHeight w:val="229"/>
        </w:trPr>
        <w:tc>
          <w:tcPr>
            <w:tcW w:w="43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136,104</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 December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74"/>
        </w:trPr>
        <w:tc>
          <w:tcPr>
            <w:tcW w:w="20" w:type="dxa"/>
            <w:vAlign w:val="bottom"/>
          </w:tcPr>
          <w:p>
            <w:pPr>
              <w:spacing w:after="0"/>
              <w:rPr>
                <w:sz w:val="23"/>
                <w:szCs w:val="23"/>
                <w:color w:val="auto"/>
              </w:rPr>
            </w:pPr>
          </w:p>
        </w:tc>
        <w:tc>
          <w:tcPr>
            <w:tcW w:w="4340" w:type="dxa"/>
            <w:vAlign w:val="bottom"/>
            <w:tcBorders>
              <w:top w:val="single" w:sz="8" w:color="CCEEFF"/>
            </w:tcBorders>
            <w:gridSpan w:val="2"/>
            <w:shd w:val="clear" w:color="auto" w:fill="CCEEFF"/>
          </w:tcPr>
          <w:p>
            <w:pPr>
              <w:jc w:val="right"/>
              <w:ind w:right="258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340" w:type="dxa"/>
            <w:vAlign w:val="bottom"/>
            <w:tcBorders>
              <w:bottom w:val="single" w:sz="8" w:color="CCEEFF"/>
            </w:tcBorders>
            <w:gridSpan w:val="2"/>
          </w:tcPr>
          <w:p>
            <w:pPr>
              <w:jc w:val="right"/>
              <w:ind w:right="2580"/>
              <w:spacing w:after="0"/>
              <w:rPr>
                <w:sz w:val="20"/>
                <w:szCs w:val="20"/>
                <w:color w:val="auto"/>
              </w:rPr>
            </w:pPr>
            <w:r>
              <w:rPr>
                <w:rFonts w:ascii="Arial" w:cs="Arial" w:eastAsia="Arial" w:hAnsi="Arial"/>
                <w:sz w:val="14"/>
                <w:szCs w:val="14"/>
                <w:color w:val="auto"/>
                <w:w w:val="97"/>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5.03%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184,608</w:t>
            </w:r>
          </w:p>
        </w:tc>
      </w:tr>
      <w:tr>
        <w:trPr>
          <w:trHeight w:val="242"/>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184,608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 Payables to broker-dealers and clearing organizations within the condensed consolidated statements of financial condition.</w:t>
      </w:r>
    </w:p>
    <w:p>
      <w:pPr>
        <w:spacing w:after="0" w:line="224" w:lineRule="exact"/>
        <w:rPr>
          <w:sz w:val="20"/>
          <w:szCs w:val="20"/>
          <w:color w:val="auto"/>
        </w:rPr>
      </w:pPr>
    </w:p>
    <w:p>
      <w:pPr>
        <w:ind w:right="540" w:firstLine="630"/>
        <w:spacing w:after="0" w:line="290" w:lineRule="auto"/>
        <w:rPr>
          <w:sz w:val="20"/>
          <w:szCs w:val="20"/>
          <w:color w:val="auto"/>
        </w:rPr>
      </w:pPr>
      <w:r>
        <w:rPr>
          <w:rFonts w:ascii="Arial" w:cs="Arial" w:eastAsia="Arial" w:hAnsi="Arial"/>
          <w:sz w:val="17"/>
          <w:szCs w:val="17"/>
          <w:color w:val="auto"/>
        </w:rPr>
        <w:t>Interest expense in relation to the facilities was approximately $1.9 million and $1.5 million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Bank Loans</w:t>
      </w:r>
    </w:p>
    <w:p>
      <w:pPr>
        <w:spacing w:after="0" w:line="224"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March 31, 2019, there was $146.3 million outstanding under these facilities at a weighted average interest rate of approximately 2.7% associated with international settlement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At March 31,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2"/>
                <w:szCs w:val="12"/>
                <w:color w:val="auto"/>
              </w:rPr>
            </w:pP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2"/>
                <w:szCs w:val="12"/>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6.13%</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1,500,000</w:t>
            </w:r>
          </w:p>
        </w:tc>
        <w:tc>
          <w:tcPr>
            <w:tcW w:w="120" w:type="dxa"/>
            <w:vAlign w:val="bottom"/>
          </w:tcPr>
          <w:p>
            <w:pPr>
              <w:spacing w:after="0"/>
              <w:rPr>
                <w:sz w:val="22"/>
                <w:szCs w:val="22"/>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(7,409)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(29,904)</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1,462,687</w:t>
            </w:r>
          </w:p>
        </w:tc>
        <w:tc>
          <w:tcPr>
            <w:tcW w:w="0" w:type="dxa"/>
            <w:vAlign w:val="bottom"/>
          </w:tcPr>
          <w:p>
            <w:pPr>
              <w:spacing w:after="0"/>
              <w:rPr>
                <w:sz w:val="1"/>
                <w:szCs w:val="1"/>
                <w:color w:val="auto"/>
              </w:rPr>
            </w:pPr>
          </w:p>
        </w:tc>
      </w:tr>
      <w:tr>
        <w:trPr>
          <w:trHeight w:val="268"/>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483,476</w:t>
            </w: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31,571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31,553</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2,031,571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1,977,716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2"/>
                <w:szCs w:val="12"/>
                <w:color w:val="auto"/>
              </w:rPr>
            </w:pP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7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Facility</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December 2021</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5.55%</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(6,704)</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392,964</w:t>
            </w:r>
          </w:p>
        </w:tc>
        <w:tc>
          <w:tcPr>
            <w:tcW w:w="0" w:type="dxa"/>
            <w:vAlign w:val="bottom"/>
          </w:tcPr>
          <w:p>
            <w:pPr>
              <w:spacing w:after="0"/>
              <w:rPr>
                <w:sz w:val="1"/>
                <w:szCs w:val="1"/>
                <w:color w:val="auto"/>
              </w:rPr>
            </w:pPr>
          </w:p>
        </w:tc>
      </w:tr>
      <w:tr>
        <w:trPr>
          <w:trHeight w:val="268"/>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482,189</w:t>
            </w: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31,908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31,884</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931,908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907,037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24" w:lineRule="exact"/>
        <w:rPr>
          <w:sz w:val="20"/>
          <w:szCs w:val="20"/>
          <w:color w:val="auto"/>
        </w:rPr>
      </w:pPr>
    </w:p>
    <w:p>
      <w:pPr>
        <w:ind w:right="160" w:firstLine="630"/>
        <w:spacing w:after="0" w:line="274" w:lineRule="auto"/>
        <w:rPr>
          <w:sz w:val="20"/>
          <w:szCs w:val="20"/>
          <w:color w:val="auto"/>
        </w:rPr>
      </w:pPr>
      <w:r>
        <w:rPr>
          <w:rFonts w:ascii="Arial" w:cs="Arial" w:eastAsia="Arial" w:hAnsi="Arial"/>
          <w:sz w:val="17"/>
          <w:szCs w:val="17"/>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70" w:lineRule="exact"/>
        <w:rPr>
          <w:sz w:val="20"/>
          <w:szCs w:val="20"/>
          <w:color w:val="auto"/>
        </w:rPr>
      </w:pPr>
    </w:p>
    <w:p>
      <w:pPr>
        <w:ind w:right="320" w:firstLine="630"/>
        <w:spacing w:after="0" w:line="290" w:lineRule="auto"/>
        <w:rPr>
          <w:sz w:val="20"/>
          <w:szCs w:val="20"/>
          <w:color w:val="auto"/>
        </w:rPr>
      </w:pPr>
      <w:r>
        <w:rPr>
          <w:rFonts w:ascii="Arial" w:cs="Arial" w:eastAsia="Arial" w:hAnsi="Arial"/>
          <w:sz w:val="17"/>
          <w:szCs w:val="17"/>
          <w:color w:val="auto"/>
        </w:rPr>
        <w:t>The Credit Agreement provides (i) a senior secured first lien term loan (the “First Lien Term Loan Facility”) in an aggregate principal amount of $1.5 billion, drawn in its entirety on the ITG Closing Date, with approximately $404.5 million</w:t>
      </w:r>
    </w:p>
    <w:p>
      <w:pPr>
        <w:sectPr>
          <w:pgSz w:w="11900" w:h="16838" w:orient="portrait"/>
          <w:cols w:equalWidth="0" w:num="1">
            <w:col w:w="11420"/>
          </w:cols>
          <w:pgMar w:left="240" w:top="12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7" w:right="239" w:bottom="1440" w:gutter="0" w:footer="0" w:header="0"/>
          <w:type w:val="continuous"/>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60"/>
        <w:spacing w:after="0" w:line="268" w:lineRule="auto"/>
        <w:rPr>
          <w:sz w:val="20"/>
          <w:szCs w:val="20"/>
          <w:color w:val="auto"/>
        </w:rPr>
      </w:pPr>
      <w:r>
        <w:rPr>
          <w:rFonts w:ascii="Arial" w:cs="Arial" w:eastAsia="Arial" w:hAnsi="Arial"/>
          <w:sz w:val="17"/>
          <w:szCs w:val="17"/>
          <w:color w:val="auto"/>
        </w:rPr>
        <w:t>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w:t>
      </w:r>
    </w:p>
    <w:p>
      <w:pPr>
        <w:spacing w:after="0" w:line="177"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The term loan borrowings and revolver borrowings under the Credit Agreement will bear interest at a per annum rate equal to, at the Company's election, either (i) the greatest of (a) the prime rate in effect, (b) the greater of (1) the federal funds effective rate and (2)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180" w:lineRule="exact"/>
        <w:rPr>
          <w:sz w:val="20"/>
          <w:szCs w:val="20"/>
          <w:color w:val="auto"/>
        </w:rPr>
      </w:pPr>
    </w:p>
    <w:p>
      <w:pPr>
        <w:ind w:right="60" w:firstLine="630"/>
        <w:spacing w:after="0" w:line="290" w:lineRule="auto"/>
        <w:rPr>
          <w:sz w:val="20"/>
          <w:szCs w:val="20"/>
          <w:color w:val="auto"/>
        </w:rPr>
      </w:pPr>
      <w:r>
        <w:rPr>
          <w:rFonts w:ascii="Arial" w:cs="Arial" w:eastAsia="Arial" w:hAnsi="Arial"/>
          <w:sz w:val="16"/>
          <w:szCs w:val="16"/>
          <w:color w:val="auto"/>
        </w:rPr>
        <w:t>The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161" w:lineRule="exact"/>
        <w:rPr>
          <w:sz w:val="20"/>
          <w:szCs w:val="20"/>
          <w:color w:val="auto"/>
        </w:rPr>
      </w:pPr>
    </w:p>
    <w:p>
      <w:pPr>
        <w:ind w:right="140" w:firstLine="630"/>
        <w:spacing w:after="0" w:line="264" w:lineRule="auto"/>
        <w:rPr>
          <w:sz w:val="20"/>
          <w:szCs w:val="20"/>
          <w:color w:val="auto"/>
        </w:rPr>
      </w:pPr>
      <w:r>
        <w:rPr>
          <w:rFonts w:ascii="Arial" w:cs="Arial" w:eastAsia="Arial" w:hAnsi="Arial"/>
          <w:sz w:val="17"/>
          <w:szCs w:val="17"/>
          <w:color w:val="auto"/>
        </w:rPr>
        <w:t>Under the Credit Agreement, term loans will mature on March 1, 2026; provided that unless at least $400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w:t>
      </w:r>
    </w:p>
    <w:p>
      <w:pPr>
        <w:spacing w:after="0" w:line="180"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Second Lien Notes</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77" w:lineRule="exact"/>
        <w:rPr>
          <w:sz w:val="20"/>
          <w:szCs w:val="20"/>
          <w:color w:val="auto"/>
        </w:rPr>
      </w:pPr>
    </w:p>
    <w:p>
      <w:pPr>
        <w:ind w:right="620" w:firstLine="630"/>
        <w:spacing w:after="0" w:line="323"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guarantees the Credit Agreement.</w:t>
      </w:r>
    </w:p>
    <w:p>
      <w:pPr>
        <w:spacing w:after="0" w:line="135" w:lineRule="exact"/>
        <w:rPr>
          <w:sz w:val="20"/>
          <w:szCs w:val="20"/>
          <w:color w:val="auto"/>
        </w:rPr>
      </w:pPr>
    </w:p>
    <w:p>
      <w:pPr>
        <w:ind w:right="140" w:firstLine="630"/>
        <w:spacing w:after="0" w:line="265" w:lineRule="auto"/>
        <w:rPr>
          <w:sz w:val="20"/>
          <w:szCs w:val="20"/>
          <w:color w:val="auto"/>
        </w:rPr>
      </w:pPr>
      <w:r>
        <w:rPr>
          <w:rFonts w:ascii="Arial" w:cs="Arial" w:eastAsia="Arial" w:hAnsi="Arial"/>
          <w:sz w:val="17"/>
          <w:szCs w:val="17"/>
          <w:color w:val="auto"/>
        </w:rPr>
        <w:t>The Indenture imposes certain limitations on the Company, and contains certain customary events of default, including, among others, payment defaults related to the failure to pay principal or interest on the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24"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($31.6 million) as of March 31, 2019 and ¥3.5 billion ($31.9 million) as of December 31, 2018. The Company recorded a loss of $0.4 million and a loss of $1.9 million due to the change in currency rates during the three months ended March 31, 2019 and 2018, respectively.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March 31, 2019, aggregate future required minimum principal payments based on the terms of the long-term borrowings were as follows:</w:t>
      </w: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6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80" w:type="dxa"/>
            <w:vAlign w:val="bottom"/>
          </w:tcPr>
          <w:p>
            <w:pPr>
              <w:jc w:val="right"/>
              <w:ind w:right="470"/>
              <w:spacing w:after="0"/>
              <w:rPr>
                <w:sz w:val="20"/>
                <w:szCs w:val="20"/>
                <w:color w:val="auto"/>
              </w:rPr>
            </w:pPr>
            <w:r>
              <w:rPr>
                <w:rFonts w:ascii="Arial" w:cs="Arial" w:eastAsia="Arial" w:hAnsi="Arial"/>
                <w:sz w:val="14"/>
                <w:szCs w:val="14"/>
                <w:b w:val="1"/>
                <w:bCs w:val="1"/>
                <w:color w:val="auto"/>
              </w:rPr>
              <w:t>March 31, 2019</w:t>
            </w:r>
          </w:p>
        </w:tc>
      </w:tr>
      <w:tr>
        <w:trPr>
          <w:trHeight w:val="248"/>
        </w:trPr>
        <w:tc>
          <w:tcPr>
            <w:tcW w:w="6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4"/>
                <w:szCs w:val="14"/>
                <w:color w:val="auto"/>
              </w:rPr>
              <w:t>46,571</w:t>
            </w:r>
          </w:p>
        </w:tc>
      </w:tr>
      <w:tr>
        <w:trPr>
          <w:trHeight w:val="268"/>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15,000</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4"/>
                <w:szCs w:val="14"/>
                <w:color w:val="auto"/>
              </w:rPr>
              <w:t>515,000</w:t>
            </w:r>
          </w:p>
        </w:tc>
      </w:tr>
      <w:tr>
        <w:trPr>
          <w:trHeight w:val="262"/>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2023 and thereafter</w:t>
            </w:r>
          </w:p>
        </w:tc>
        <w:tc>
          <w:tcPr>
            <w:tcW w:w="3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1,455,000</w:t>
            </w: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4"/>
                <w:szCs w:val="14"/>
                <w:color w:val="auto"/>
              </w:rPr>
              <w:t>Total principal of long-term borrowings</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2,031,571</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no transfers of financial instruments between levels during the three months ended March 31, 2019 and 2018.</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127" w:right="27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March 31,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500" w:type="dxa"/>
            <w:vAlign w:val="bottom"/>
            <w:gridSpan w:val="3"/>
          </w:tcPr>
          <w:p>
            <w:pPr>
              <w:ind w:left="80"/>
              <w:spacing w:after="0" w:line="145" w:lineRule="exact"/>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733,310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1,198,175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1,931,485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152,884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17,558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170,442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82,412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82,412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14,360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20,161</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1,212,911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904,468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2,516,857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2,211,819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376,711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320,379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697,090</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43,522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43,540</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376,729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363,901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740,630</w:t>
            </w:r>
          </w:p>
        </w:tc>
        <w:tc>
          <w:tcPr>
            <w:tcW w:w="0" w:type="dxa"/>
            <w:vAlign w:val="bottom"/>
          </w:tcPr>
          <w:p>
            <w:pPr>
              <w:spacing w:after="0"/>
              <w:rPr>
                <w:sz w:val="1"/>
                <w:szCs w:val="1"/>
                <w:color w:val="auto"/>
              </w:rPr>
            </w:pPr>
          </w:p>
        </w:tc>
      </w:tr>
      <w:tr>
        <w:trPr>
          <w:trHeight w:val="247"/>
        </w:trPr>
        <w:tc>
          <w:tcPr>
            <w:tcW w:w="4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46,529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46,529</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46,529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49,046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1,005,560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1,082,273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2,087,833</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69,364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70,198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99,587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99,587</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3,843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28,805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32,648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1,219,684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4,359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4,359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1,083,126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2,431,183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2,294,625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587,680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1,022,221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1,609,901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91,466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14,547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106,013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87,500</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27,966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31,362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11,899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11,899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694,441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3,944,607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1,848,806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389,810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359,036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748,846</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35,301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42,269</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396,778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394,337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791,115</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48,273</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931,992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1,336,338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2,268,330</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112,058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115,112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40,123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40,123</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39,613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39,984</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2,720,749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11,051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1,055,472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4,139,877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2,475,395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Investment</w:t>
      </w:r>
    </w:p>
    <w:p>
      <w:pPr>
        <w:spacing w:after="0" w:line="224" w:lineRule="exact"/>
        <w:rPr>
          <w:sz w:val="20"/>
          <w:szCs w:val="20"/>
          <w:color w:val="auto"/>
        </w:rPr>
      </w:pPr>
    </w:p>
    <w:p>
      <w:pPr>
        <w:ind w:right="100" w:firstLine="630"/>
        <w:spacing w:after="0" w:line="261" w:lineRule="auto"/>
        <w:rPr>
          <w:sz w:val="20"/>
          <w:szCs w:val="20"/>
          <w:color w:val="auto"/>
        </w:rPr>
      </w:pPr>
      <w:r>
        <w:rPr>
          <w:rFonts w:ascii="Arial" w:cs="Arial" w:eastAsia="Arial" w:hAnsi="Arial"/>
          <w:sz w:val="17"/>
          <w:szCs w:val="17"/>
          <w:color w:val="auto"/>
        </w:rPr>
        <w:t>The Company has a minority investment (the “SBI Investment”) in SBI Japannext Co., Ltd. (“SBI”), a proprietary trading system based in Tokyo. In connection with the SBI Investment, the Company issued the SBI Bonds (as described in Note 10 “Borrowings”) and used the proceeds to partially finance the transaction. As of March 31, 2019, the fair value of the SBI Investment was determined using the discounted cash flow method, an income approach, with the discount rate of 15.0% applied to the cash flow forecasts. The Company also used a market approach based on 12.6x average price/earnings multiples of comparable companies to corroborate the income approach. The fair value of the SBI Investment at March 31, 2019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127"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March 31, 2019:</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March 31, 2019</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Identical Assets</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6"/>
        </w:trPr>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771,003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771,003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771,003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1,282,867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1,282,867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1,282,867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5,655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1,187,720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1,187,720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1,182,719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3,264,569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3,264,569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793,328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2,471,241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159,716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159,716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159,716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1,977,716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2,052,816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2,052,816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819,903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290,000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290,000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290,000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to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987,842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987,842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3,836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984,006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4,235,177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4,310,277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3,836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4,306,441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2018:</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Identical Assets</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8"/>
        </w:trPr>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3"/>
                <w:szCs w:val="2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1,101,449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1,101,449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71,288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1,030,161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3,252,655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3,252,655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807,335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2,445,320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907,037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916,465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916,465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567,441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567,441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566,410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2,901,506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2,910,934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2,909,903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27"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1"/>
              </w:rPr>
              <w:t>Three Months Ended March 31, 2019</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Balance at March</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held at March 31,</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88"/>
              </w:rPr>
              <w:t>31, 2019</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46,529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3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46,529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0"/>
              </w:rPr>
              <w:t>Three months ended March 31, 2018</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Balance at March</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held at March 31,</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88"/>
              </w:rPr>
              <w:t>31, 2018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1,890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35"/>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1,890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40"/>
          </w:cols>
          <w:pgMar w:left="240" w:top="127" w:right="31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set forth the gross and net presentation of certain financial assets and financial liabilities as of March 31, 2019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4"/>
                <w:szCs w:val="14"/>
                <w:b w:val="1"/>
                <w:bCs w:val="1"/>
                <w:color w:val="auto"/>
                <w:w w:val="92"/>
              </w:rPr>
              <w:t>March 31,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00" w:type="dxa"/>
            <w:vAlign w:val="bottom"/>
          </w:tcPr>
          <w:p>
            <w:pPr>
              <w:spacing w:after="0"/>
              <w:rPr>
                <w:sz w:val="6"/>
                <w:szCs w:val="6"/>
                <w:color w:val="auto"/>
              </w:rPr>
            </w:pPr>
          </w:p>
        </w:tc>
        <w:tc>
          <w:tcPr>
            <w:tcW w:w="164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80" w:type="dxa"/>
            <w:vAlign w:val="bottom"/>
          </w:tcPr>
          <w:p>
            <w:pPr>
              <w:spacing w:after="0"/>
              <w:rPr>
                <w:sz w:val="6"/>
                <w:szCs w:val="6"/>
                <w:color w:val="auto"/>
              </w:rPr>
            </w:pPr>
          </w:p>
        </w:tc>
        <w:tc>
          <w:tcPr>
            <w:tcW w:w="26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center"/>
              <w:ind w:right="9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7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Condensed Consolidated</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Financial Condition</w:t>
            </w:r>
          </w:p>
        </w:tc>
        <w:tc>
          <w:tcPr>
            <w:tcW w:w="1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1,282,867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1,282,867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(1,246,913)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35,256</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5,655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1,212,911</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2,505,347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1,295,841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(1,256,477)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38,666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Net Amounts of</w:t>
            </w:r>
          </w:p>
        </w:tc>
        <w:tc>
          <w:tcPr>
            <w:tcW w:w="280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00" w:type="dxa"/>
            <w:vAlign w:val="bottom"/>
          </w:tcPr>
          <w:p>
            <w:pPr>
              <w:spacing w:after="0"/>
              <w:rPr>
                <w:sz w:val="6"/>
                <w:szCs w:val="6"/>
                <w:color w:val="auto"/>
              </w:rPr>
            </w:pPr>
          </w:p>
        </w:tc>
        <w:tc>
          <w:tcPr>
            <w:tcW w:w="16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Liabilities Presented in</w:t>
            </w:r>
          </w:p>
        </w:tc>
        <w:tc>
          <w:tcPr>
            <w:tcW w:w="180" w:type="dxa"/>
            <w:vAlign w:val="bottom"/>
          </w:tcPr>
          <w:p>
            <w:pPr>
              <w:spacing w:after="0"/>
              <w:rPr>
                <w:sz w:val="6"/>
                <w:szCs w:val="6"/>
                <w:color w:val="auto"/>
              </w:rPr>
            </w:pPr>
          </w:p>
        </w:tc>
        <w:tc>
          <w:tcPr>
            <w:tcW w:w="26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center"/>
              <w:ind w:right="9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Financial 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(806,960)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1,219,684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4,359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4,359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2,333,946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(1,219,684)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1,114,262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4"/>
                <w:szCs w:val="14"/>
                <w:b w:val="1"/>
                <w:bCs w:val="1"/>
                <w:color w:val="auto"/>
                <w:w w:val="90"/>
              </w:rPr>
              <w:t>December 31, 2018</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Gross Amounts Not Offset In the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12"/>
                <w:szCs w:val="12"/>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180" w:type="dxa"/>
            <w:vAlign w:val="bottom"/>
          </w:tcPr>
          <w:p>
            <w:pPr>
              <w:spacing w:after="0"/>
              <w:rPr>
                <w:sz w:val="12"/>
                <w:szCs w:val="12"/>
                <w:color w:val="auto"/>
              </w:rPr>
            </w:pPr>
          </w:p>
        </w:tc>
        <w:tc>
          <w:tcPr>
            <w:tcW w:w="2620" w:type="dxa"/>
            <w:vAlign w:val="bottom"/>
            <w:gridSpan w:val="5"/>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center"/>
              <w:ind w:right="9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(1,361,635)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29,227</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4,219,431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1,429,189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Amounts of</w:t>
            </w: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3"/>
              </w:rPr>
              <w:t>Gross Amounts Not Offset In the Statement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Gross Amounts</w:t>
            </w:r>
          </w:p>
        </w:tc>
        <w:tc>
          <w:tcPr>
            <w:tcW w:w="120" w:type="dxa"/>
            <w:vAlign w:val="bottom"/>
          </w:tcPr>
          <w:p>
            <w:pPr>
              <w:spacing w:after="0"/>
              <w:rPr>
                <w:sz w:val="6"/>
                <w:szCs w:val="6"/>
                <w:color w:val="auto"/>
              </w:rPr>
            </w:pPr>
          </w:p>
        </w:tc>
        <w:tc>
          <w:tcPr>
            <w:tcW w:w="162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Liabilities Presented in</w:t>
            </w:r>
          </w:p>
        </w:tc>
        <w:tc>
          <w:tcPr>
            <w:tcW w:w="28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20" w:type="dxa"/>
            <w:vAlign w:val="bottom"/>
          </w:tcPr>
          <w:p>
            <w:pPr>
              <w:spacing w:after="0"/>
              <w:rPr>
                <w:sz w:val="10"/>
                <w:szCs w:val="10"/>
                <w:color w:val="auto"/>
              </w:rPr>
            </w:pPr>
          </w:p>
        </w:tc>
        <w:tc>
          <w:tcPr>
            <w:tcW w:w="16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96"/>
              </w:rPr>
              <w:t>the Consolidated</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3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(1,108,461)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12,756</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2,720,749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4,143,700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1,423,746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30"/>
        <w:spacing w:after="0" w:line="290"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4"/>
              </w:rPr>
              <w:t>March 31, 2019</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Less than 30 days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90,000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262"/>
        </w:trPr>
        <w:tc>
          <w:tcPr>
            <w:tcW w:w="4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lending transactions: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819,903</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819,903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819,903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left="330"/>
              <w:spacing w:after="0"/>
              <w:rPr>
                <w:sz w:val="20"/>
                <w:szCs w:val="20"/>
                <w:color w:val="auto"/>
              </w:rPr>
            </w:pPr>
            <w:r>
              <w:rPr>
                <w:rFonts w:ascii="Arial" w:cs="Arial" w:eastAsia="Arial" w:hAnsi="Arial"/>
                <w:sz w:val="14"/>
                <w:szCs w:val="14"/>
                <w:b w:val="1"/>
                <w:bCs w:val="1"/>
                <w:color w:val="auto"/>
                <w:w w:val="90"/>
              </w:rPr>
              <w:t>December 31, 2018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Less than 30 days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45,000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57"/>
        </w:trPr>
        <w:tc>
          <w:tcPr>
            <w:tcW w:w="4880" w:type="dxa"/>
            <w:vAlign w:val="bottom"/>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11,861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11,861</w:t>
            </w:r>
          </w:p>
        </w:tc>
        <w:tc>
          <w:tcPr>
            <w:tcW w:w="0" w:type="dxa"/>
            <w:vAlign w:val="bottom"/>
          </w:tcPr>
          <w:p>
            <w:pPr>
              <w:spacing w:after="0"/>
              <w:rPr>
                <w:sz w:val="1"/>
                <w:szCs w:val="1"/>
                <w:color w:val="auto"/>
              </w:rPr>
            </w:pPr>
          </w:p>
        </w:tc>
      </w:tr>
      <w:tr>
        <w:trPr>
          <w:trHeight w:val="235"/>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281,861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 Instruments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March 31, 2019 and December 31, 2018:</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Pr>
          <w:p>
            <w:pPr>
              <w:spacing w:after="0"/>
              <w:rPr>
                <w:sz w:val="16"/>
                <w:szCs w:val="16"/>
                <w:color w:val="auto"/>
              </w:rPr>
            </w:pPr>
          </w:p>
        </w:tc>
        <w:tc>
          <w:tcPr>
            <w:tcW w:w="26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25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2260" w:type="dxa"/>
            <w:vAlign w:val="bottom"/>
          </w:tcPr>
          <w:p>
            <w:pPr>
              <w:spacing w:after="0"/>
              <w:rPr>
                <w:sz w:val="20"/>
                <w:szCs w:val="20"/>
                <w:color w:val="auto"/>
              </w:rPr>
            </w:pPr>
            <w:r>
              <w:rPr>
                <w:rFonts w:ascii="Arial" w:cs="Arial" w:eastAsia="Arial" w:hAnsi="Arial"/>
                <w:sz w:val="14"/>
                <w:szCs w:val="14"/>
                <w:b w:val="1"/>
                <w:bCs w:val="1"/>
                <w:color w:val="auto"/>
              </w:rPr>
              <w:t>Derivatives Assets</w:t>
            </w:r>
          </w:p>
        </w:tc>
        <w:tc>
          <w:tcPr>
            <w:tcW w:w="3760" w:type="dxa"/>
            <w:vAlign w:val="bottom"/>
          </w:tcPr>
          <w:p>
            <w:pPr>
              <w:ind w:left="1200"/>
              <w:spacing w:after="0"/>
              <w:rPr>
                <w:sz w:val="20"/>
                <w:szCs w:val="20"/>
                <w:color w:val="auto"/>
              </w:rPr>
            </w:pPr>
            <w:r>
              <w:rPr>
                <w:rFonts w:ascii="Arial" w:cs="Arial" w:eastAsia="Arial" w:hAnsi="Arial"/>
                <w:sz w:val="14"/>
                <w:szCs w:val="14"/>
                <w:b w:val="1"/>
                <w:bCs w:val="1"/>
                <w:color w:val="auto"/>
              </w:rPr>
              <w:t>Financial Statements Location</w:t>
            </w:r>
          </w:p>
        </w:tc>
        <w:tc>
          <w:tcPr>
            <w:tcW w:w="1360" w:type="dxa"/>
            <w:vAlign w:val="bottom"/>
          </w:tcPr>
          <w:p>
            <w:pPr>
              <w:ind w:left="3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Notional</w:t>
            </w: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Notional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7" w:lineRule="exact"/>
        <w:rPr>
          <w:sz w:val="20"/>
          <w:szCs w:val="20"/>
          <w:color w:val="auto"/>
        </w:rPr>
      </w:pPr>
    </w:p>
    <w:p>
      <w:pPr>
        <w:ind w:left="40"/>
        <w:spacing w:after="0" w:line="247"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741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29" w:lineRule="exact"/>
        <w:rPr>
          <w:sz w:val="20"/>
          <w:szCs w:val="20"/>
          <w:color w:val="auto"/>
        </w:rPr>
      </w:pPr>
    </w:p>
    <w:p>
      <w:pPr>
        <w:ind w:left="40"/>
        <w:spacing w:after="0" w:line="247"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360" w:lineRule="exact"/>
        <w:rPr>
          <w:sz w:val="20"/>
          <w:szCs w:val="20"/>
          <w:color w:val="auto"/>
        </w:rPr>
      </w:pPr>
    </w:p>
    <w:p>
      <w:pPr>
        <w:ind w:left="40" w:right="220"/>
        <w:spacing w:after="0" w:line="277" w:lineRule="auto"/>
        <w:rPr>
          <w:sz w:val="20"/>
          <w:szCs w:val="20"/>
          <w:color w:val="auto"/>
        </w:rPr>
      </w:pPr>
      <w:r>
        <w:rPr>
          <w:rFonts w:ascii="Arial" w:cs="Arial" w:eastAsia="Arial" w:hAnsi="Arial"/>
          <w:sz w:val="13"/>
          <w:szCs w:val="13"/>
          <w:b w:val="1"/>
          <w:bCs w:val="1"/>
          <w:color w:val="auto"/>
        </w:rPr>
        <w:t>Derivative instruments designated as hedging instruments:</w:t>
      </w:r>
    </w:p>
    <w:p>
      <w:pPr>
        <w:ind w:left="40"/>
        <w:spacing w:after="0"/>
        <w:rPr>
          <w:sz w:val="20"/>
          <w:szCs w:val="20"/>
          <w:color w:val="auto"/>
        </w:rPr>
      </w:pPr>
      <w:r>
        <w:rPr>
          <w:rFonts w:ascii="Arial" w:cs="Arial" w:eastAsia="Arial" w:hAnsi="Arial"/>
          <w:sz w:val="14"/>
          <w:szCs w:val="14"/>
          <w:color w:val="auto"/>
        </w:rPr>
        <w:t>Currency forwards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2,950</w:t>
            </w:r>
          </w:p>
        </w:tc>
        <w:tc>
          <w:tcPr>
            <w:tcW w:w="12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2,523</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(15,382)</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2,891,606</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6,660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9,712,453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69,235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11,595,215</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4,185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2,855,717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3,756,914</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6,888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18,694</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435,244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659,101</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1,212,911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134,607,800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2,792,373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171,288,432</w:t>
            </w:r>
          </w:p>
        </w:tc>
      </w:tr>
      <w:tr>
        <w:trPr>
          <w:trHeight w:val="543"/>
        </w:trPr>
        <w:tc>
          <w:tcPr>
            <w:tcW w:w="31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r>
      <w:tr>
        <w:trPr>
          <w:trHeight w:val="59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165,238</w:t>
            </w:r>
          </w:p>
        </w:tc>
        <w:tc>
          <w:tcPr>
            <w:tcW w:w="120" w:type="dxa"/>
            <w:vAlign w:val="bottom"/>
          </w:tcPr>
          <w:p>
            <w:pPr>
              <w:spacing w:after="0"/>
              <w:rPr>
                <w:sz w:val="24"/>
                <w:szCs w:val="24"/>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106,487</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4,674,521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54,782</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4,911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2,554,681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6,239,725</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8,591</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4,359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459,274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608,756</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1,219,684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134,611,187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2,720,749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171,252,224</w:t>
            </w:r>
          </w:p>
        </w:tc>
      </w:tr>
      <w:tr>
        <w:trPr>
          <w:trHeight w:val="866"/>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13,501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-3309620</wp:posOffset>
            </wp:positionV>
            <wp:extent cx="7250430" cy="21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653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-2875915</wp:posOffset>
            </wp:positionV>
            <wp:extent cx="7250430" cy="216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653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-2442845</wp:posOffset>
            </wp:positionV>
            <wp:extent cx="7250430" cy="166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-1543050</wp:posOffset>
            </wp:positionV>
            <wp:extent cx="7250430" cy="166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-1209675</wp:posOffset>
            </wp:positionV>
            <wp:extent cx="7250430" cy="166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-876300</wp:posOffset>
            </wp:positionV>
            <wp:extent cx="7250430" cy="166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-542925</wp:posOffset>
            </wp:positionV>
            <wp:extent cx="7250430" cy="16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-159385</wp:posOffset>
            </wp:positionV>
            <wp:extent cx="7250430" cy="166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66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00"/>
            <w:col w:w="8560"/>
          </w:cols>
          <w:pgMar w:left="240" w:top="127" w:right="239" w:bottom="1440" w:gutter="0" w:footer="0" w:header="0"/>
          <w:type w:val="continuous"/>
        </w:sectPr>
      </w:pPr>
    </w:p>
    <w:p>
      <w:pPr>
        <w:spacing w:after="0" w:line="218" w:lineRule="exact"/>
        <w:rPr>
          <w:sz w:val="20"/>
          <w:szCs w:val="20"/>
          <w:color w:val="auto"/>
        </w:rPr>
      </w:pPr>
    </w:p>
    <w:p>
      <w:pPr>
        <w:ind w:right="100" w:firstLine="630"/>
        <w:spacing w:after="0" w:line="290"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w:t>
      </w:r>
    </w:p>
    <w:p>
      <w:pPr>
        <w:spacing w:after="0" w:line="158" w:lineRule="exact"/>
        <w:rPr>
          <w:sz w:val="20"/>
          <w:szCs w:val="20"/>
          <w:color w:val="auto"/>
        </w:rPr>
      </w:pPr>
    </w:p>
    <w:p>
      <w:pPr>
        <w:jc w:val="both"/>
        <w:ind w:right="220" w:firstLine="630"/>
        <w:spacing w:after="0" w:line="298" w:lineRule="auto"/>
        <w:rPr>
          <w:sz w:val="20"/>
          <w:szCs w:val="20"/>
          <w:color w:val="auto"/>
        </w:rPr>
      </w:pPr>
      <w:r>
        <w:rPr>
          <w:rFonts w:ascii="Arial" w:cs="Arial" w:eastAsia="Arial" w:hAnsi="Arial"/>
          <w:sz w:val="16"/>
          <w:szCs w:val="16"/>
          <w:color w:val="auto"/>
        </w:rPr>
        <w:t>The following table summarizes the net gain from derivative instruments not designated as hedging instruments under ASC 815, which are recorded in trading income, net, and from those designated as hedging instruments under ASC 815, which are recorded in accumulated other comprehensive income in the accompanying condensed consolidated statements of comprehensive income for the three months ended March 31, 2019 and 2018.</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6"/>
        </w:trPr>
        <w:tc>
          <w:tcPr>
            <w:tcW w:w="37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Derivative instruments not designated as hedging</w:t>
            </w:r>
          </w:p>
        </w:tc>
        <w:tc>
          <w:tcPr>
            <w:tcW w:w="3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3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420" w:type="dxa"/>
            <w:vAlign w:val="bottom"/>
            <w:gridSpan w:val="2"/>
          </w:tcPr>
          <w:p>
            <w:pPr>
              <w:ind w:left="40"/>
              <w:spacing w:after="0"/>
              <w:rPr>
                <w:sz w:val="20"/>
                <w:szCs w:val="20"/>
                <w:color w:val="auto"/>
              </w:rPr>
            </w:pPr>
            <w:r>
              <w:rPr>
                <w:rFonts w:ascii="Arial" w:cs="Arial" w:eastAsia="Arial" w:hAnsi="Arial"/>
                <w:sz w:val="14"/>
                <w:szCs w:val="14"/>
                <w:color w:val="auto"/>
              </w:rPr>
              <w:t>Trading income, net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72,385</w:t>
            </w:r>
          </w:p>
        </w:tc>
        <w:tc>
          <w:tcPr>
            <w:tcW w:w="100" w:type="dxa"/>
            <w:vAlign w:val="bottom"/>
          </w:tcPr>
          <w:p>
            <w:pPr>
              <w:spacing w:after="0"/>
              <w:rPr>
                <w:sz w:val="22"/>
                <w:szCs w:val="22"/>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(436,414)</w:t>
            </w:r>
          </w:p>
        </w:tc>
        <w:tc>
          <w:tcPr>
            <w:tcW w:w="0" w:type="dxa"/>
            <w:vAlign w:val="bottom"/>
          </w:tcPr>
          <w:p>
            <w:pPr>
              <w:spacing w:after="0"/>
              <w:rPr>
                <w:sz w:val="1"/>
                <w:szCs w:val="1"/>
                <w:color w:val="auto"/>
              </w:rPr>
            </w:pPr>
          </w:p>
        </w:tc>
      </w:tr>
      <w:tr>
        <w:trPr>
          <w:trHeight w:val="26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85,910</w:t>
            </w: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w:t>
            </w:r>
          </w:p>
        </w:tc>
        <w:tc>
          <w:tcPr>
            <w:tcW w:w="3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Trading income, net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48,875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(349,402)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3"/>
              </w:rPr>
              <w:t>Derivative instruments designated as hedging instruments:</w:t>
            </w: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Foreign exchange - forward contract</w:t>
            </w:r>
          </w:p>
        </w:tc>
        <w:tc>
          <w:tcPr>
            <w:tcW w:w="342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63"/>
        </w:trPr>
        <w:tc>
          <w:tcPr>
            <w:tcW w:w="3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 As a result of the ITG Acquisition, subsequent to the ITG Closing Date, the Company has additional revenue streams as described below.</w:t>
      </w:r>
    </w:p>
    <w:p>
      <w:pPr>
        <w:spacing w:after="0" w:line="164" w:lineRule="exact"/>
        <w:rPr>
          <w:sz w:val="20"/>
          <w:szCs w:val="20"/>
          <w:color w:val="auto"/>
        </w:rPr>
      </w:pPr>
    </w:p>
    <w:p>
      <w:pPr>
        <w:ind w:right="200" w:firstLine="630"/>
        <w:spacing w:after="0" w:line="286" w:lineRule="auto"/>
        <w:rPr>
          <w:sz w:val="20"/>
          <w:szCs w:val="20"/>
          <w:color w:val="auto"/>
        </w:rPr>
      </w:pPr>
      <w:r>
        <w:rPr>
          <w:rFonts w:ascii="Arial" w:cs="Arial" w:eastAsia="Arial" w:hAnsi="Arial"/>
          <w:sz w:val="16"/>
          <w:szCs w:val="16"/>
          <w:color w:val="auto"/>
        </w:rPr>
        <w:t>The new revenue guidance does not apply to revenue associated with financial instruments, including loans and securities that are accounted for under other U.S. GAAP, and as a result, did not have an impact on the market making elements of the Company’s condensed consolidated statement of comprehensive income most closely associated with financial instruments, including trading income, net and interest and dividend income. The new standard primarily impacts the presentation of the Company's Execution Services revenue streams discussed below, all of which are presented within Commissions, net and technology services on the Company’s condensed consolidated statements of comprehensive income.</w:t>
      </w:r>
    </w:p>
    <w:p>
      <w:pPr>
        <w:spacing w:after="0" w:line="164" w:lineRule="exact"/>
        <w:rPr>
          <w:sz w:val="20"/>
          <w:szCs w:val="20"/>
          <w:color w:val="auto"/>
        </w:rPr>
      </w:pPr>
    </w:p>
    <w:p>
      <w:pPr>
        <w:ind w:right="140" w:firstLine="630"/>
        <w:spacing w:after="0" w:line="264" w:lineRule="auto"/>
        <w:rPr>
          <w:sz w:val="20"/>
          <w:szCs w:val="20"/>
          <w:color w:val="auto"/>
        </w:rPr>
      </w:pPr>
      <w:r>
        <w:rPr>
          <w:rFonts w:ascii="Arial" w:cs="Arial" w:eastAsia="Arial" w:hAnsi="Arial"/>
          <w:sz w:val="17"/>
          <w:szCs w:val="17"/>
          <w:i w:val="1"/>
          <w:iCs w:val="1"/>
          <w:color w:val="auto"/>
        </w:rPr>
        <w:t>Commissions, net</w:t>
      </w:r>
      <w:r>
        <w:rPr>
          <w:rFonts w:ascii="Arial" w:cs="Arial" w:eastAsia="Arial" w:hAnsi="Arial"/>
          <w:sz w:val="17"/>
          <w:szCs w:val="17"/>
          <w:color w:val="auto"/>
        </w:rPr>
        <w:t>. The Company earns commission revenue by acting as an agent on behalf of customers. The Company’s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180" w:lineRule="exact"/>
        <w:rPr>
          <w:sz w:val="20"/>
          <w:szCs w:val="20"/>
          <w:color w:val="auto"/>
        </w:rPr>
      </w:pPr>
    </w:p>
    <w:p>
      <w:pPr>
        <w:ind w:right="20" w:firstLine="630"/>
        <w:spacing w:after="0" w:line="280" w:lineRule="auto"/>
        <w:rPr>
          <w:sz w:val="20"/>
          <w:szCs w:val="20"/>
          <w:color w:val="auto"/>
        </w:rPr>
      </w:pPr>
      <w:r>
        <w:rPr>
          <w:rFonts w:ascii="Arial" w:cs="Arial" w:eastAsia="Arial" w:hAnsi="Arial"/>
          <w:sz w:val="16"/>
          <w:szCs w:val="16"/>
          <w:i w:val="1"/>
          <w:iCs w:val="1"/>
          <w:color w:val="auto"/>
        </w:rPr>
        <w:t xml:space="preserve">Technology services. </w:t>
      </w:r>
      <w:r>
        <w:rPr>
          <w:rFonts w:ascii="Arial" w:cs="Arial" w:eastAsia="Arial" w:hAnsi="Arial"/>
          <w:sz w:val="16"/>
          <w:szCs w:val="16"/>
          <w:color w:val="auto"/>
        </w:rPr>
        <w:t>The Company’s technology services revenues consist of technology licensing fees and agency commission fees.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broker-dealers and clearing organizations.</w:t>
      </w:r>
    </w:p>
    <w:p>
      <w:pPr>
        <w:spacing w:after="0" w:line="168"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i w:val="1"/>
          <w:iCs w:val="1"/>
          <w:color w:val="auto"/>
        </w:rPr>
        <w:t xml:space="preserve">Workflow technology. </w:t>
      </w:r>
      <w:r>
        <w:rPr>
          <w:rFonts w:ascii="Arial" w:cs="Arial" w:eastAsia="Arial" w:hAnsi="Arial"/>
          <w:sz w:val="17"/>
          <w:szCs w:val="17"/>
          <w:color w:val="auto"/>
        </w:rPr>
        <w:t>Through its front-end workflow solutions and network capabilities, the Company provides order and trade execution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order routing services.</w:t>
      </w:r>
    </w:p>
    <w:p>
      <w:pPr>
        <w:spacing w:after="0" w:line="158" w:lineRule="exact"/>
        <w:rPr>
          <w:sz w:val="20"/>
          <w:szCs w:val="20"/>
          <w:color w:val="auto"/>
        </w:rPr>
      </w:pPr>
    </w:p>
    <w:p>
      <w:pPr>
        <w:ind w:right="320" w:firstLine="630"/>
        <w:spacing w:after="0" w:line="290" w:lineRule="auto"/>
        <w:rPr>
          <w:sz w:val="20"/>
          <w:szCs w:val="20"/>
          <w:color w:val="auto"/>
        </w:rPr>
      </w:pPr>
      <w:r>
        <w:rPr>
          <w:rFonts w:ascii="Arial" w:cs="Arial" w:eastAsia="Arial" w:hAnsi="Arial"/>
          <w:sz w:val="16"/>
          <w:szCs w:val="16"/>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61"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70" w:lineRule="exact"/>
        <w:rPr>
          <w:sz w:val="20"/>
          <w:szCs w:val="20"/>
          <w:color w:val="auto"/>
        </w:rPr>
      </w:pPr>
    </w:p>
    <w:p>
      <w:pPr>
        <w:ind w:right="180" w:firstLine="630"/>
        <w:spacing w:after="0" w:line="268" w:lineRule="auto"/>
        <w:rPr>
          <w:sz w:val="20"/>
          <w:szCs w:val="20"/>
          <w:color w:val="auto"/>
        </w:rPr>
      </w:pPr>
      <w:r>
        <w:rPr>
          <w:rFonts w:ascii="Arial" w:cs="Arial" w:eastAsia="Arial" w:hAnsi="Arial"/>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The Company provides customers with analytics products and services, including trading and portfolio analytics tools. The Company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0" w:lineRule="exact"/>
        <w:rPr>
          <w:sz w:val="20"/>
          <w:szCs w:val="20"/>
          <w:color w:val="auto"/>
        </w:rPr>
      </w:pPr>
    </w:p>
    <w:p>
      <w:pPr>
        <w:ind w:right="260" w:firstLine="630"/>
        <w:spacing w:after="0" w:line="274"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0" w:lineRule="exact"/>
        <w:rPr>
          <w:sz w:val="20"/>
          <w:szCs w:val="20"/>
          <w:color w:val="auto"/>
        </w:rPr>
      </w:pPr>
    </w:p>
    <w:p>
      <w:pPr>
        <w:ind w:left="1260" w:right="600" w:hanging="625"/>
        <w:spacing w:after="0" w:line="265"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ind w:left="1260" w:right="660" w:hanging="625"/>
        <w:spacing w:after="0" w:line="275"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70"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24"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The following table presents the Company’s revenue from contracts with customers disaggregated by the services described above, by timing of revenue recognition, reconciled to the Company’s segments, for the three months ended March 31, 2019:</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56"/>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57,755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62,755</w:t>
            </w: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Workflow technology</w:t>
            </w:r>
          </w:p>
        </w:tc>
        <w:tc>
          <w:tcPr>
            <w:tcW w:w="1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8,872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8,872</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Analytics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3,520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3,520</w:t>
            </w:r>
          </w:p>
        </w:tc>
      </w:tr>
      <w:tr>
        <w:trPr>
          <w:trHeight w:val="242"/>
        </w:trPr>
        <w:tc>
          <w:tcPr>
            <w:tcW w:w="4260" w:type="dxa"/>
            <w:vAlign w:val="bottom"/>
            <w:gridSpan w:val="2"/>
          </w:tcPr>
          <w:p>
            <w:pPr>
              <w:ind w:left="260"/>
              <w:spacing w:after="0"/>
              <w:rPr>
                <w:sz w:val="20"/>
                <w:szCs w:val="20"/>
                <w:color w:val="auto"/>
              </w:rPr>
            </w:pPr>
            <w:r>
              <w:rPr>
                <w:rFonts w:ascii="Arial" w:cs="Arial" w:eastAsia="Arial" w:hAnsi="Arial"/>
                <w:sz w:val="14"/>
                <w:szCs w:val="14"/>
                <w:color w:val="auto"/>
              </w:rPr>
              <w:t>Total revenue from contract with customers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70,147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75,147</w:t>
            </w:r>
          </w:p>
        </w:tc>
      </w:tr>
      <w:tr>
        <w:trPr>
          <w:trHeight w:val="320"/>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260" w:type="dxa"/>
            <w:vAlign w:val="bottom"/>
            <w:gridSpan w:val="2"/>
          </w:tcPr>
          <w:p>
            <w:pPr>
              <w:ind w:left="260"/>
              <w:spacing w:after="0"/>
              <w:rPr>
                <w:sz w:val="20"/>
                <w:szCs w:val="20"/>
                <w:color w:val="auto"/>
              </w:rPr>
            </w:pPr>
            <w:r>
              <w:rPr>
                <w:rFonts w:ascii="Arial" w:cs="Arial" w:eastAsia="Arial" w:hAnsi="Arial"/>
                <w:sz w:val="14"/>
                <w:szCs w:val="14"/>
                <w:color w:val="auto"/>
              </w:rPr>
              <w:t>Other sources of revenue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274,221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13,371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287,844</w:t>
            </w:r>
          </w:p>
        </w:tc>
      </w:tr>
      <w:tr>
        <w:trPr>
          <w:trHeight w:val="320"/>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69"/>
        </w:trPr>
        <w:tc>
          <w:tcPr>
            <w:tcW w:w="426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279,221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83,518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362,991</w:t>
            </w:r>
          </w:p>
        </w:tc>
      </w:tr>
      <w:tr>
        <w:trPr>
          <w:trHeight w:val="294"/>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279,221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76,729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356,202</w:t>
            </w: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6,789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6,789</w:t>
            </w:r>
          </w:p>
        </w:tc>
      </w:tr>
      <w:tr>
        <w:trPr>
          <w:trHeight w:val="235"/>
        </w:trPr>
        <w:tc>
          <w:tcPr>
            <w:tcW w:w="42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279,221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83,518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362,991</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24"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As of March 31, 2019, the aggregate amount of the transaction price allocated to the performance obligations relating to technology services, workflow technology, and analytics revenues that are unsatisfied (or partially unsatisfied) was not material.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the three months ended March 31, 2019, the Company did not recognize any revenue related to performance obligations satisfied in previous periods.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127"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24"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70" w:lineRule="exact"/>
        <w:rPr>
          <w:sz w:val="20"/>
          <w:szCs w:val="20"/>
          <w:color w:val="auto"/>
        </w:rPr>
      </w:pPr>
    </w:p>
    <w:p>
      <w:pPr>
        <w:ind w:right="20" w:firstLine="630"/>
        <w:spacing w:after="0" w:line="323" w:lineRule="auto"/>
        <w:rPr>
          <w:sz w:val="20"/>
          <w:szCs w:val="20"/>
          <w:color w:val="auto"/>
        </w:rPr>
      </w:pPr>
      <w:r>
        <w:rPr>
          <w:rFonts w:ascii="Arial" w:cs="Arial" w:eastAsia="Arial" w:hAnsi="Arial"/>
          <w:sz w:val="16"/>
          <w:szCs w:val="16"/>
          <w:color w:val="auto"/>
        </w:rPr>
        <w:t>Receivables related to revenues from contracts with customers amounted to $49.6 million and $1.7 million as of March 31, 2019 and December 31, 2018, respectively. The Company did not identify any contract assets. There were no impairment losses on receivables as of March 31, 2019.</w:t>
      </w:r>
    </w:p>
    <w:p>
      <w:pPr>
        <w:spacing w:after="0" w:line="135"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Deferred revenue primarily relates to deferred commissions allocated to analytics products and subscription fees billed in advance of satisfying the performance obligations. Deferred revenue related to contracts with customers was $11.5 million as of March 31, 2019. During the three months ended March 31, 2019, the Company recognized revenue of $8.0 million that was initially recorded as deferred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identified any costs to obtain or fulfill associated with its contracts under ASC 606.</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30"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2019 and 2018,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(benefits from) income taxes and effective tax rates were $(2.6) million and 16.0%, and $58.5 million and 12.5%, for the three months ended March 31, 2019 and 2018, respectively. Income tax expense is also affected by the differing effective tax rates in foreign, state and local jurisdictions where certain of the Company’s subsidiaries are subject to corporate taxation.</w:t>
      </w:r>
    </w:p>
    <w:p>
      <w:pPr>
        <w:spacing w:after="0" w:line="180" w:lineRule="exact"/>
        <w:rPr>
          <w:sz w:val="20"/>
          <w:szCs w:val="20"/>
          <w:color w:val="auto"/>
        </w:rPr>
      </w:pPr>
    </w:p>
    <w:p>
      <w:pPr>
        <w:ind w:right="60" w:firstLine="630"/>
        <w:spacing w:after="0" w:line="264" w:lineRule="auto"/>
        <w:rPr>
          <w:sz w:val="20"/>
          <w:szCs w:val="20"/>
          <w:color w:val="auto"/>
        </w:rPr>
      </w:pPr>
      <w:r>
        <w:rPr>
          <w:rFonts w:ascii="Arial" w:cs="Arial" w:eastAsia="Arial" w:hAnsi="Arial"/>
          <w:sz w:val="17"/>
          <w:szCs w:val="17"/>
          <w:color w:val="auto"/>
        </w:rPr>
        <w:t>Included in Other assets on the condensed consolidated statements of financial condition at March 31, 2019 and December 31, 2018 are current income tax receivables of $46.6 million and $41.1 million, respectively. The balances at March 31, 2019 and December 31, 2018 primarily comprise income tax benefits due to the Company from federal, state and local, and foreign tax jurisdictions based on income before taxes. Included in Accounts payable, accrued expenses and other liabilities on the condensed consolidated statements of financial condition at March 31, 2019 and December 31, 2018 are current tax liabilities of $6.6 million and $10.0 million, respectively. The balance at March 31, 2019 primarily comprises income taxes owed to federal, state and local, and foreign tax jurisdictions based on income before taxes.</w:t>
      </w:r>
    </w:p>
    <w:p>
      <w:pPr>
        <w:spacing w:after="0" w:line="18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77" w:lineRule="exact"/>
        <w:rPr>
          <w:sz w:val="20"/>
          <w:szCs w:val="20"/>
          <w:color w:val="auto"/>
        </w:rPr>
      </w:pPr>
    </w:p>
    <w:p>
      <w:pPr>
        <w:ind w:right="20" w:firstLine="630"/>
        <w:spacing w:after="0" w:line="280"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March 31, 2019 and December 31, 2018 of $239.3 million and $239.3 million, respectively, and has recorded a related deferred tax asset of $44.9 million and $44.9 million, respectively. A full valuation allowance was also recorded against this deferred tax asset at March 31, 2019 and December 31, 2018 as it is more likely than not that this deferred tax asset will not be realized. No valuation allowance against the remaining deferred taxes was recorded as of March 31, 2019 and December 31, 2018 because it is more likely than not that these deferred tax assets will be fully realized.</w:t>
      </w:r>
    </w:p>
    <w:p>
      <w:pPr>
        <w:spacing w:after="0" w:line="173" w:lineRule="exact"/>
        <w:rPr>
          <w:sz w:val="20"/>
          <w:szCs w:val="20"/>
          <w:color w:val="auto"/>
        </w:rPr>
      </w:pPr>
    </w:p>
    <w:p>
      <w:pPr>
        <w:ind w:right="380" w:firstLine="630"/>
        <w:spacing w:after="0" w:line="274" w:lineRule="auto"/>
        <w:rPr>
          <w:sz w:val="20"/>
          <w:szCs w:val="20"/>
          <w:color w:val="auto"/>
        </w:rPr>
      </w:pPr>
      <w:r>
        <w:rPr>
          <w:rFonts w:ascii="Arial" w:cs="Arial" w:eastAsia="Arial" w:hAnsi="Arial"/>
          <w:sz w:val="17"/>
          <w:szCs w:val="17"/>
          <w:color w:val="auto"/>
        </w:rPr>
        <w:t>The Company is subject to taxation in U.S. federal, state, local and foreign jurisdictions. As of March 31, 2019, the Company’s tax years for 2013 through 2017 and 2010 through 2017 are subject to examination by U.S. and non-U.S. tax authorities, respectively. As a result of the ITG Acquisition and the Acquisition of KCG, the Company has assumed any ITG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and KCG tax exposures. In addition, the Company is subject to state and local income tax examinations in various jurisdictions for the tax years 2013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70" w:lineRule="exact"/>
        <w:rPr>
          <w:sz w:val="20"/>
          <w:szCs w:val="20"/>
          <w:color w:val="auto"/>
        </w:rPr>
      </w:pPr>
    </w:p>
    <w:p>
      <w:pPr>
        <w:jc w:val="both"/>
        <w:ind w:right="60" w:firstLine="630"/>
        <w:spacing w:after="0" w:line="274" w:lineRule="auto"/>
        <w:rPr>
          <w:sz w:val="20"/>
          <w:szCs w:val="20"/>
          <w:color w:val="auto"/>
        </w:rPr>
      </w:pPr>
      <w:r>
        <w:rPr>
          <w:rFonts w:ascii="Arial" w:cs="Arial" w:eastAsia="Arial" w:hAnsi="Arial"/>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w:t>
      </w:r>
    </w:p>
    <w:p>
      <w:pPr>
        <w:spacing w:after="0" w:line="170" w:lineRule="exact"/>
        <w:rPr>
          <w:sz w:val="20"/>
          <w:szCs w:val="20"/>
          <w:color w:val="auto"/>
        </w:rPr>
      </w:pPr>
    </w:p>
    <w:p>
      <w:pPr>
        <w:ind w:right="260" w:firstLine="630"/>
        <w:spacing w:after="0" w:line="274" w:lineRule="auto"/>
        <w:rPr>
          <w:sz w:val="20"/>
          <w:szCs w:val="20"/>
          <w:color w:val="auto"/>
        </w:rPr>
      </w:pPr>
      <w:r>
        <w:rPr>
          <w:rFonts w:ascii="Arial" w:cs="Arial" w:eastAsia="Arial" w:hAnsi="Arial"/>
          <w:sz w:val="17"/>
          <w:szCs w:val="17"/>
          <w:color w:val="auto"/>
        </w:rPr>
        <w:t>The Company had $9.1 million of unrecognized tax benefits as of March 31, 2019, all of which would affect the Company’s effective tax rate if recognized. The Company has determined that there are no uncertain tax positions that would have a material impact on the Company’s financial position as of March 31, 2019.</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Contingencies and Guarantees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4"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coverages for potential claims, including securities actions, against the Company and its respective directors and officers.</w:t>
      </w:r>
    </w:p>
    <w:p>
      <w:pPr>
        <w:spacing w:after="0" w:line="172"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 xml:space="preserve">In connection with the Acquisition of KCG, a previously filed complaint, which was initially captioned </w:t>
      </w:r>
      <w:r>
        <w:rPr>
          <w:rFonts w:ascii="Arial" w:cs="Arial" w:eastAsia="Arial" w:hAnsi="Arial"/>
          <w:sz w:val="17"/>
          <w:szCs w:val="17"/>
          <w:i w:val="1"/>
          <w:iCs w:val="1"/>
          <w:color w:val="auto"/>
        </w:rPr>
        <w:t>Greenway v. KCG Holdings, Inc., et al., Case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2017-421-JTL </w:t>
      </w:r>
      <w:r>
        <w:rPr>
          <w:rFonts w:ascii="Arial" w:cs="Arial" w:eastAsia="Arial" w:hAnsi="Arial"/>
          <w:sz w:val="17"/>
          <w:szCs w:val="17"/>
          <w:color w:val="auto"/>
        </w:rPr>
        <w:t>and filed on behalf of a putative class in Delaware Chancery Court, was recaptioned</w:t>
      </w:r>
      <w:r>
        <w:rPr>
          <w:rFonts w:ascii="Arial" w:cs="Arial" w:eastAsia="Arial" w:hAnsi="Arial"/>
          <w:sz w:val="17"/>
          <w:szCs w:val="17"/>
          <w:i w:val="1"/>
          <w:iCs w:val="1"/>
          <w:color w:val="auto"/>
        </w:rPr>
        <w:t xml:space="preserve"> Chester County Employees’ Retirement Fund v. KCG Holdings, Inc., et al.</w:t>
      </w:r>
      <w:r>
        <w:rPr>
          <w:rFonts w:ascii="Arial" w:cs="Arial" w:eastAsia="Arial" w:hAnsi="Arial"/>
          <w:sz w:val="17"/>
          <w:szCs w:val="17"/>
          <w:color w:val="auto"/>
        </w:rPr>
        <w:t>, amended and refiled on February 14, 2018 to include claims for the alleged breach of fiduciary duties against former KCG board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No amount of damages is stated in the Second Amended Complaint, against which Virtu is defending itself vigorously.</w:t>
      </w:r>
    </w:p>
    <w:p>
      <w:pPr>
        <w:spacing w:after="0" w:line="180" w:lineRule="exact"/>
        <w:rPr>
          <w:sz w:val="20"/>
          <w:szCs w:val="20"/>
          <w:color w:val="auto"/>
        </w:rPr>
      </w:pPr>
    </w:p>
    <w:p>
      <w:pPr>
        <w:ind w:right="20" w:firstLine="630"/>
        <w:spacing w:after="0" w:line="262" w:lineRule="auto"/>
        <w:rPr>
          <w:sz w:val="20"/>
          <w:szCs w:val="20"/>
          <w:color w:val="auto"/>
        </w:rPr>
      </w:pPr>
      <w:r>
        <w:rPr>
          <w:rFonts w:ascii="Arial" w:cs="Arial" w:eastAsia="Arial" w:hAnsi="Arial"/>
          <w:sz w:val="17"/>
          <w:szCs w:val="17"/>
          <w:color w:val="auto"/>
        </w:rPr>
        <w:t xml:space="preserve">On January 29, 2019, the Company was named as a defendant in </w:t>
      </w:r>
      <w:r>
        <w:rPr>
          <w:rFonts w:ascii="Arial" w:cs="Arial" w:eastAsia="Arial" w:hAnsi="Arial"/>
          <w:sz w:val="17"/>
          <w:szCs w:val="17"/>
          <w:i w:val="1"/>
          <w:iCs w:val="1"/>
          <w:color w:val="auto"/>
        </w:rPr>
        <w:t>Ford v. ProShares Trust II, et al.</w:t>
      </w:r>
      <w:r>
        <w:rPr>
          <w:rFonts w:ascii="Arial" w:cs="Arial" w:eastAsia="Arial" w:hAnsi="Arial"/>
          <w:sz w:val="17"/>
          <w:szCs w:val="17"/>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trading in a ProShares inverse-volatility ETF. The complaint does not specify the amount of alleged damages. The Company believes that the claims are without merit and intends to defend the lawsuit vigorously. Additionally, on February 27, 2019, and March 1, 2019, the Company was named as a defendant in </w:t>
      </w:r>
      <w:r>
        <w:rPr>
          <w:rFonts w:ascii="Arial" w:cs="Arial" w:eastAsia="Arial" w:hAnsi="Arial"/>
          <w:sz w:val="17"/>
          <w:szCs w:val="17"/>
          <w:i w:val="1"/>
          <w:iCs w:val="1"/>
          <w:color w:val="auto"/>
        </w:rPr>
        <w:t>Bittner v. ProShares Trust II, et al.</w:t>
      </w:r>
      <w:r>
        <w:rPr>
          <w:rFonts w:ascii="Arial" w:cs="Arial" w:eastAsia="Arial" w:hAnsi="Arial"/>
          <w:sz w:val="17"/>
          <w:szCs w:val="17"/>
          <w:color w:val="auto"/>
        </w:rPr>
        <w:t xml:space="preserve">, No. 19-cv-1840, and </w:t>
      </w:r>
      <w:r>
        <w:rPr>
          <w:rFonts w:ascii="Arial" w:cs="Arial" w:eastAsia="Arial" w:hAnsi="Arial"/>
          <w:sz w:val="17"/>
          <w:szCs w:val="17"/>
          <w:i w:val="1"/>
          <w:iCs w:val="1"/>
          <w:color w:val="auto"/>
        </w:rPr>
        <w:t>Mareno v. ProShares Trust II</w:t>
      </w:r>
      <w:r>
        <w:rPr>
          <w:rFonts w:ascii="Arial" w:cs="Arial" w:eastAsia="Arial" w:hAnsi="Arial"/>
          <w:sz w:val="17"/>
          <w:szCs w:val="17"/>
          <w:color w:val="auto"/>
        </w:rPr>
        <w:t>, et al., No. 19-cv-1955, respectively. The complaints were filed in federal district court in New York on behalf of putative classes, and have been designated as related to the Ford action because they assert substantially similar allegations to those in the Ford complaint. The complaints do not specify the amount of alleged damages. The Company believes that the claims are without merit and intends to defend itself vigorously.</w:t>
      </w:r>
    </w:p>
    <w:p>
      <w:pPr>
        <w:spacing w:after="0" w:line="183" w:lineRule="exact"/>
        <w:rPr>
          <w:sz w:val="20"/>
          <w:szCs w:val="20"/>
          <w:color w:val="auto"/>
        </w:rPr>
      </w:pPr>
    </w:p>
    <w:p>
      <w:pPr>
        <w:ind w:right="160" w:firstLine="630"/>
        <w:spacing w:after="0" w:line="274" w:lineRule="auto"/>
        <w:rPr>
          <w:sz w:val="20"/>
          <w:szCs w:val="20"/>
          <w:color w:val="auto"/>
        </w:rPr>
      </w:pPr>
      <w:r>
        <w:rPr>
          <w:rFonts w:ascii="Arial" w:cs="Arial" w:eastAsia="Arial" w:hAnsi="Arial"/>
          <w:sz w:val="17"/>
          <w:szCs w:val="17"/>
          <w:color w:val="auto"/>
        </w:rPr>
        <w:t>As a result of the ITG Acquisition, the Company assumed potential liabilities relating to ITG’s business, including but not limited to those potential liabilities arising from or related to pending, threatened or potential litigation or regulatory matters. These matters include but not are not necessarily limited to a Statement of Claim filed on July 27, 2018 by a former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127"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employee of ITG requesting a FINRA arbitration. The former ITG employee alleges that ITG breached the non-disparagement clause in his July 2011 separation agreement and tortiously interfered with his business relations. The Company believes that the claims are without merit and is defending itself against these claims vigorously.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24" w:lineRule="exact"/>
        <w:rPr>
          <w:sz w:val="20"/>
          <w:szCs w:val="20"/>
          <w:color w:val="auto"/>
        </w:rPr>
      </w:pPr>
    </w:p>
    <w:p>
      <w:pPr>
        <w:ind w:right="20" w:firstLine="630"/>
        <w:spacing w:after="0" w:line="278"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69" w:lineRule="exact"/>
        <w:rPr>
          <w:sz w:val="20"/>
          <w:szCs w:val="20"/>
          <w:color w:val="auto"/>
        </w:rPr>
      </w:pPr>
    </w:p>
    <w:p>
      <w:pPr>
        <w:ind w:right="100" w:firstLine="630"/>
        <w:spacing w:after="0" w:line="263" w:lineRule="auto"/>
        <w:rPr>
          <w:sz w:val="20"/>
          <w:szCs w:val="20"/>
          <w:color w:val="auto"/>
        </w:rPr>
      </w:pPr>
      <w:r>
        <w:rPr>
          <w:rFonts w:ascii="Arial" w:cs="Arial" w:eastAsia="Arial" w:hAnsi="Arial"/>
          <w:sz w:val="17"/>
          <w:szCs w:val="17"/>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reduced to €3.0 million (approximately $3.4 million). The Company has fully reserved for the monetary penalty as of March 31, 2019 and anticipates paying the fine during the year ending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24" w:lineRule="exact"/>
        <w:rPr>
          <w:sz w:val="20"/>
          <w:szCs w:val="20"/>
          <w:color w:val="auto"/>
        </w:rPr>
      </w:pPr>
    </w:p>
    <w:p>
      <w:pPr>
        <w:ind w:right="20" w:firstLine="630"/>
        <w:spacing w:after="0" w:line="28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8"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23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adopted ASU 2016-02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630"/>
        <w:spacing w:after="0" w:line="282" w:lineRule="auto"/>
        <w:rPr>
          <w:sz w:val="20"/>
          <w:szCs w:val="20"/>
          <w:color w:val="auto"/>
        </w:rPr>
      </w:pPr>
      <w:r>
        <w:rPr>
          <w:rFonts w:ascii="Arial" w:cs="Arial" w:eastAsia="Arial" w:hAnsi="Arial"/>
          <w:sz w:val="16"/>
          <w:szCs w:val="16"/>
          <w:color w:val="auto"/>
        </w:rPr>
        <w:t>For the Company, Topic 842 primarily affected the accounting treatment for operating lease agreements in which the Company is the lessee. These leases are primarily for corporate office space, datacenters, and technology equipment. The leases have remaining terms of 1 year to 13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67" w:lineRule="exact"/>
        <w:rPr>
          <w:sz w:val="20"/>
          <w:szCs w:val="20"/>
          <w:color w:val="auto"/>
        </w:rPr>
      </w:pPr>
    </w:p>
    <w:p>
      <w:pPr>
        <w:ind w:right="380" w:firstLine="630"/>
        <w:spacing w:after="0" w:line="274" w:lineRule="auto"/>
        <w:rPr>
          <w:sz w:val="20"/>
          <w:szCs w:val="20"/>
          <w:color w:val="auto"/>
        </w:rPr>
      </w:pPr>
      <w:r>
        <w:rPr>
          <w:rFonts w:ascii="Arial" w:cs="Arial" w:eastAsia="Arial" w:hAnsi="Arial"/>
          <w:sz w:val="17"/>
          <w:szCs w:val="17"/>
          <w:color w:val="auto"/>
        </w:rPr>
        <w:t>The Company also subleases certain office space and facilities to third parties. The subleases have remaining terms of 1 to 13 years. The Company recognizes sublease income on a straight-line basis over the term of the sublease within Other, net on the condensed consolidated statement of comprehensive income.</w:t>
      </w:r>
    </w:p>
    <w:p>
      <w:pPr>
        <w:spacing w:after="0" w:line="170" w:lineRule="exact"/>
        <w:rPr>
          <w:sz w:val="20"/>
          <w:szCs w:val="20"/>
          <w:color w:val="auto"/>
        </w:rPr>
      </w:pPr>
    </w:p>
    <w:p>
      <w:pPr>
        <w:ind w:firstLine="630"/>
        <w:spacing w:after="0" w:line="360" w:lineRule="auto"/>
        <w:rPr>
          <w:sz w:val="20"/>
          <w:szCs w:val="20"/>
          <w:color w:val="auto"/>
        </w:rPr>
      </w:pPr>
      <w:r>
        <w:rPr>
          <w:rFonts w:ascii="Arial" w:cs="Arial" w:eastAsia="Arial" w:hAnsi="Arial"/>
          <w:sz w:val="15"/>
          <w:szCs w:val="15"/>
          <w:color w:val="auto"/>
        </w:rPr>
        <w:t>As the implied discount rate for most of the Company's leases is not readily determinable, the Company uses its incremental borrowing rate on its secured borrowings, which was based on the information available as of the initial transition date, January 1, 2019, in determining the present value of lease payments.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assets and liabilities are summarized as follows:</w:t>
      </w:r>
    </w:p>
    <w:p>
      <w:pPr>
        <w:sectPr>
          <w:pgSz w:w="11900" w:h="16838" w:orient="portrait"/>
          <w:cols w:equalWidth="0" w:num="1">
            <w:col w:w="11420"/>
          </w:cols>
          <w:pgMar w:left="240" w:top="127" w:right="239" w:bottom="1440" w:gutter="0" w:footer="0" w:header="0"/>
        </w:sectPr>
      </w:pP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(in thousands)</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Operating leases</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Operating lease right-of-use assets</w:t>
      </w:r>
    </w:p>
    <w:p>
      <w:pPr>
        <w:spacing w:after="0" w:line="12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Operating lease liabilities</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Finance leases</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Property and equipment, at cost</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Accumulated depreciation</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Financial Statement Location</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March 31, 2019</w:t>
            </w:r>
          </w:p>
        </w:tc>
      </w:tr>
      <w:tr>
        <w:trPr>
          <w:trHeight w:val="513"/>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350,423</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394,764</w:t>
            </w:r>
          </w:p>
        </w:tc>
      </w:tr>
      <w:tr>
        <w:trPr>
          <w:trHeight w:val="84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300" w:type="dxa"/>
            <w:vAlign w:val="bottom"/>
          </w:tcPr>
          <w:p>
            <w:pPr>
              <w:spacing w:after="0"/>
              <w:rPr>
                <w:sz w:val="24"/>
                <w:szCs w:val="24"/>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37,258</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3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(17,056)</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30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20,648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-1026160</wp:posOffset>
            </wp:positionV>
            <wp:extent cx="5925185" cy="16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-659130</wp:posOffset>
            </wp:positionV>
            <wp:extent cx="5925185" cy="166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-325755</wp:posOffset>
            </wp:positionV>
            <wp:extent cx="5925185" cy="16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-1367790</wp:posOffset>
            </wp:positionV>
            <wp:extent cx="5925185"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25185" cy="175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480"/>
          </w:cols>
          <w:pgMar w:left="240" w:top="127" w:right="239" w:bottom="1440" w:gutter="0" w:footer="0" w:header="0"/>
          <w:type w:val="continuous"/>
        </w:sectPr>
      </w:pPr>
    </w:p>
    <w:p>
      <w:pPr>
        <w:spacing w:after="0" w:line="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27" w:lineRule="exact"/>
        <w:rPr>
          <w:sz w:val="20"/>
          <w:szCs w:val="20"/>
          <w:color w:val="auto"/>
        </w:rPr>
      </w:pPr>
    </w:p>
    <w:tbl>
      <w:tblPr>
        <w:tblLayout w:type="fixed"/>
        <w:tblInd w:w="2680" w:type="dxa"/>
        <w:tblCellMar>
          <w:top w:w="0" w:type="dxa"/>
          <w:left w:w="0" w:type="dxa"/>
          <w:bottom w:w="0" w:type="dxa"/>
          <w:right w:w="0" w:type="dxa"/>
        </w:tblCellMar>
      </w:tblPr>
      <w:tr>
        <w:trPr>
          <w:trHeight w:val="188"/>
        </w:trPr>
        <w:tc>
          <w:tcPr>
            <w:tcW w:w="38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March 31, 2019</w:t>
            </w:r>
          </w:p>
        </w:tc>
      </w:tr>
      <w:tr>
        <w:trPr>
          <w:trHeight w:val="261"/>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2280" w:type="dxa"/>
            <w:vAlign w:val="bottom"/>
            <w:shd w:val="clear" w:color="auto" w:fill="CCEEFF"/>
          </w:tcPr>
          <w:p>
            <w:pPr>
              <w:spacing w:after="0"/>
              <w:rPr>
                <w:sz w:val="22"/>
                <w:szCs w:val="22"/>
                <w:color w:val="auto"/>
              </w:rPr>
            </w:pPr>
          </w:p>
        </w:tc>
      </w:tr>
      <w:tr>
        <w:trPr>
          <w:trHeight w:val="257"/>
        </w:trPr>
        <w:tc>
          <w:tcPr>
            <w:tcW w:w="3800" w:type="dxa"/>
            <w:vAlign w:val="bottom"/>
          </w:tcPr>
          <w:p>
            <w:pPr>
              <w:ind w:left="160"/>
              <w:spacing w:after="0"/>
              <w:rPr>
                <w:sz w:val="20"/>
                <w:szCs w:val="20"/>
                <w:color w:val="auto"/>
              </w:rPr>
            </w:pPr>
            <w:r>
              <w:rPr>
                <w:rFonts w:ascii="Arial" w:cs="Arial" w:eastAsia="Arial" w:hAnsi="Arial"/>
                <w:sz w:val="14"/>
                <w:szCs w:val="14"/>
                <w:color w:val="auto"/>
              </w:rPr>
              <w:t>Operating leases</w:t>
            </w:r>
          </w:p>
        </w:tc>
        <w:tc>
          <w:tcPr>
            <w:tcW w:w="2280" w:type="dxa"/>
            <w:vAlign w:val="bottom"/>
          </w:tcPr>
          <w:p>
            <w:pPr>
              <w:jc w:val="right"/>
              <w:ind w:right="90"/>
              <w:spacing w:after="0"/>
              <w:rPr>
                <w:sz w:val="20"/>
                <w:szCs w:val="20"/>
                <w:color w:val="auto"/>
              </w:rPr>
            </w:pPr>
            <w:r>
              <w:rPr>
                <w:rFonts w:ascii="Arial" w:cs="Arial" w:eastAsia="Arial" w:hAnsi="Arial"/>
                <w:sz w:val="14"/>
                <w:szCs w:val="14"/>
                <w:color w:val="auto"/>
              </w:rPr>
              <w:t>7.89 years</w:t>
            </w:r>
          </w:p>
        </w:tc>
      </w:tr>
      <w:tr>
        <w:trPr>
          <w:trHeight w:val="268"/>
        </w:trPr>
        <w:tc>
          <w:tcPr>
            <w:tcW w:w="3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leases</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1.85 years</w:t>
            </w:r>
          </w:p>
        </w:tc>
      </w:tr>
      <w:tr>
        <w:trPr>
          <w:trHeight w:val="257"/>
        </w:trPr>
        <w:tc>
          <w:tcPr>
            <w:tcW w:w="380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2280" w:type="dxa"/>
            <w:vAlign w:val="bottom"/>
          </w:tcPr>
          <w:p>
            <w:pPr>
              <w:spacing w:after="0"/>
              <w:rPr>
                <w:sz w:val="22"/>
                <w:szCs w:val="22"/>
                <w:color w:val="auto"/>
              </w:rPr>
            </w:pPr>
          </w:p>
        </w:tc>
      </w:tr>
      <w:tr>
        <w:trPr>
          <w:trHeight w:val="268"/>
        </w:trPr>
        <w:tc>
          <w:tcPr>
            <w:tcW w:w="3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leases</w:t>
            </w: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r>
      <w:tr>
        <w:trPr>
          <w:trHeight w:val="252"/>
        </w:trPr>
        <w:tc>
          <w:tcPr>
            <w:tcW w:w="3800" w:type="dxa"/>
            <w:vAlign w:val="bottom"/>
          </w:tcPr>
          <w:p>
            <w:pPr>
              <w:ind w:left="160"/>
              <w:spacing w:after="0"/>
              <w:rPr>
                <w:sz w:val="20"/>
                <w:szCs w:val="20"/>
                <w:color w:val="auto"/>
              </w:rPr>
            </w:pPr>
            <w:r>
              <w:rPr>
                <w:rFonts w:ascii="Arial" w:cs="Arial" w:eastAsia="Arial" w:hAnsi="Arial"/>
                <w:sz w:val="14"/>
                <w:szCs w:val="14"/>
                <w:color w:val="auto"/>
              </w:rPr>
              <w:t>Finance leases</w:t>
            </w:r>
          </w:p>
        </w:tc>
        <w:tc>
          <w:tcPr>
            <w:tcW w:w="2280" w:type="dxa"/>
            <w:vAlign w:val="bottom"/>
          </w:tcPr>
          <w:p>
            <w:pPr>
              <w:jc w:val="right"/>
              <w:spacing w:after="0"/>
              <w:rPr>
                <w:sz w:val="20"/>
                <w:szCs w:val="20"/>
                <w:color w:val="auto"/>
              </w:rPr>
            </w:pPr>
            <w:r>
              <w:rPr>
                <w:rFonts w:ascii="Arial" w:cs="Arial" w:eastAsia="Arial" w:hAnsi="Arial"/>
                <w:sz w:val="14"/>
                <w:szCs w:val="14"/>
                <w:color w:val="auto"/>
              </w:rPr>
              <w:t>3.57%</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7" w:right="23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expense were as follows:</w:t>
      </w:r>
    </w:p>
    <w:p>
      <w:pPr>
        <w:spacing w:after="0" w:line="14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50"/>
              <w:spacing w:after="0"/>
              <w:rPr>
                <w:sz w:val="20"/>
                <w:szCs w:val="20"/>
                <w:color w:val="auto"/>
              </w:rPr>
            </w:pPr>
            <w:r>
              <w:rPr>
                <w:rFonts w:ascii="Arial" w:cs="Arial" w:eastAsia="Arial" w:hAnsi="Arial"/>
                <w:sz w:val="14"/>
                <w:szCs w:val="14"/>
                <w:b w:val="1"/>
                <w:bCs w:val="1"/>
                <w:color w:val="auto"/>
              </w:rPr>
              <w:t>2019</w:t>
            </w:r>
          </w:p>
        </w:tc>
      </w:tr>
      <w:tr>
        <w:trPr>
          <w:trHeight w:val="242"/>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Operating lease cost:</w:t>
            </w: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8"/>
        </w:trPr>
        <w:tc>
          <w:tcPr>
            <w:tcW w:w="4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Fixed</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14,797</w:t>
            </w:r>
          </w:p>
        </w:tc>
      </w:tr>
      <w:tr>
        <w:trPr>
          <w:trHeight w:val="257"/>
        </w:trPr>
        <w:tc>
          <w:tcPr>
            <w:tcW w:w="40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Variable</w:t>
            </w: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w:t>
            </w:r>
          </w:p>
        </w:tc>
      </w:tr>
      <w:tr>
        <w:trPr>
          <w:trHeight w:val="24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cost</w:t>
            </w: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16,375</w:t>
            </w:r>
          </w:p>
        </w:tc>
      </w:tr>
      <w:tr>
        <w:trPr>
          <w:trHeight w:val="315"/>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4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4000" w:type="dxa"/>
            <w:vAlign w:val="bottom"/>
            <w:gridSpan w:val="2"/>
          </w:tcPr>
          <w:p>
            <w:pPr>
              <w:ind w:left="160"/>
              <w:spacing w:after="0"/>
              <w:rPr>
                <w:sz w:val="20"/>
                <w:szCs w:val="20"/>
                <w:color w:val="auto"/>
              </w:rPr>
            </w:pPr>
            <w:r>
              <w:rPr>
                <w:rFonts w:ascii="Arial" w:cs="Arial" w:eastAsia="Arial" w:hAnsi="Arial"/>
                <w:sz w:val="14"/>
                <w:szCs w:val="14"/>
                <w:color w:val="auto"/>
              </w:rPr>
              <w:t>Amortization of right-of-use assets</w:t>
            </w:r>
          </w:p>
        </w:tc>
        <w:tc>
          <w:tcPr>
            <w:tcW w:w="4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2,970</w:t>
            </w:r>
          </w:p>
        </w:tc>
      </w:tr>
      <w:tr>
        <w:trPr>
          <w:trHeight w:val="262"/>
        </w:trPr>
        <w:tc>
          <w:tcPr>
            <w:tcW w:w="4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on lease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42"/>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Total Finance lease cost</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3,156</w:t>
            </w:r>
          </w:p>
        </w:tc>
      </w:tr>
      <w:tr>
        <w:trPr>
          <w:trHeight w:val="320"/>
        </w:trPr>
        <w:tc>
          <w:tcPr>
            <w:tcW w:w="3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2"/>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2,560</w:t>
            </w:r>
          </w:p>
        </w:tc>
      </w:tr>
    </w:tbl>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Future minimum lease payments under operating and finance leases with non-cancelable lease terms, as of March 31, 2019, are as follows:</w:t>
      </w:r>
    </w:p>
    <w:p>
      <w:pPr>
        <w:spacing w:after="0" w:line="250" w:lineRule="exact"/>
        <w:rPr>
          <w:sz w:val="20"/>
          <w:szCs w:val="20"/>
          <w:color w:val="auto"/>
        </w:rPr>
      </w:pPr>
    </w:p>
    <w:tbl>
      <w:tblPr>
        <w:tblLayout w:type="fixed"/>
        <w:tblInd w:w="2620" w:type="dxa"/>
        <w:tblCellMar>
          <w:top w:w="0" w:type="dxa"/>
          <w:left w:w="0" w:type="dxa"/>
          <w:bottom w:w="0" w:type="dxa"/>
          <w:right w:w="0" w:type="dxa"/>
        </w:tblCellMar>
      </w:tblPr>
      <w:tr>
        <w:trPr>
          <w:trHeight w:val="188"/>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440" w:type="dxa"/>
            <w:vAlign w:val="bottom"/>
          </w:tcPr>
          <w:p>
            <w:pPr>
              <w:jc w:val="right"/>
              <w:ind w:right="330"/>
              <w:spacing w:after="0"/>
              <w:rPr>
                <w:sz w:val="20"/>
                <w:szCs w:val="20"/>
                <w:color w:val="auto"/>
              </w:rPr>
            </w:pPr>
            <w:r>
              <w:rPr>
                <w:rFonts w:ascii="Arial" w:cs="Arial" w:eastAsia="Arial" w:hAnsi="Arial"/>
                <w:sz w:val="14"/>
                <w:szCs w:val="14"/>
                <w:b w:val="1"/>
                <w:bCs w:val="1"/>
                <w:color w:val="auto"/>
                <w:w w:val="97"/>
              </w:rPr>
              <w:t>Finance Leases</w:t>
            </w:r>
          </w:p>
        </w:tc>
      </w:tr>
      <w:tr>
        <w:trPr>
          <w:trHeight w:val="242"/>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56,594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10,225</w:t>
            </w:r>
          </w:p>
        </w:tc>
      </w:tr>
      <w:tr>
        <w:trPr>
          <w:trHeight w:val="26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74,482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10,060</w:t>
            </w: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71,669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2,436</w:t>
            </w:r>
          </w:p>
        </w:tc>
      </w:tr>
      <w:tr>
        <w:trPr>
          <w:trHeight w:val="26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65,689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62,778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 and thereafter</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164,245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42"/>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Total lease payments</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495,457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22,721</w:t>
            </w:r>
          </w:p>
        </w:tc>
      </w:tr>
      <w:tr>
        <w:trPr>
          <w:trHeight w:val="268"/>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r>
      <w:tr>
        <w:trPr>
          <w:trHeight w:val="252"/>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Total lease liability</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394,764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20,648</w:t>
            </w:r>
          </w:p>
        </w:tc>
      </w:tr>
    </w:tbl>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lease payments under non-cancelable leases and sublease receipts as of December 31, 2018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820" w:type="dxa"/>
        <w:tblCellMar>
          <w:top w:w="0" w:type="dxa"/>
          <w:left w:w="0" w:type="dxa"/>
          <w:bottom w:w="0" w:type="dxa"/>
          <w:right w:w="0" w:type="dxa"/>
        </w:tblCellMar>
      </w:tblP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6"/>
                <w:szCs w:val="16"/>
                <w:color w:val="auto"/>
              </w:rPr>
            </w:pPr>
          </w:p>
        </w:tc>
        <w:tc>
          <w:tcPr>
            <w:tcW w:w="1340" w:type="dxa"/>
            <w:vAlign w:val="bottom"/>
          </w:tcPr>
          <w:p>
            <w:pPr>
              <w:jc w:val="right"/>
              <w:ind w:right="470"/>
              <w:spacing w:after="0"/>
              <w:rPr>
                <w:sz w:val="20"/>
                <w:szCs w:val="20"/>
                <w:color w:val="auto"/>
              </w:rPr>
            </w:pPr>
            <w:r>
              <w:rPr>
                <w:rFonts w:ascii="Arial" w:cs="Arial" w:eastAsia="Arial" w:hAnsi="Arial"/>
                <w:sz w:val="14"/>
                <w:szCs w:val="14"/>
                <w:b w:val="1"/>
                <w:bCs w:val="1"/>
                <w:color w:val="auto"/>
              </w:rPr>
              <w:t>Subleases</w:t>
            </w:r>
          </w:p>
        </w:tc>
      </w:tr>
      <w:tr>
        <w:trPr>
          <w:trHeight w:val="248"/>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21,983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32,755</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w:t>
            </w:r>
          </w:p>
        </w:tc>
      </w:tr>
      <w:tr>
        <w:trPr>
          <w:trHeight w:val="257"/>
        </w:trPr>
        <w:tc>
          <w:tcPr>
            <w:tcW w:w="26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11,283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30,473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(9,324)</w:t>
            </w:r>
          </w:p>
        </w:tc>
      </w:tr>
      <w:tr>
        <w:trPr>
          <w:trHeight w:val="26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w:t>
            </w:r>
          </w:p>
        </w:tc>
      </w:tr>
      <w:tr>
        <w:trPr>
          <w:trHeight w:val="257"/>
        </w:trPr>
        <w:tc>
          <w:tcPr>
            <w:tcW w:w="260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22,710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(8,552)</w:t>
            </w:r>
          </w:p>
        </w:tc>
      </w:tr>
      <w:tr>
        <w:trPr>
          <w:trHeight w:val="26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w:t>
            </w:r>
          </w:p>
        </w:tc>
      </w:tr>
      <w:tr>
        <w:trPr>
          <w:trHeight w:val="257"/>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113,779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(36,312)</w:t>
            </w:r>
          </w:p>
        </w:tc>
      </w:tr>
      <w:tr>
        <w:trPr>
          <w:trHeight w:val="235"/>
        </w:trPr>
        <w:tc>
          <w:tcPr>
            <w:tcW w:w="27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minimum lease payments</w:t>
            </w: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(80,706)</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360"/>
          </w:cols>
          <w:pgMar w:left="240" w:top="127" w:right="12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Cash</w:t>
      </w:r>
    </w:p>
    <w:p>
      <w:pPr>
        <w:spacing w:after="0" w:line="230" w:lineRule="exact"/>
        <w:rPr>
          <w:sz w:val="20"/>
          <w:szCs w:val="20"/>
          <w:color w:val="auto"/>
        </w:rPr>
      </w:pPr>
    </w:p>
    <w:p>
      <w:pPr>
        <w:ind w:right="260" w:firstLine="630"/>
        <w:spacing w:after="0" w:line="323" w:lineRule="auto"/>
        <w:rPr>
          <w:sz w:val="20"/>
          <w:szCs w:val="20"/>
          <w:color w:val="auto"/>
        </w:rPr>
      </w:pPr>
      <w:r>
        <w:rPr>
          <w:rFonts w:ascii="Arial" w:cs="Arial" w:eastAsia="Arial" w:hAnsi="Arial"/>
          <w:sz w:val="16"/>
          <w:szCs w:val="16"/>
          <w:color w:val="auto"/>
        </w:rPr>
        <w:t>The following table provides a reconciliation of cash and cash equivalents together with restricted cash as reported within the condensed consolidated statements of financial condition to the sum of the same such amounts shown in the condensed consolidated statements of cash flows.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6"/>
                <w:szCs w:val="16"/>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b w:val="1"/>
                <w:bCs w:val="1"/>
                <w:color w:val="auto"/>
                <w:w w:val="88"/>
              </w:rPr>
              <w:t>December 31, 2018</w:t>
            </w:r>
          </w:p>
        </w:tc>
      </w:tr>
      <w:tr>
        <w:trPr>
          <w:trHeight w:val="248"/>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771,003</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729,547</w:t>
            </w:r>
          </w:p>
        </w:tc>
      </w:tr>
      <w:tr>
        <w:trPr>
          <w:trHeight w:val="25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17,324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6,500</w:t>
            </w:r>
          </w:p>
        </w:tc>
      </w:tr>
      <w:tr>
        <w:trPr>
          <w:trHeight w:val="235"/>
        </w:trPr>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788,327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736,047</w:t>
            </w:r>
          </w:p>
        </w:tc>
      </w:tr>
      <w:tr>
        <w:trPr>
          <w:trHeight w:val="20"/>
        </w:trPr>
        <w:tc>
          <w:tcPr>
            <w:tcW w:w="7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230"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70"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non-voting common interest units (the “Virtu Financial Units”). As of March 31, 2019 and December 31, 2018, respectively, there were 8,520,755 and 8,760,755 Virtu Financial Units outstanding, respectively, and 240,000 and 3,540,312 Virtu Financial Units and corresponding Class C Common Stock were exchanged into Class A Common Stock, forfeited or repurchased during the three months ended March 31,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24"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are described in, and the full text thereof is filed as an exhibit to, the Company’s 2018 annual report on Form 10-K filed with the Securities and Exchange Commission on March 1, 2019.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In February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 Pursuant to the program, the Company may repurchase shares from time to time in open market transactions, privately negotiated transactions or by other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127" w:right="27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680"/>
        <w:spacing w:after="0" w:line="274" w:lineRule="auto"/>
        <w:rPr>
          <w:sz w:val="20"/>
          <w:szCs w:val="20"/>
          <w:color w:val="auto"/>
        </w:rPr>
      </w:pPr>
      <w:r>
        <w:rPr>
          <w:rFonts w:ascii="Arial" w:cs="Arial" w:eastAsia="Arial" w:hAnsi="Arial"/>
          <w:sz w:val="17"/>
          <w:szCs w:val="17"/>
          <w:color w:val="auto"/>
        </w:rPr>
        <w:t>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100" w:firstLine="630"/>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24" w:lineRule="exact"/>
        <w:rPr>
          <w:sz w:val="20"/>
          <w:szCs w:val="20"/>
          <w:color w:val="auto"/>
        </w:rPr>
      </w:pPr>
    </w:p>
    <w:p>
      <w:pPr>
        <w:jc w:val="both"/>
        <w:ind w:right="160" w:firstLine="630"/>
        <w:spacing w:after="0" w:line="298" w:lineRule="auto"/>
        <w:rPr>
          <w:sz w:val="20"/>
          <w:szCs w:val="20"/>
          <w:color w:val="auto"/>
        </w:rPr>
      </w:pPr>
      <w:r>
        <w:rPr>
          <w:rFonts w:ascii="Arial" w:cs="Arial" w:eastAsia="Arial" w:hAnsi="Arial"/>
          <w:sz w:val="16"/>
          <w:szCs w:val="16"/>
          <w:color w:val="auto"/>
        </w:rPr>
        <w:t>During the three months ended March 31, 2019 and 2018, pursuant to the exchange agreement by and among the Company, Virtu Financial and holders of Virtu Financial Units, certain current and former employees elected to exchange 240,000 and 795,521 units, respectively in Virtu Financial held directly or on their behalf by Virtu Employee Holdco LLC (“Employee Holdco”) on a one-for-one basis for shares of Class A Common Stock.</w:t>
      </w:r>
    </w:p>
    <w:p>
      <w:pPr>
        <w:spacing w:after="0" w:line="155" w:lineRule="exact"/>
        <w:rPr>
          <w:sz w:val="20"/>
          <w:szCs w:val="20"/>
          <w:color w:val="auto"/>
        </w:rPr>
      </w:pPr>
    </w:p>
    <w:p>
      <w:pPr>
        <w:ind w:right="480" w:firstLine="630"/>
        <w:spacing w:after="0" w:line="290"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of KCG, the Company holds approximately 57.0% interest in Virtu Financial at March 31,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Share-based Compensation</w:t>
      </w:r>
    </w:p>
    <w:p>
      <w:pPr>
        <w:spacing w:after="0" w:line="230" w:lineRule="exact"/>
        <w:rPr>
          <w:sz w:val="20"/>
          <w:szCs w:val="20"/>
          <w:color w:val="auto"/>
        </w:rPr>
      </w:pPr>
    </w:p>
    <w:p>
      <w:pPr>
        <w:ind w:right="40" w:firstLine="512"/>
        <w:spacing w:after="0" w:line="274" w:lineRule="auto"/>
        <w:rPr>
          <w:sz w:val="20"/>
          <w:szCs w:val="20"/>
          <w:color w:val="auto"/>
        </w:rPr>
      </w:pPr>
      <w:r>
        <w:rPr>
          <w:rFonts w:ascii="Arial" w:cs="Arial" w:eastAsia="Arial" w:hAnsi="Arial"/>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stock options for the three months ended March 31, 2019 and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Options Outstanding</w:t>
            </w: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0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Remaining Contractual</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Exercise Price Per Share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7,783,000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3,891,500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7,051,000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3,182,000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3,486,150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1,660,400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156,129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156,129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2019</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3,393,579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18.75</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1,607,829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Company recognized $1.4 million and $1.4 million for the three months ended March 31, 2019 and 2018, respectively, of compensation expense in relation to the stock options issued and outstanding. As of March 31, 2019 and December 31, 2018, total unrecognized share-based compensation expense related to unvested stock options was $0.2 million and $1.6 million, respectively, and these amounts are to be recognized over a weighted average period of 0.0 and 0.3 years,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24" w:lineRule="exact"/>
        <w:rPr>
          <w:sz w:val="20"/>
          <w:szCs w:val="20"/>
          <w:color w:val="auto"/>
        </w:rPr>
      </w:pPr>
    </w:p>
    <w:p>
      <w:pPr>
        <w:ind w:right="40" w:firstLine="630"/>
        <w:spacing w:after="0" w:line="280" w:lineRule="auto"/>
        <w:rPr>
          <w:sz w:val="20"/>
          <w:szCs w:val="20"/>
          <w:color w:val="auto"/>
        </w:rPr>
      </w:pPr>
      <w:r>
        <w:rPr>
          <w:rFonts w:ascii="Arial" w:cs="Arial" w:eastAsia="Arial" w:hAnsi="Arial"/>
          <w:sz w:val="16"/>
          <w:szCs w:val="16"/>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and Restricted Stock Units</w:t>
      </w:r>
    </w:p>
    <w:p>
      <w:pPr>
        <w:spacing w:after="0" w:line="224" w:lineRule="exact"/>
        <w:rPr>
          <w:sz w:val="20"/>
          <w:szCs w:val="20"/>
          <w:color w:val="auto"/>
        </w:rPr>
      </w:pPr>
    </w:p>
    <w:p>
      <w:pPr>
        <w:ind w:right="20" w:firstLine="630"/>
        <w:spacing w:after="0" w:line="280" w:lineRule="auto"/>
        <w:rPr>
          <w:sz w:val="20"/>
          <w:szCs w:val="20"/>
          <w:color w:val="auto"/>
        </w:rPr>
      </w:pPr>
      <w:r>
        <w:rPr>
          <w:rFonts w:ascii="Arial" w:cs="Arial" w:eastAsia="Arial" w:hAnsi="Arial"/>
          <w:sz w:val="16"/>
          <w:szCs w:val="16"/>
          <w:color w:val="auto"/>
        </w:rPr>
        <w:t>Pursuant to the Amended and Restated 2015 Management Incentive Plan as described in Note 18 “Capital Structure”, subsequent to the IPO, shares of immediately vested Class A Common Stock and restricted stock units were granted, with the latter vesting over a period of up to 4 years. The fair value of the Class A Common Stock and RSUs was determined based on a volume weighted average price and is being recognized on a straight-line basis over the vesting period. For the three months ended March 31, 2019 and 2018, respectively, there were 423,393 and 594,536 shares of immediately vested Class A Common Stock granted as part of year-end compensation. In addition, the Company accrued compensation expense of $2.7 million and $3.9 million for the three months ended March 31, 2019 and 2018,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the RSUs (including the Assumed Awards):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880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9"/>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91"/>
              </w:rPr>
              <w:t>Average Fair</w:t>
            </w: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853,047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57"/>
        </w:trPr>
        <w:tc>
          <w:tcPr>
            <w:tcW w:w="88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1,044,690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68"/>
        </w:trPr>
        <w:tc>
          <w:tcPr>
            <w:tcW w:w="8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2018</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1,867,111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1,378,922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57"/>
        </w:trPr>
        <w:tc>
          <w:tcPr>
            <w:tcW w:w="88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3,280,742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268"/>
        </w:trPr>
        <w:tc>
          <w:tcPr>
            <w:tcW w:w="8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(156,414)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(562,537)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3,940,713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The Company recognized $5.0 million and $4.0 million for the three months ended March 31, 2019 and 2018, respectively, of compensation expense in relation to the restricted stock units. As of March 31, 2019 and December 31,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total unrecognized share-based compensation expense related to unvested RSUs was $83.5 million and $21.3 million, respectively, and this amount is to be recognized over a weighted average period of 2.0 and 1.7 years,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Regulatory Requirement</w:t>
      </w:r>
    </w:p>
    <w:p>
      <w:pPr>
        <w:spacing w:after="0" w:line="20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As of March 31, 2019 and December 31, 2018, U.S. broker-dealer subsidiaries of the Company are subject to the SEC Uniform Net Capital Rule 15c3-1, which requires the maintenance of minimum net capital for each of the five U.S. broker-dealers as detailed in the table below. Pursuant to NYSE rules, VAL was also required to maintain $1.15 million of capital in connection with the operation of its designated market maker (“DMM”) business as of March 31, 2019. The required amount is determined under the exchange rules as the greater of (i) $1 million or (ii) $75,000 for every 0.1% of NYSE transaction dollar volume in each of the securities for which the Company is registered as the DMM.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March 31, 2019 were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333,184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2,152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331,032</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111,199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110,199</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9,277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8,277</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ITG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58,270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57,270</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Alternet Securities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December 31, 2018 were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381,211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379,176</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133,850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132,850</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8,457</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320" w:firstLine="630"/>
        <w:spacing w:after="0" w:line="322" w:lineRule="auto"/>
        <w:rPr>
          <w:sz w:val="20"/>
          <w:szCs w:val="20"/>
          <w:color w:val="auto"/>
        </w:rPr>
      </w:pPr>
      <w:r>
        <w:rPr>
          <w:rFonts w:ascii="Arial" w:cs="Arial" w:eastAsia="Arial" w:hAnsi="Arial"/>
          <w:sz w:val="17"/>
          <w:szCs w:val="17"/>
          <w:color w:val="auto"/>
        </w:rPr>
        <w:t xml:space="preserve">As of March 31, 2019, VAL and VITG had $2.0 million and $7.4 million, respectively, of cash in special reserve bank accounts for the benefit of customers pursuant to SEC Rule 15c3-3, </w:t>
      </w:r>
      <w:r>
        <w:rPr>
          <w:rFonts w:ascii="Arial" w:cs="Arial" w:eastAsia="Arial" w:hAnsi="Arial"/>
          <w:sz w:val="17"/>
          <w:szCs w:val="17"/>
          <w:i w:val="1"/>
          <w:iCs w:val="1"/>
          <w:color w:val="auto"/>
        </w:rPr>
        <w:t>Computation for Determination of Reserve Requirements,</w:t>
      </w:r>
      <w:r>
        <w:rPr>
          <w:rFonts w:ascii="Arial" w:cs="Arial" w:eastAsia="Arial" w:hAnsi="Arial"/>
          <w:sz w:val="17"/>
          <w:szCs w:val="17"/>
          <w:color w:val="auto"/>
        </w:rPr>
        <w:t xml:space="preserve"> and $1.0 million and $4.4 million, respectively, of cash in reserve bank accounts for the benefit of proprietary accounts of brokers.</w:t>
      </w:r>
    </w:p>
    <w:p>
      <w:pPr>
        <w:spacing w:after="0" w:line="145" w:lineRule="exact"/>
        <w:rPr>
          <w:sz w:val="20"/>
          <w:szCs w:val="20"/>
          <w:color w:val="auto"/>
        </w:rPr>
      </w:pPr>
    </w:p>
    <w:p>
      <w:pPr>
        <w:ind w:right="220" w:firstLine="630"/>
        <w:spacing w:after="0" w:line="265"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 The regulatory net capital balances and regulatory capital requirements applicable to these subsidiaries as of March 31, 2019 were as follows: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40"/>
          </w:cols>
          <w:pgMar w:left="240" w:top="127" w:right="31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Canada Corp</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17,870</w:t>
            </w:r>
          </w:p>
        </w:tc>
        <w:tc>
          <w:tcPr>
            <w:tcW w:w="120" w:type="dxa"/>
            <w:vAlign w:val="bottom"/>
          </w:tcPr>
          <w:p>
            <w:pPr>
              <w:spacing w:after="0"/>
              <w:rPr>
                <w:sz w:val="22"/>
                <w:szCs w:val="22"/>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17,683</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TriAct Canada Marketplace LP</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Financial Canada ULC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Ireland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Europe Limited</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53,787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32,768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21,019</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Financial Ireland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78,227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29,919</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48,308</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Kingdom</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UK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KCG Europe Limited</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50,443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32,000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18,443</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Australia Limited</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27,601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16,102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11,499</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Hong Kong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52"/>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Singapore Pte Limited</w:t>
            </w:r>
          </w:p>
        </w:tc>
        <w:tc>
          <w:tcPr>
            <w:tcW w:w="1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Geographic Information and Business Segments</w:t>
      </w:r>
    </w:p>
    <w:p>
      <w:pPr>
        <w:spacing w:after="0" w:line="204" w:lineRule="exact"/>
        <w:rPr>
          <w:sz w:val="20"/>
          <w:szCs w:val="20"/>
          <w:color w:val="auto"/>
        </w:rPr>
      </w:pPr>
    </w:p>
    <w:p>
      <w:pPr>
        <w:ind w:firstLine="630"/>
        <w:spacing w:after="0" w:line="305" w:lineRule="auto"/>
        <w:rPr>
          <w:sz w:val="20"/>
          <w:szCs w:val="20"/>
          <w:color w:val="auto"/>
        </w:rPr>
      </w:pPr>
      <w:r>
        <w:rPr>
          <w:rFonts w:ascii="Arial" w:cs="Arial" w:eastAsia="Arial" w:hAnsi="Arial"/>
          <w:sz w:val="15"/>
          <w:szCs w:val="15"/>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2019 and 2018</w:t>
      </w:r>
      <w:r>
        <w:rPr>
          <w:rFonts w:ascii="Arial" w:cs="Arial" w:eastAsia="Arial" w:hAnsi="Arial"/>
          <w:sz w:val="13"/>
          <w:szCs w:val="13"/>
          <w:color w:val="auto"/>
        </w:rPr>
        <w:t>:</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261"/>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United States (1)</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291,336</w:t>
            </w:r>
          </w:p>
        </w:tc>
        <w:tc>
          <w:tcPr>
            <w:tcW w:w="100" w:type="dxa"/>
            <w:vAlign w:val="bottom"/>
          </w:tcPr>
          <w:p>
            <w:pPr>
              <w:spacing w:after="0"/>
              <w:rPr>
                <w:sz w:val="22"/>
                <w:szCs w:val="22"/>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743,152</w:t>
            </w:r>
          </w:p>
        </w:tc>
      </w:tr>
      <w:tr>
        <w:trPr>
          <w:trHeight w:val="268"/>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35,675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14,023</w:t>
            </w:r>
          </w:p>
        </w:tc>
      </w:tr>
      <w:tr>
        <w:trPr>
          <w:trHeight w:val="257"/>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United Kingdom</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11,600</w:t>
            </w:r>
          </w:p>
        </w:tc>
      </w:tr>
      <w:tr>
        <w:trPr>
          <w:trHeight w:val="268"/>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Singapore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26,838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46,200</w:t>
            </w:r>
          </w:p>
        </w:tc>
      </w:tr>
      <w:tr>
        <w:trPr>
          <w:trHeight w:val="20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Canada</w:t>
            </w:r>
          </w:p>
        </w:tc>
        <w:tc>
          <w:tcPr>
            <w:tcW w:w="34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5,212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w:t>
            </w:r>
          </w:p>
        </w:tc>
      </w:tr>
      <w:tr>
        <w:trPr>
          <w:trHeight w:val="235"/>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362,991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815,053</w:t>
            </w:r>
          </w:p>
        </w:tc>
      </w:tr>
    </w:tbl>
    <w:p>
      <w:pPr>
        <w:spacing w:after="0" w:line="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 Includes $337.6 million gain on sale of BondPoint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-98425</wp:posOffset>
            </wp:positionV>
            <wp:extent cx="1958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8340" cy="8255"/>
                    </a:xfrm>
                    <a:prstGeom prst="rect">
                      <a:avLst/>
                    </a:prstGeom>
                    <a:noFill/>
                  </pic:spPr>
                </pic:pic>
              </a:graphicData>
            </a:graphic>
          </wp:anchor>
        </w:drawing>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24" w:lineRule="exact"/>
        <w:rPr>
          <w:sz w:val="20"/>
          <w:szCs w:val="20"/>
          <w:color w:val="auto"/>
        </w:rPr>
      </w:pPr>
    </w:p>
    <w:p>
      <w:pPr>
        <w:jc w:val="both"/>
        <w:ind w:firstLine="630"/>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alternative trading systems (“ATS”).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pacing w:after="0" w:line="168"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The Execution Services segment comprises agency-based trading and trading venues, offering execution services in global equities, options, futures and fixed income on behalf of institutions, banks and broker-dealers as well as technology services revenues. The Company earns commissions and commission equivalents as an agent on behalf of clients as well as between principals to transactions; in addition, the Company will commit capital on behalf of clients as needed. Agency-based,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127"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orders in POSIT Alert and in the Company's ATSs, including Virtu MatchIt, POSIT, and MATCHNow.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183" w:lineRule="exact"/>
        <w:rPr>
          <w:sz w:val="20"/>
          <w:szCs w:val="20"/>
          <w:color w:val="auto"/>
        </w:rPr>
      </w:pPr>
    </w:p>
    <w:p>
      <w:pPr>
        <w:ind w:right="440" w:firstLine="630"/>
        <w:spacing w:after="0" w:line="290"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58"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2019 and 2018 are summarized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20" w:type="dxa"/>
            <w:vAlign w:val="bottom"/>
          </w:tcPr>
          <w:p>
            <w:pPr>
              <w:jc w:val="right"/>
              <w:ind w:right="47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279,221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83,518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362,991</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47,539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(44,405)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(16,204)</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432,536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383,779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815,053</w:t>
            </w:r>
          </w:p>
        </w:tc>
        <w:tc>
          <w:tcPr>
            <w:tcW w:w="0" w:type="dxa"/>
            <w:vAlign w:val="bottom"/>
          </w:tcPr>
          <w:p>
            <w:pPr>
              <w:spacing w:after="0"/>
              <w:rPr>
                <w:sz w:val="1"/>
                <w:szCs w:val="1"/>
                <w:color w:val="auto"/>
              </w:rPr>
            </w:pPr>
          </w:p>
        </w:tc>
      </w:tr>
      <w:tr>
        <w:trPr>
          <w:trHeight w:val="252"/>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163,163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331,185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468,536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250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Related Party Transactions</w:t>
      </w:r>
    </w:p>
    <w:p>
      <w:pPr>
        <w:spacing w:after="0" w:line="230" w:lineRule="exact"/>
        <w:rPr>
          <w:sz w:val="20"/>
          <w:szCs w:val="20"/>
          <w:color w:val="auto"/>
        </w:rPr>
      </w:pPr>
    </w:p>
    <w:p>
      <w:pPr>
        <w:ind w:right="360" w:firstLine="630"/>
        <w:spacing w:after="0" w:line="290"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March 31, 2019, and December 31, 2018 the Company had payables of $2.1 million and $3.0 million to its affiliates, respectively.</w:t>
      </w:r>
    </w:p>
    <w:p>
      <w:pPr>
        <w:spacing w:after="0" w:line="158"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Company has held a minority interest in SBI since 2016 (see Note 11 “Financial Assets and Liabilities”). The Company pays exchange fees to SBI for the trading activities conducted on its proprietary trading system. The Company paid $3.4 million and $2.3 million for the three months ended March 31, 2019 and 2018, respectively, to SBI for these trading activities.</w:t>
      </w:r>
    </w:p>
    <w:p>
      <w:pPr>
        <w:spacing w:after="0" w:line="170"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$5.2 million and $5.6 million for the three months ended March 31, 2019 and 2018, respectively.</w:t>
      </w:r>
    </w:p>
    <w:p>
      <w:pPr>
        <w:spacing w:after="0" w:line="177"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For the three months ended March 31, 2019 and 2018, the Company paid $0.3 million and $0.7 million, respectively, to Level 3 for these services.</w:t>
      </w:r>
    </w:p>
    <w:p>
      <w:pPr>
        <w:spacing w:after="0" w:line="170"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The Company purchases and leases computer equipment and maintenance and support from affiliates of Dell Inc. (“Dell”). Temasek and its affiliates have a significant ownership interest in Dell. For the three months ended March 31, 2019 and 2018, the Company paid $1.1 million and $0.6 million, respectively, to Dell for these services.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Subsequent Events</w:t>
      </w:r>
    </w:p>
    <w:p>
      <w:pPr>
        <w:spacing w:after="0" w:line="20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0"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On May 3, 2019, the Company’s board of directors declared a dividend of $0.24 per share of Class A Common Stock and Class B Common Stock and per Restricted Stock Unit that will be paid on June 17, 2019 to holders of record as of June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20"/>
          </w:cols>
          <w:pgMar w:left="240" w:top="127" w:right="3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8"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i w:val="1"/>
          <w:iCs w:val="1"/>
          <w:color w:val="auto"/>
        </w:rPr>
        <w:t>The following management’s discussion and analysis covers the three months ended March 31, 2019, and 2018 and should be read in conjunction with the condensed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6" w:lineRule="exact"/>
        <w:rPr>
          <w:sz w:val="20"/>
          <w:szCs w:val="20"/>
          <w:color w:val="auto"/>
        </w:rPr>
      </w:pPr>
    </w:p>
    <w:p>
      <w:pPr>
        <w:ind w:firstLine="630"/>
        <w:spacing w:after="0" w:line="27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Annual Report on Form 10-K for the year ended December 31, 2018 as filed with the Securities and Exchange Commission (“SEC”) on March 1, 2019 (the “2018 Form 10-K”), could affect our actual financial results or results of operations and cash flows, and could cause actual results to differ materially from those in such forward-looking statements, including but not limited to:</w:t>
      </w:r>
    </w:p>
    <w:p>
      <w:pPr>
        <w:spacing w:after="0" w:line="67" w:lineRule="exact"/>
        <w:rPr>
          <w:sz w:val="20"/>
          <w:szCs w:val="20"/>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the Acquisition of KCG on existing business relationships, operating results, and ongoing business operations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effect of the ITG Acquisition (as defined below) on existing business relationships, operating results, and ongoing business operations generally;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127"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960" w:right="540" w:hanging="168"/>
        <w:spacing w:after="0" w:line="290"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have incurred in connection with the ITG Acquisition, and the integration of ITG (as defined below) into our business;</w:t>
      </w:r>
    </w:p>
    <w:p>
      <w:pPr>
        <w:spacing w:after="0" w:line="52" w:lineRule="exact"/>
        <w:rPr>
          <w:rFonts w:ascii="Arial" w:cs="Arial" w:eastAsia="Arial" w:hAnsi="Arial"/>
          <w:sz w:val="17"/>
          <w:szCs w:val="17"/>
          <w:color w:val="auto"/>
        </w:rPr>
      </w:pPr>
    </w:p>
    <w:p>
      <w:pPr>
        <w:ind w:left="960" w:right="520" w:hanging="168"/>
        <w:spacing w:after="0" w:line="290"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ITG business with ours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assumption of potential liabilities and risks relating to ITG's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9" w:lineRule="exact"/>
        <w:rPr>
          <w:rFonts w:ascii="Arial" w:cs="Arial" w:eastAsia="Arial" w:hAnsi="Arial"/>
          <w:sz w:val="17"/>
          <w:szCs w:val="17"/>
          <w:color w:val="auto"/>
        </w:rPr>
      </w:pPr>
    </w:p>
    <w:p>
      <w:pPr>
        <w:ind w:left="960" w:right="120" w:hanging="168"/>
        <w:spacing w:after="0" w:line="290"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74"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5"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329" w:lineRule="exact"/>
        <w:rPr>
          <w:sz w:val="20"/>
          <w:szCs w:val="20"/>
          <w:color w:val="auto"/>
        </w:rPr>
      </w:pPr>
    </w:p>
    <w:p>
      <w:pPr>
        <w:ind w:right="100" w:firstLine="630"/>
        <w:spacing w:after="0" w:line="290" w:lineRule="auto"/>
        <w:rPr>
          <w:sz w:val="20"/>
          <w:szCs w:val="20"/>
          <w:color w:val="auto"/>
        </w:rPr>
      </w:pPr>
      <w:r>
        <w:rPr>
          <w:rFonts w:ascii="Arial" w:cs="Arial" w:eastAsia="Arial" w:hAnsi="Arial"/>
          <w:sz w:val="16"/>
          <w:szCs w:val="16"/>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w:t>
      </w:r>
    </w:p>
    <w:p>
      <w:pPr>
        <w:spacing w:after="0" w:line="230"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Our condensed consolidated financial statements for the three months ended March 31, 2019 and 2018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of the Company for the periods following the ITG Closing Date reflect ITG's and our balances, and reflect the impact of purchase accounting adjustments. The financial results for the three months ended March 31, 2019 comprise our results for the entire applicable period and the results of ITG from the ITG Closing Date through March 31, 2019. All periods prior to the ITG Closing Date comprise solely our results.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while at the same time earning attractive margins and returns. We leverage our market structure expertise and scaled, multi-asset technology infrastructure to provide a complete suite of client solutions, including transparent agency execution and broker-neutral offerings.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and across additional securities and other financial instruments and asset classes without significant incremental costs or third party licensing or processing fees.</w:t>
      </w:r>
    </w:p>
    <w:p>
      <w:pPr>
        <w:spacing w:after="0" w:line="164" w:lineRule="exact"/>
        <w:rPr>
          <w:sz w:val="20"/>
          <w:szCs w:val="20"/>
          <w:color w:val="auto"/>
        </w:rPr>
      </w:pPr>
    </w:p>
    <w:p>
      <w:pPr>
        <w:ind w:right="120" w:firstLine="630"/>
        <w:spacing w:after="0" w:line="298" w:lineRule="auto"/>
        <w:rPr>
          <w:sz w:val="20"/>
          <w:szCs w:val="20"/>
          <w:color w:val="auto"/>
        </w:rPr>
      </w:pPr>
      <w:r>
        <w:rPr>
          <w:rFonts w:ascii="Arial" w:cs="Arial" w:eastAsia="Arial" w:hAnsi="Arial"/>
          <w:sz w:val="16"/>
          <w:szCs w:val="16"/>
          <w:color w:val="auto"/>
        </w:rPr>
        <w:t>We believe that technology-enabled market makers and execution services providers like Virtu serve an important role in maintaining and improving the overall health and efficiency of the global capital markets by ensuring that market participants have an efficient means to transfer risk and analyze the quality of execution. All market participants benefit from the increased liquidity, lower overall trading costs and execution transparency that Virtu provides.</w:t>
      </w:r>
    </w:p>
    <w:p>
      <w:pPr>
        <w:spacing w:after="0" w:line="155" w:lineRule="exact"/>
        <w:rPr>
          <w:sz w:val="20"/>
          <w:szCs w:val="20"/>
          <w:color w:val="auto"/>
        </w:rPr>
      </w:pPr>
    </w:p>
    <w:p>
      <w:pPr>
        <w:ind w:right="80" w:firstLine="630"/>
        <w:spacing w:after="0" w:line="326" w:lineRule="auto"/>
        <w:rPr>
          <w:sz w:val="20"/>
          <w:szCs w:val="20"/>
          <w:color w:val="auto"/>
        </w:rPr>
      </w:pPr>
      <w:r>
        <w:rPr>
          <w:rFonts w:ascii="Arial" w:cs="Arial" w:eastAsia="Arial" w:hAnsi="Arial"/>
          <w:sz w:val="15"/>
          <w:szCs w:val="15"/>
          <w:color w:val="auto"/>
        </w:rPr>
        <w:t>Our execution services and client solutions products are transparent, because we believe transparency makes markets more efficient and helps investors make better, more informed decisions. We use the best technology to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37" w:lineRule="exact"/>
        <w:rPr>
          <w:sz w:val="20"/>
          <w:szCs w:val="20"/>
          <w:color w:val="auto"/>
        </w:rPr>
      </w:pPr>
    </w:p>
    <w:p>
      <w:pPr>
        <w:ind w:right="240" w:firstLine="534"/>
        <w:spacing w:after="0" w:line="274" w:lineRule="auto"/>
        <w:rPr>
          <w:sz w:val="20"/>
          <w:szCs w:val="20"/>
          <w:color w:val="auto"/>
        </w:rPr>
      </w:pPr>
      <w:r>
        <w:rPr>
          <w:rFonts w:ascii="Arial" w:cs="Arial" w:eastAsia="Arial" w:hAnsi="Arial"/>
          <w:sz w:val="17"/>
          <w:szCs w:val="17"/>
          <w:color w:val="auto"/>
        </w:rPr>
        <w:t>On July 20, 2017 (the “KCG Closing Date”), the Company completed the all-cash acquisition of KCG Holdings, Inc. (“KCG”) (the “Acquisition of KCG”). KCG was a leading independent securities firm offering clients a range of services designed to address trading needs across asset classes, product types and geographies.</w:t>
      </w:r>
    </w:p>
    <w:p>
      <w:pPr>
        <w:spacing w:after="0" w:line="170"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As described below, we completed the ITG Acquisition on the ITG Closing Date. ITG was a global financial technology company helping leading brokers and asset managers improve returns for investors around the world. ITG empowered traders to reduce the end-to-end cost of implementing investments via liquidity, execution, analytics and workflow technology solutions.</w:t>
      </w:r>
    </w:p>
    <w:p>
      <w:pPr>
        <w:spacing w:after="0" w:line="170"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24"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We are a leading financial firm that leverages cutting edge technology to deliver liquidity to the global markets and innovative, transparent trading solutions to our clients. 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best technology to deliver liquidity to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80" w:lineRule="exact"/>
        <w:rPr>
          <w:sz w:val="20"/>
          <w:szCs w:val="20"/>
          <w:color w:val="auto"/>
        </w:rPr>
      </w:pPr>
    </w:p>
    <w:p>
      <w:pPr>
        <w:jc w:val="both"/>
        <w:ind w:right="40" w:firstLine="630"/>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24" w:lineRule="exact"/>
        <w:rPr>
          <w:sz w:val="20"/>
          <w:szCs w:val="20"/>
          <w:color w:val="auto"/>
        </w:rPr>
      </w:pPr>
    </w:p>
    <w:p>
      <w:pPr>
        <w:ind w:right="40" w:firstLine="630"/>
        <w:spacing w:after="0" w:line="280" w:lineRule="auto"/>
        <w:rPr>
          <w:sz w:val="20"/>
          <w:szCs w:val="20"/>
          <w:color w:val="auto"/>
        </w:rPr>
      </w:pPr>
      <w:r>
        <w:rPr>
          <w:rFonts w:ascii="Arial" w:cs="Arial" w:eastAsia="Arial" w:hAnsi="Arial"/>
          <w:sz w:val="16"/>
          <w:szCs w:val="16"/>
          <w:color w:val="auto"/>
        </w:rPr>
        <w:t>We offer agency execution services and trading venues that provide transparent trading in global equities, ETFs, fixed income, currencies, and commodities to institutions, banks and broker-dealers. We generally earn commissions as an agent between principals for transactions. Agency-based,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POSIT Alert and in our Alternative Trading Systems (“ATS”), including Virtu MatchIt, POSIT and MATCHNow. We also earn revenues (a) by providing our proprietary technology and infrastructure to select third parties for a service fee, (b) through workflow technology, our integrated, broker-neutral trading tools delivered across the globe including trade order and execution management and order management software applications and network connectivity and (c) through trading analytics, including (1) tools enabling portfolio managers and traders to improve pre-trade,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real-time and post-trade execution performance, (2) portfolio construction and optimization decisions and (3) securities valuation.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24" w:lineRule="exact"/>
        <w:rPr>
          <w:sz w:val="20"/>
          <w:szCs w:val="20"/>
          <w:color w:val="auto"/>
        </w:rPr>
      </w:pPr>
    </w:p>
    <w:p>
      <w:pPr>
        <w:ind w:right="80" w:firstLine="630"/>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Investment Technology Group, Inc.</w:t>
      </w:r>
    </w:p>
    <w:p>
      <w:pPr>
        <w:spacing w:after="0" w:line="224" w:lineRule="exact"/>
        <w:rPr>
          <w:sz w:val="20"/>
          <w:szCs w:val="20"/>
          <w:color w:val="auto"/>
        </w:rPr>
      </w:pPr>
    </w:p>
    <w:p>
      <w:pPr>
        <w:ind w:firstLine="630"/>
        <w:spacing w:after="0" w:line="277" w:lineRule="auto"/>
        <w:rPr>
          <w:sz w:val="20"/>
          <w:szCs w:val="20"/>
          <w:color w:val="auto"/>
        </w:rPr>
      </w:pPr>
      <w:r>
        <w:rPr>
          <w:rFonts w:ascii="Arial" w:cs="Arial" w:eastAsia="Arial" w:hAnsi="Arial"/>
          <w:sz w:val="16"/>
          <w:szCs w:val="16"/>
          <w:color w:val="auto"/>
        </w:rPr>
        <w:t>On March 1, 2019 (the “ITG Closing Date”), we announced the completion of our previously announced acquisition of Investment Technology Group, Inc. (“ITG”) in a cash transaction valued at $30.30 per ITG share, or a total of approximately $1.0 billion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(the “Credit Agreement”), with the lenders party thereto, Jefferies Finance LLC, as administrative agent and Jefferies Finance LLC and RBC Capital Markets, as joint lead arrangers and joint bookrunners. The Credit Agreement provides</w:t>
      </w:r>
    </w:p>
    <w:p>
      <w:pPr>
        <w:ind w:right="80" w:firstLine="5"/>
        <w:spacing w:after="0" w:line="260" w:lineRule="auto"/>
        <w:tabs>
          <w:tab w:leader="none" w:pos="209"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senior secured first lien term loan (the “First Lien Term Loan Facility”) in an aggregate principal amount of $1.5 billion, drawn in its entirety on the ITG Closing Date, with approximately $404.5 million being borrowed by VFH to repay all amounts outstanding under its existing term loan facility and the remaining approximately $1,095 million being borrowed by the Acquisition Borrower to finance the consideration and fees and expenses to be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initial public offering in April 2015 (the “IPO”) and was subsequently amended and restated following receipt of approval from the Company’s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stockholders on June 30, 2017 (the “Amended and Restated 2015 Management Incentive Plan”). The Amended and Restated 2015 Management Incentive Plan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provides for the grant of stock options, restricted stock units, and other awards based on an aggregate of 16,000,000 shares of Class A common stock, par value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$0.00001 per share (the “Class A Common Stock”), subject to additional sublimits, including limits on the total option grant to any one participant in a single year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and the total performance award to any one participant in a single year.</w:t>
      </w:r>
    </w:p>
    <w:p>
      <w:pPr>
        <w:spacing w:after="0" w:line="186" w:lineRule="exact"/>
        <w:rPr>
          <w:sz w:val="20"/>
          <w:szCs w:val="20"/>
          <w:color w:val="auto"/>
        </w:rPr>
      </w:pPr>
    </w:p>
    <w:p>
      <w:pPr>
        <w:ind w:right="80" w:firstLine="630"/>
        <w:spacing w:after="0" w:line="262"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March 31, 2019, options to purchase 1,528,750 shares in the aggregate were forfeited and 4,049,058 options were exercised. The fair value of the stock option grants was determined through the application of the Black-Scholes-Merton model and is being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24" w:lineRule="exact"/>
        <w:rPr>
          <w:sz w:val="20"/>
          <w:szCs w:val="20"/>
          <w:color w:val="auto"/>
        </w:rPr>
      </w:pPr>
    </w:p>
    <w:p>
      <w:pPr>
        <w:ind w:right="60" w:firstLine="630"/>
        <w:spacing w:after="0" w:line="282" w:lineRule="auto"/>
        <w:rPr>
          <w:sz w:val="20"/>
          <w:szCs w:val="20"/>
          <w:color w:val="auto"/>
        </w:rPr>
      </w:pPr>
      <w:r>
        <w:rPr>
          <w:rFonts w:ascii="Arial" w:cs="Arial" w:eastAsia="Arial" w:hAnsi="Arial"/>
          <w:sz w:val="16"/>
          <w:szCs w:val="16"/>
          <w:color w:val="auto"/>
        </w:rPr>
        <w:t>There are no material differences between our condensed consolidated financial statements and the financial statements of Virtu Financial LLC (“Virtu Financial”) except as follows: (i) cash and cash equivalents reflected on our condensed consolidated statement of financial condition in the amount of $4.0 million; (ii) deferred tax assets reflected on our condensed consolidated statement of financial condition in the amount of $186.2 million and tax receivable agreement obligation in the amount of $214.4 million, in each case as described in greater detail in Note 6 “Tax Receivable Agreements” of Part I Item 1 “Financial Statements” of this quarterly report on Form 10-Q; (iii) a portion of the member's equity of Virtu Financial is represented as non-controlling interest on our condensed consolidated statement of financial condition; and (iv) provision for (benefit from) corporate income tax in the amount of $(2.5) million reflected on our condensed consolidated statements of comprehensive income for the three months ended March 31,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0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The following table shows the i) Total revenue, ii) Total operating expenses, and iii) Income before income taxes and noncontrolling interest by segment for the three months ended March 31, 2019 and 2018:</w:t>
      </w:r>
    </w:p>
    <w:p>
      <w:pPr>
        <w:spacing w:after="0" w:line="344" w:lineRule="exact"/>
        <w:rPr>
          <w:sz w:val="20"/>
          <w:szCs w:val="20"/>
          <w:color w:val="auto"/>
        </w:rPr>
      </w:pPr>
    </w:p>
    <w:tbl>
      <w:tblPr>
        <w:tblLayout w:type="fixed"/>
        <w:tblInd w:w="1540" w:type="dxa"/>
        <w:tblCellMar>
          <w:top w:w="0" w:type="dxa"/>
          <w:left w:w="0" w:type="dxa"/>
          <w:bottom w:w="0" w:type="dxa"/>
          <w:right w:w="0" w:type="dxa"/>
        </w:tblCellMar>
      </w:tblPr>
      <w:tr>
        <w:trPr>
          <w:trHeight w:val="18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b w:val="1"/>
                <w:bCs w:val="1"/>
                <w:color w:val="auto"/>
              </w:rPr>
              <w:t>2018</w:t>
            </w:r>
          </w:p>
        </w:tc>
      </w:tr>
      <w:tr>
        <w:trPr>
          <w:trHeight w:val="242"/>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279,221</w:t>
            </w:r>
          </w:p>
        </w:tc>
        <w:tc>
          <w:tcPr>
            <w:tcW w:w="100" w:type="dxa"/>
            <w:vAlign w:val="bottom"/>
          </w:tcPr>
          <w:p>
            <w:pPr>
              <w:spacing w:after="0"/>
              <w:rPr>
                <w:sz w:val="21"/>
                <w:szCs w:val="21"/>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432,536</w:t>
            </w:r>
          </w:p>
        </w:tc>
      </w:tr>
      <w:tr>
        <w:trPr>
          <w:trHeight w:val="26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231,682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269,373</w:t>
            </w:r>
          </w:p>
        </w:tc>
      </w:tr>
      <w:tr>
        <w:trPr>
          <w:trHeight w:val="242"/>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47,539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163,163</w:t>
            </w:r>
          </w:p>
        </w:tc>
      </w:tr>
      <w:tr>
        <w:trPr>
          <w:trHeight w:val="26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7"/>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83,518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383,779</w:t>
            </w:r>
          </w:p>
        </w:tc>
      </w:tr>
      <w:tr>
        <w:trPr>
          <w:trHeight w:val="26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127,923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52,593</w:t>
            </w:r>
          </w:p>
        </w:tc>
      </w:tr>
      <w:tr>
        <w:trPr>
          <w:trHeight w:val="242"/>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331,186</w:t>
            </w:r>
          </w:p>
        </w:tc>
      </w:tr>
      <w:tr>
        <w:trPr>
          <w:trHeight w:val="26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7"/>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(1,262)</w:t>
            </w:r>
          </w:p>
        </w:tc>
      </w:tr>
      <w:tr>
        <w:trPr>
          <w:trHeight w:val="26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19,590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24,550</w:t>
            </w:r>
          </w:p>
        </w:tc>
      </w:tr>
      <w:tr>
        <w:trPr>
          <w:trHeight w:val="242"/>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(25,812)</w:t>
            </w:r>
          </w:p>
        </w:tc>
      </w:tr>
      <w:tr>
        <w:trPr>
          <w:trHeight w:val="26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7"/>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362,991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815,053</w:t>
            </w:r>
          </w:p>
        </w:tc>
      </w:tr>
      <w:tr>
        <w:trPr>
          <w:trHeight w:val="26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379,195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346,517</w:t>
            </w:r>
          </w:p>
        </w:tc>
      </w:tr>
      <w:tr>
        <w:trPr>
          <w:trHeight w:val="237"/>
        </w:trPr>
        <w:tc>
          <w:tcPr>
            <w:tcW w:w="506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(16,204)</w:t>
            </w:r>
          </w:p>
        </w:tc>
        <w:tc>
          <w:tcPr>
            <w:tcW w:w="100" w:type="dxa"/>
            <w:vAlign w:val="bottom"/>
          </w:tcPr>
          <w:p>
            <w:pPr>
              <w:spacing w:after="0"/>
              <w:rPr>
                <w:sz w:val="20"/>
                <w:szCs w:val="20"/>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468,536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00"/>
          </w:cols>
          <w:pgMar w:left="240" w:top="127" w:right="3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154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61"/>
        </w:trPr>
        <w:tc>
          <w:tcPr>
            <w:tcW w:w="5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257,540</w:t>
            </w:r>
          </w:p>
        </w:tc>
        <w:tc>
          <w:tcPr>
            <w:tcW w:w="120" w:type="dxa"/>
            <w:vAlign w:val="bottom"/>
          </w:tcPr>
          <w:p>
            <w:pPr>
              <w:spacing w:after="0"/>
              <w:rPr>
                <w:sz w:val="22"/>
                <w:szCs w:val="22"/>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406,162</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29,131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17,949</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53,844</w:t>
            </w:r>
          </w:p>
        </w:tc>
      </w:tr>
      <w:tr>
        <w:trPr>
          <w:trHeight w:val="262"/>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1,173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337,098</w:t>
            </w:r>
          </w:p>
        </w:tc>
      </w:tr>
      <w:tr>
        <w:trPr>
          <w:trHeight w:val="242"/>
        </w:trPr>
        <w:tc>
          <w:tcPr>
            <w:tcW w:w="5400" w:type="dxa"/>
            <w:vAlign w:val="bottom"/>
          </w:tcPr>
          <w:p>
            <w:pPr>
              <w:ind w:left="26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362,991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815,053</w:t>
            </w:r>
          </w:p>
        </w:tc>
      </w:tr>
      <w:tr>
        <w:trPr>
          <w:trHeight w:val="268"/>
        </w:trPr>
        <w:tc>
          <w:tcPr>
            <w:tcW w:w="5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Brokerage, exchange and clearance fees, net</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64,053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87,824</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Communication and data processing</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41,814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49,486</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 compensation and payroll taxes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107,837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64,670</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Payments for order flow</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23,561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16,256</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45,369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33,624</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22,078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19,919</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16,450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15,339</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10,922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6,851</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19,970</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Debt issue cost related to debt refinancing and prepayment</w:t>
            </w:r>
          </w:p>
        </w:tc>
        <w:tc>
          <w:tcPr>
            <w:tcW w:w="3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9,214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6,021</w:t>
            </w:r>
          </w:p>
        </w:tc>
      </w:tr>
      <w:tr>
        <w:trPr>
          <w:trHeight w:val="26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7,496</w:t>
            </w:r>
          </w:p>
        </w:tc>
      </w:tr>
      <w:tr>
        <w:trPr>
          <w:trHeight w:val="257"/>
        </w:trPr>
        <w:tc>
          <w:tcPr>
            <w:tcW w:w="5400" w:type="dxa"/>
            <w:vAlign w:val="bottom"/>
          </w:tcPr>
          <w:p>
            <w:pPr>
              <w:ind w:left="160"/>
              <w:spacing w:after="0"/>
              <w:rPr>
                <w:sz w:val="20"/>
                <w:szCs w:val="20"/>
                <w:color w:val="auto"/>
              </w:rPr>
            </w:pPr>
            <w:r>
              <w:rPr>
                <w:rFonts w:ascii="Arial" w:cs="Arial" w:eastAsia="Arial" w:hAnsi="Arial"/>
                <w:sz w:val="14"/>
                <w:szCs w:val="14"/>
                <w:color w:val="auto"/>
              </w:rPr>
              <w:t>Charges related to share based compensation at IPO</w:t>
            </w:r>
          </w:p>
        </w:tc>
        <w:tc>
          <w:tcPr>
            <w:tcW w:w="3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14</w:t>
            </w:r>
          </w:p>
        </w:tc>
      </w:tr>
      <w:tr>
        <w:trPr>
          <w:trHeight w:val="262"/>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22,788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19,047</w:t>
            </w:r>
          </w:p>
        </w:tc>
      </w:tr>
      <w:tr>
        <w:trPr>
          <w:trHeight w:val="242"/>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379,195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346,517</w:t>
            </w:r>
          </w:p>
        </w:tc>
      </w:tr>
      <w:tr>
        <w:trPr>
          <w:trHeight w:val="248"/>
        </w:trPr>
        <w:tc>
          <w:tcPr>
            <w:tcW w:w="5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468,536</w:t>
            </w:r>
          </w:p>
        </w:tc>
      </w:tr>
      <w:tr>
        <w:trPr>
          <w:trHeight w:val="257"/>
        </w:trPr>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Provision for (benefit from) income taxes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58,514</w:t>
            </w:r>
          </w:p>
        </w:tc>
      </w:tr>
      <w:tr>
        <w:trPr>
          <w:trHeight w:val="23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410,022</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219"/>
          </w:cols>
          <w:pgMar w:left="240" w:top="127" w:right="1440"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60" w:firstLine="630"/>
        <w:spacing w:after="0" w:line="262" w:lineRule="auto"/>
        <w:rPr>
          <w:sz w:val="20"/>
          <w:szCs w:val="20"/>
          <w:color w:val="auto"/>
        </w:rPr>
      </w:pPr>
      <w:r>
        <w:rPr>
          <w:rFonts w:ascii="Arial" w:cs="Arial" w:eastAsia="Arial" w:hAnsi="Arial"/>
          <w:sz w:val="17"/>
          <w:szCs w:val="17"/>
          <w:color w:val="auto"/>
        </w:rPr>
        <w:t>Revenues are generated through market marking activities, commissions and fees on execution services activities, which include recurring subscriptions on workflow technology and analytic products. The majority of our revenue is generated through market making activities, which is recorded as trading income, net and interest and dividend income. Commissions and fees are derived from commissions charged for trade executions in agency execution services. We earn commissions and commission equivalents,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 and thus it is not probable that a significant reversal of cumulative revenue recognized will not occur.</w:t>
      </w:r>
    </w:p>
    <w:p>
      <w:pPr>
        <w:spacing w:after="0" w:line="183" w:lineRule="exact"/>
        <w:rPr>
          <w:sz w:val="20"/>
          <w:szCs w:val="20"/>
          <w:color w:val="auto"/>
        </w:rPr>
      </w:pPr>
    </w:p>
    <w:p>
      <w:pPr>
        <w:ind w:right="100" w:firstLine="630"/>
        <w:spacing w:after="0" w:line="326"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will be recognized over the course of the year as the performance obligations for those analytics products are satisfied.</w:t>
      </w:r>
    </w:p>
    <w:p>
      <w:pPr>
        <w:spacing w:after="0" w:line="13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trading strategies, which are designed to capture small bid ask spreads. Trading income, net, accounted for 71% and 50% of our total revenues for the three months ended March 31, 2019 and 2018, respectively.</w:t>
      </w:r>
    </w:p>
    <w:p>
      <w:pPr>
        <w:spacing w:after="0" w:line="180" w:lineRule="exact"/>
        <w:rPr>
          <w:sz w:val="20"/>
          <w:szCs w:val="20"/>
          <w:color w:val="auto"/>
        </w:rPr>
      </w:pPr>
    </w:p>
    <w:p>
      <w:pPr>
        <w:ind w:right="2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We earn revenues on transactions for which we charge explicit commissions or commission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Agency commission fees are charged for agency trades executed by us on behalf of third party broker-dealers, institutions and other financial institutions. Revenue is recognized on a trade date basis, which is the point at which the performance obligation to the customer is satisfied, based on the trade volume executed. In addition, we offer workflow technology and analytics services to select third parties. Revenues are derived from connectivity fees generated by matching sell-side and buy-side clients orders, and analytic products delivered to the clients.</w:t>
      </w:r>
    </w:p>
    <w:p>
      <w:pPr>
        <w:spacing w:after="0" w:line="173" w:lineRule="exact"/>
        <w:rPr>
          <w:sz w:val="20"/>
          <w:szCs w:val="20"/>
          <w:color w:val="auto"/>
        </w:rPr>
      </w:pPr>
    </w:p>
    <w:p>
      <w:pPr>
        <w:ind w:right="560" w:firstLine="630"/>
        <w:spacing w:after="0" w:line="274"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0"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have interests in multiple strategic investments and telecommunications joint ventures (“JVs”). We record our pro-rata share of each JV’s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or losses within other, net, while fees related to the use of communication services provided by the JVs are recorded within communications and data processing. In addition, we also recorded gains or losses on certain one-time transactions, including the sale of our BondPoint business (“BondPoint”) to Intercontinental Exchange (“ICE”) in 2018, within Other, net (see Note 4 “Sale of BondPoint” of Part I Item 1 “Financial Statements” of this quarterly report on Form 10-Q).</w:t>
      </w:r>
    </w:p>
    <w:p>
      <w:pPr>
        <w:spacing w:after="0" w:line="181"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We have a minority investment (the “SBI Investment”) in SBI Japannext Co., Ltd. (“SBI”), a proprietary trading system based in Tokyo. In connection with 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40"/>
          </w:cols>
          <w:pgMar w:left="240" w:top="127" w:right="31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40" w:firstLine="630"/>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0"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represent payments to broker-dealer clients, in the normal course of business, for directing their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to us primarily in U.S. equities. Payments for order flow will fluctuate as we modify our rates and as the portion of our clients that do not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61"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w:t>
      </w:r>
    </w:p>
    <w:p>
      <w:pPr>
        <w:spacing w:after="0" w:line="177" w:lineRule="exact"/>
        <w:rPr>
          <w:sz w:val="20"/>
          <w:szCs w:val="20"/>
          <w:color w:val="auto"/>
        </w:rPr>
      </w:pPr>
    </w:p>
    <w:p>
      <w:pPr>
        <w:ind w:right="300" w:firstLine="630"/>
        <w:spacing w:after="0" w:line="323"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35"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expenses.</w:t>
      </w:r>
    </w:p>
    <w:p>
      <w:pPr>
        <w:spacing w:after="0" w:line="158"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2.5 years, which represents the estimated useful lives of the underlying software. We amortize leasehold improvements on a straight-line basis over the lesser of the life of the improvement or the term of the lease.</w:t>
      </w:r>
    </w:p>
    <w:p>
      <w:pPr>
        <w:spacing w:after="0" w:line="180"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 of certain assets from Nyenburgh Holding B.V., Teza Technologies (the “Teza Acquisition”), the Acquisition of KCG, and the ITG Acquisition. These assets are amortized over their useful lives, ranging from 1 to 15 years, except for certain assets which were categorized as having indefinite useful lives.</w:t>
      </w:r>
    </w:p>
    <w:p>
      <w:pPr>
        <w:spacing w:after="0" w:line="177"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one-time expense write-off on the present value of the future lease obligations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office space we abandoned in connection with the Acquisition of KCG. The aggregate write-off amount includes legal fees, broker fees, dilapidation fees and other miscellaneous expense associated with the abandonment.</w:t>
      </w:r>
    </w:p>
    <w:p>
      <w:pPr>
        <w:spacing w:after="0" w:line="170"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As a result of the refinancing or early termination of our long-term borrowings, we accelerate the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issue costs and the discount on the term loan that would otherwise be amortized or accreted over the life of the term loan.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ITG Acquisition and with the sale of BondPoint in 2018.</w:t>
      </w:r>
    </w:p>
    <w:p>
      <w:pPr>
        <w:spacing w:after="0" w:line="158"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At the consummation of the IPO and through the three months ended March 31, 2019,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non-cash compensation expenses in respect of the outstanding time-vested Class B interests of Virtu Financial (the “Virtu Class B Interests”) and Class B interests of Virtu East MIP LLC (the “East MIP Class B Interests”), net of capitalization and amortization of costs attributable to employees incurred in development of software for internal use, as defined and discussed in Note 19 “Share-based Compensation” of Part I Item 1 “Financial Statements” of this quarterly report on Form 10-Q.</w:t>
      </w:r>
    </w:p>
    <w:p>
      <w:pPr>
        <w:spacing w:after="0" w:line="181"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24" w:lineRule="exact"/>
        <w:rPr>
          <w:sz w:val="20"/>
          <w:szCs w:val="20"/>
          <w:color w:val="auto"/>
        </w:rPr>
      </w:pPr>
    </w:p>
    <w:p>
      <w:pPr>
        <w:ind w:right="240" w:firstLine="630"/>
        <w:spacing w:after="0" w:line="290"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w:t>
      </w:r>
    </w:p>
    <w:p>
      <w:pPr>
        <w:spacing w:after="0" w:line="158" w:lineRule="exact"/>
        <w:rPr>
          <w:sz w:val="20"/>
          <w:szCs w:val="20"/>
          <w:color w:val="auto"/>
        </w:rPr>
      </w:pPr>
    </w:p>
    <w:p>
      <w:pPr>
        <w:jc w:val="both"/>
        <w:ind w:right="360" w:firstLine="630"/>
        <w:spacing w:after="0" w:line="29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70"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30"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58" w:lineRule="exact"/>
        <w:rPr>
          <w:sz w:val="20"/>
          <w:szCs w:val="20"/>
          <w:color w:val="auto"/>
        </w:rPr>
      </w:pPr>
    </w:p>
    <w:p>
      <w:pPr>
        <w:ind w:left="1020" w:right="20" w:hanging="228"/>
        <w:spacing w:after="0" w:line="28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and clearance fees, net, payments for order flow,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1" w:lineRule="exact"/>
        <w:rPr>
          <w:rFonts w:ascii="Arial" w:cs="Arial" w:eastAsia="Arial" w:hAnsi="Arial"/>
          <w:sz w:val="16"/>
          <w:szCs w:val="16"/>
          <w:color w:val="auto"/>
        </w:rPr>
      </w:pPr>
    </w:p>
    <w:p>
      <w:pPr>
        <w:ind w:left="1020" w:right="60" w:hanging="228"/>
        <w:spacing w:after="0" w:line="263"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connectivity early termination, trading related settlement income, gain on sale of businesses, other, net, write-down of assets, share based compensation, charges related to share based compensation at IPO, Amended and Restated 2015 Management Incentive Plan, and charges related to share based compensation at IPO.</w:t>
      </w:r>
    </w:p>
    <w:p>
      <w:pPr>
        <w:spacing w:after="0" w:line="75" w:lineRule="exact"/>
        <w:rPr>
          <w:rFonts w:ascii="Arial" w:cs="Arial" w:eastAsia="Arial" w:hAnsi="Arial"/>
          <w:sz w:val="17"/>
          <w:szCs w:val="17"/>
          <w:color w:val="auto"/>
        </w:rPr>
      </w:pPr>
    </w:p>
    <w:p>
      <w:pPr>
        <w:ind w:left="1020" w:right="480" w:hanging="228"/>
        <w:spacing w:after="0" w:line="290"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p>
      <w:pPr>
        <w:jc w:val="both"/>
        <w:ind w:left="1020" w:right="160"/>
        <w:spacing w:after="0" w:line="322" w:lineRule="auto"/>
        <w:rPr>
          <w:sz w:val="20"/>
          <w:szCs w:val="20"/>
          <w:color w:val="auto"/>
        </w:rPr>
      </w:pPr>
      <w:r>
        <w:rPr>
          <w:rFonts w:ascii="Arial" w:cs="Arial" w:eastAsia="Arial" w:hAnsi="Arial"/>
          <w:sz w:val="17"/>
          <w:szCs w:val="17"/>
          <w:color w:val="auto"/>
        </w:rPr>
        <w:t>exclude certain items including IPO-related adjustments and other non-cash items, assuming that all vested and unvested common interest units in Virtu Financial (“Virtu Financial Units”) have been exchanged for Class A Common Stock, and applying an effective tax rate, which was between approximately 23% and 24% beginning January 1, 2018.</w:t>
      </w:r>
    </w:p>
    <w:p>
      <w:pPr>
        <w:spacing w:after="0" w:line="40" w:lineRule="exact"/>
        <w:rPr>
          <w:sz w:val="20"/>
          <w:szCs w:val="20"/>
          <w:color w:val="auto"/>
        </w:rPr>
      </w:pPr>
    </w:p>
    <w:p>
      <w:pPr>
        <w:ind w:left="1020" w:hanging="228"/>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24" w:lineRule="exact"/>
        <w:rPr>
          <w:sz w:val="20"/>
          <w:szCs w:val="20"/>
          <w:color w:val="auto"/>
        </w:rPr>
      </w:pPr>
    </w:p>
    <w:p>
      <w:pPr>
        <w:ind w:firstLine="630"/>
        <w:spacing w:after="0" w:line="276"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Normalized Adjusted EPS, and Operating Margins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Normalized Adjusted EPS, and Operating Margins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our measures of Adjusted Net Trading Income, Adjusted EBITDA, Normalized Adjusted Net Income, Normalized Adjusted Net Income before income taxes, Normalized provision for income taxes, Normalized Adjusted EPS, and Operating Margins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55" w:lineRule="exact"/>
        <w:rPr>
          <w:sz w:val="20"/>
          <w:szCs w:val="20"/>
          <w:color w:val="auto"/>
        </w:rPr>
      </w:pPr>
    </w:p>
    <w:p>
      <w:pPr>
        <w:ind w:right="40" w:firstLine="630"/>
        <w:spacing w:after="0" w:line="280"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Normalized Adjusted EPS, and Operating Margins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Operating Margins and our EBITDA-based measures have limitations as analytical tools, and you should not consider them in isolation or as substitutes for analysis of our results as reported under U.S. GAAP. Some of these limitations are:</w:t>
      </w:r>
    </w:p>
    <w:p>
      <w:pPr>
        <w:spacing w:after="0" w:line="146" w:lineRule="exact"/>
        <w:rPr>
          <w:sz w:val="20"/>
          <w:szCs w:val="20"/>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119" w:lineRule="exact"/>
        <w:rPr>
          <w:rFonts w:ascii="Arial" w:cs="Arial" w:eastAsia="Arial" w:hAnsi="Arial"/>
          <w:sz w:val="17"/>
          <w:szCs w:val="17"/>
          <w:color w:val="auto"/>
        </w:rPr>
      </w:pPr>
    </w:p>
    <w:p>
      <w:pPr>
        <w:ind w:left="1020" w:right="520" w:hanging="228"/>
        <w:spacing w:after="0" w:line="290"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2" w:lineRule="exact"/>
        <w:rPr>
          <w:rFonts w:ascii="Arial" w:cs="Arial" w:eastAsia="Arial" w:hAnsi="Arial"/>
          <w:sz w:val="17"/>
          <w:szCs w:val="17"/>
          <w:color w:val="auto"/>
        </w:rPr>
      </w:pPr>
    </w:p>
    <w:p>
      <w:pPr>
        <w:ind w:left="1020" w:right="220" w:hanging="228"/>
        <w:spacing w:after="0" w:line="360"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and</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24" w:lineRule="exact"/>
        <w:rPr>
          <w:sz w:val="20"/>
          <w:szCs w:val="20"/>
          <w:color w:val="auto"/>
        </w:rPr>
      </w:pPr>
    </w:p>
    <w:p>
      <w:pPr>
        <w:ind w:right="180" w:firstLine="630"/>
        <w:spacing w:after="0" w:line="290" w:lineRule="auto"/>
        <w:rPr>
          <w:sz w:val="20"/>
          <w:szCs w:val="20"/>
          <w:color w:val="auto"/>
        </w:rPr>
      </w:pPr>
      <w:r>
        <w:rPr>
          <w:rFonts w:ascii="Arial" w:cs="Arial" w:eastAsia="Arial" w:hAnsi="Arial"/>
          <w:sz w:val="17"/>
          <w:szCs w:val="17"/>
          <w:color w:val="auto"/>
        </w:rPr>
        <w:t>Because of these limitations, Adjusted Net Trading Income, EBITDA, Adjusted EBITDA, Normalized Adjusted Net Income, Normalized Adjusted Net Income before income taxes, Normalized provision for income taxes, Normalized Adjusted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EPS, and Operating Margins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Normalized Adjusted EPS, and Operating Margins along with other comparative tools, together with U.S. GAAP measurements, to assist in the evaluation of operating performance. These U.S. GAAP measurements include operating Net Income, cash flows from operations and cash flow data. See below a reconciliation of each non-GAAP financial measure to the most directly comparable U.S. GAAP measure.</w:t>
      </w:r>
    </w:p>
    <w:p>
      <w:pPr>
        <w:spacing w:after="0" w:line="180"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The following tables reconcile the condensed consolidated statements of comprehensive income to arrive at Adjusted Net Trading Income, EBITDA, Adjusted EBITDA, and Operating Margins for the three months ended March 31, 2019 and 2018.</w:t>
      </w:r>
    </w:p>
    <w:p>
      <w:pPr>
        <w:spacing w:after="0" w:line="371" w:lineRule="exact"/>
        <w:rPr>
          <w:sz w:val="20"/>
          <w:szCs w:val="20"/>
          <w:color w:val="auto"/>
        </w:rPr>
      </w:pPr>
    </w:p>
    <w:tbl>
      <w:tblPr>
        <w:tblLayout w:type="fixed"/>
        <w:tblInd w:w="138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25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61"/>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257,540</w:t>
            </w:r>
          </w:p>
        </w:tc>
        <w:tc>
          <w:tcPr>
            <w:tcW w:w="120" w:type="dxa"/>
            <w:vAlign w:val="bottom"/>
          </w:tcPr>
          <w:p>
            <w:pPr>
              <w:spacing w:after="0"/>
              <w:rPr>
                <w:sz w:val="22"/>
                <w:szCs w:val="22"/>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406,162</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29,131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17,949</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20" w:type="dxa"/>
            <w:vAlign w:val="bottom"/>
          </w:tcPr>
          <w:p>
            <w:pPr>
              <w:spacing w:after="0"/>
              <w:rPr>
                <w:sz w:val="22"/>
                <w:szCs w:val="22"/>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75,147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53,844</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(64,053)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(87,824)</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Payments for order flow</w:t>
            </w:r>
          </w:p>
        </w:tc>
        <w:tc>
          <w:tcPr>
            <w:tcW w:w="220" w:type="dxa"/>
            <w:vAlign w:val="bottom"/>
          </w:tcPr>
          <w:p>
            <w:pPr>
              <w:spacing w:after="0"/>
              <w:rPr>
                <w:sz w:val="22"/>
                <w:szCs w:val="22"/>
                <w:color w:val="auto"/>
              </w:rPr>
            </w:pPr>
          </w:p>
        </w:tc>
        <w:tc>
          <w:tcPr>
            <w:tcW w:w="1260" w:type="dxa"/>
            <w:vAlign w:val="bottom"/>
          </w:tcPr>
          <w:p>
            <w:pPr>
              <w:jc w:val="right"/>
              <w:ind w:right="70"/>
              <w:spacing w:after="0"/>
              <w:rPr>
                <w:sz w:val="20"/>
                <w:szCs w:val="20"/>
                <w:color w:val="auto"/>
              </w:rPr>
            </w:pPr>
            <w:r>
              <w:rPr>
                <w:rFonts w:ascii="Arial" w:cs="Arial" w:eastAsia="Arial" w:hAnsi="Arial"/>
                <w:sz w:val="14"/>
                <w:szCs w:val="14"/>
                <w:color w:val="auto"/>
              </w:rPr>
              <w:t>(23,561)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(16,256)</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(45,369)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(33,624)</w:t>
            </w: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228,835</w:t>
            </w:r>
          </w:p>
        </w:tc>
        <w:tc>
          <w:tcPr>
            <w:tcW w:w="120" w:type="dxa"/>
            <w:vAlign w:val="bottom"/>
          </w:tcPr>
          <w:p>
            <w:pPr>
              <w:spacing w:after="0"/>
              <w:rPr>
                <w:sz w:val="20"/>
                <w:szCs w:val="20"/>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340,251</w:t>
            </w:r>
          </w:p>
        </w:tc>
      </w:tr>
      <w:tr>
        <w:trPr>
          <w:trHeight w:val="281"/>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(13,619)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410,022</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220" w:type="dxa"/>
            <w:vAlign w:val="bottom"/>
          </w:tcPr>
          <w:p>
            <w:pPr>
              <w:spacing w:after="0"/>
              <w:rPr>
                <w:sz w:val="22"/>
                <w:szCs w:val="22"/>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22,788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19,047</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 refinancing</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9,214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6,021</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16,450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15,339</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10,922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6,851</w:t>
            </w:r>
          </w:p>
        </w:tc>
      </w:tr>
      <w:tr>
        <w:trPr>
          <w:trHeight w:val="257"/>
        </w:trPr>
        <w:tc>
          <w:tcPr>
            <w:tcW w:w="5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58,514</w:t>
            </w:r>
          </w:p>
        </w:tc>
      </w:tr>
      <w:tr>
        <w:trPr>
          <w:trHeight w:val="24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43,170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515,794</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220" w:type="dxa"/>
            <w:vAlign w:val="bottom"/>
          </w:tcPr>
          <w:p>
            <w:pPr>
              <w:spacing w:after="0"/>
              <w:rPr>
                <w:sz w:val="22"/>
                <w:szCs w:val="22"/>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53,351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3,744</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 advisory fees and expenses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15,109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7,496</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Termination of office leases</w:t>
            </w:r>
          </w:p>
        </w:tc>
        <w:tc>
          <w:tcPr>
            <w:tcW w:w="2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19,970</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Connectivity early termination</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2,500</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Gain on sale of business</w:t>
            </w:r>
          </w:p>
        </w:tc>
        <w:tc>
          <w:tcPr>
            <w:tcW w:w="2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(337,549)</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1,387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451</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Write-down of assets</w:t>
            </w:r>
          </w:p>
        </w:tc>
        <w:tc>
          <w:tcPr>
            <w:tcW w:w="2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936</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9,813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7,902</w:t>
            </w:r>
          </w:p>
        </w:tc>
      </w:tr>
      <w:tr>
        <w:trPr>
          <w:trHeight w:val="152"/>
        </w:trPr>
        <w:tc>
          <w:tcPr>
            <w:tcW w:w="5640" w:type="dxa"/>
            <w:vAlign w:val="bottom"/>
            <w:gridSpan w:val="2"/>
          </w:tcPr>
          <w:p>
            <w:pPr>
              <w:ind w:left="20"/>
              <w:spacing w:after="0" w:line="152" w:lineRule="exact"/>
              <w:rPr>
                <w:sz w:val="20"/>
                <w:szCs w:val="20"/>
                <w:color w:val="auto"/>
              </w:rPr>
            </w:pPr>
            <w:r>
              <w:rPr>
                <w:rFonts w:ascii="Arial" w:cs="Arial" w:eastAsia="Arial" w:hAnsi="Arial"/>
                <w:sz w:val="14"/>
                <w:szCs w:val="14"/>
                <w:color w:val="auto"/>
                <w:w w:val="92"/>
              </w:rPr>
              <w:t>Charges related to share based compensation at IPO, Amended and Restated 2015 Management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4"/>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Incentive Plan</w:t>
            </w:r>
          </w:p>
        </w:tc>
        <w:tc>
          <w:tcPr>
            <w:tcW w:w="220" w:type="dxa"/>
            <w:vAlign w:val="bottom"/>
          </w:tcPr>
          <w:p>
            <w:pPr>
              <w:spacing w:after="0"/>
              <w:rPr>
                <w:sz w:val="15"/>
                <w:szCs w:val="15"/>
                <w:color w:val="auto"/>
              </w:rPr>
            </w:pPr>
          </w:p>
        </w:tc>
        <w:tc>
          <w:tcPr>
            <w:tcW w:w="1260" w:type="dxa"/>
            <w:vAlign w:val="bottom"/>
          </w:tcPr>
          <w:p>
            <w:pPr>
              <w:jc w:val="right"/>
              <w:ind w:right="110"/>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1,398</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related to share based compensation awards at IPO</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124,224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222,656</w:t>
            </w:r>
          </w:p>
        </w:tc>
      </w:tr>
      <w:tr>
        <w:trPr>
          <w:trHeight w:val="281"/>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Margin (1)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r>
      <w:tr>
        <w:trPr>
          <w:trHeight w:val="257"/>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EBITDA Margin (2)</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18.9 %</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26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EBITDA Margin (3)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bl>
    <w:p>
      <w:pPr>
        <w:spacing w:after="0" w:line="200" w:lineRule="exact"/>
        <w:rPr>
          <w:sz w:val="20"/>
          <w:szCs w:val="20"/>
          <w:color w:val="auto"/>
        </w:rPr>
      </w:pP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ectPr>
          <w:pgSz w:w="11900" w:h="16838" w:orient="portrait"/>
          <w:cols w:equalWidth="0" w:num="1">
            <w:col w:w="11280"/>
          </w:cols>
          <w:pgMar w:left="240" w:top="127" w:right="3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80"/>
          </w:cols>
          <w:pgMar w:left="240" w:top="127" w:right="379" w:bottom="1440" w:gutter="0" w:footer="0" w:header="0"/>
          <w:type w:val="continuous"/>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The following tables reconcile Net Income to arrive at Normalized Adjusted Net Income before income taxes, Normalized provision for income taxes, Normalized Adjusted Net Income and Normalized Adjusted EPS.</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6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5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6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(13,619)</w:t>
            </w:r>
          </w:p>
        </w:tc>
        <w:tc>
          <w:tcPr>
            <w:tcW w:w="120" w:type="dxa"/>
            <w:vAlign w:val="bottom"/>
          </w:tcPr>
          <w:p>
            <w:pPr>
              <w:spacing w:after="0"/>
              <w:rPr>
                <w:sz w:val="22"/>
                <w:szCs w:val="22"/>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410,022</w:t>
            </w:r>
          </w:p>
        </w:tc>
      </w:tr>
      <w:tr>
        <w:trPr>
          <w:trHeight w:val="262"/>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(benefit from)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(2,585)</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58,514</w:t>
            </w:r>
          </w:p>
        </w:tc>
      </w:tr>
      <w:tr>
        <w:trPr>
          <w:trHeight w:val="242"/>
        </w:trPr>
        <w:tc>
          <w:tcPr>
            <w:tcW w:w="6080" w:type="dxa"/>
            <w:vAlign w:val="bottom"/>
          </w:tcPr>
          <w:p>
            <w:pPr>
              <w:ind w:left="160"/>
              <w:spacing w:after="0"/>
              <w:rPr>
                <w:sz w:val="20"/>
                <w:szCs w:val="20"/>
                <w:color w:val="auto"/>
              </w:rPr>
            </w:pPr>
            <w:r>
              <w:rPr>
                <w:rFonts w:ascii="Arial" w:cs="Arial" w:eastAsia="Arial" w:hAnsi="Arial"/>
                <w:sz w:val="14"/>
                <w:szCs w:val="14"/>
                <w:color w:val="auto"/>
              </w:rPr>
              <w:t>Income (loss) before income taxes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468,536</w:t>
            </w:r>
          </w:p>
        </w:tc>
      </w:tr>
      <w:tr>
        <w:trPr>
          <w:trHeight w:val="320"/>
        </w:trPr>
        <w:tc>
          <w:tcPr>
            <w:tcW w:w="6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10,922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6,851</w:t>
            </w:r>
          </w:p>
        </w:tc>
      </w:tr>
      <w:tr>
        <w:trPr>
          <w:trHeight w:val="268"/>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9,214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6,021</w:t>
            </w: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53,351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3,744</w:t>
            </w:r>
          </w:p>
        </w:tc>
      </w:tr>
      <w:tr>
        <w:trPr>
          <w:trHeight w:val="268"/>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15,109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7,496</w:t>
            </w: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Termination of office leases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19,970</w:t>
            </w:r>
          </w:p>
        </w:tc>
      </w:tr>
      <w:tr>
        <w:trPr>
          <w:trHeight w:val="268"/>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2,500</w:t>
            </w: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Gain on sale of business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(337,549)</w:t>
            </w:r>
          </w:p>
        </w:tc>
      </w:tr>
      <w:tr>
        <w:trPr>
          <w:trHeight w:val="268"/>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Write-down of assets</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936</w:t>
            </w: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451</w:t>
            </w:r>
          </w:p>
        </w:tc>
      </w:tr>
      <w:tr>
        <w:trPr>
          <w:trHeight w:val="268"/>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based compensation</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9,813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7,902</w:t>
            </w:r>
          </w:p>
        </w:tc>
      </w:tr>
      <w:tr>
        <w:trPr>
          <w:trHeight w:val="257"/>
        </w:trPr>
        <w:tc>
          <w:tcPr>
            <w:tcW w:w="6080" w:type="dxa"/>
            <w:vAlign w:val="bottom"/>
          </w:tcPr>
          <w:p>
            <w:pPr>
              <w:ind w:left="16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1,398</w:t>
            </w:r>
          </w:p>
        </w:tc>
      </w:tr>
      <w:tr>
        <w:trPr>
          <w:trHeight w:val="262"/>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awards at IPO</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r>
      <w:tr>
        <w:trPr>
          <w:trHeight w:val="242"/>
        </w:trPr>
        <w:tc>
          <w:tcPr>
            <w:tcW w:w="6080" w:type="dxa"/>
            <w:vAlign w:val="bottom"/>
          </w:tcPr>
          <w:p>
            <w:pPr>
              <w:ind w:left="160"/>
              <w:spacing w:after="0"/>
              <w:rPr>
                <w:sz w:val="20"/>
                <w:szCs w:val="20"/>
                <w:color w:val="auto"/>
              </w:rPr>
            </w:pPr>
            <w:r>
              <w:rPr>
                <w:rFonts w:ascii="Arial" w:cs="Arial" w:eastAsia="Arial" w:hAnsi="Arial"/>
                <w:sz w:val="14"/>
                <w:szCs w:val="14"/>
                <w:color w:val="auto"/>
              </w:rPr>
              <w:t>Normalized Adjusted Net Income before income taxes</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84,986</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188,270</w:t>
            </w:r>
          </w:p>
        </w:tc>
      </w:tr>
      <w:tr>
        <w:trPr>
          <w:trHeight w:val="262"/>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Normalized provision for income taxes (1)</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20,397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43,302</w:t>
            </w:r>
          </w:p>
        </w:tc>
      </w:tr>
      <w:tr>
        <w:trPr>
          <w:trHeight w:val="242"/>
        </w:trPr>
        <w:tc>
          <w:tcPr>
            <w:tcW w:w="608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64,590</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144,968</w:t>
            </w:r>
          </w:p>
        </w:tc>
      </w:tr>
      <w:tr>
        <w:trPr>
          <w:trHeight w:val="320"/>
        </w:trPr>
        <w:tc>
          <w:tcPr>
            <w:tcW w:w="6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57"/>
        </w:trPr>
        <w:tc>
          <w:tcPr>
            <w:tcW w:w="608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192,725,796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190,056,747</w:t>
            </w:r>
          </w:p>
        </w:tc>
      </w:tr>
      <w:tr>
        <w:trPr>
          <w:trHeight w:val="320"/>
        </w:trPr>
        <w:tc>
          <w:tcPr>
            <w:tcW w:w="6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52"/>
        </w:trPr>
        <w:tc>
          <w:tcPr>
            <w:tcW w:w="608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21"/>
                <w:szCs w:val="21"/>
                <w:color w:val="auto"/>
              </w:rPr>
            </w:pP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1875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hanging="395"/>
        <w:spacing w:after="0"/>
        <w:tabs>
          <w:tab w:leader="none" w:pos="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23% for 2019 and 2018.</w:t>
      </w:r>
    </w:p>
    <w:p>
      <w:pPr>
        <w:spacing w:after="0" w:line="13" w:lineRule="exact"/>
        <w:rPr>
          <w:rFonts w:ascii="Arial" w:cs="Arial" w:eastAsia="Arial" w:hAnsi="Arial"/>
          <w:sz w:val="16"/>
          <w:szCs w:val="16"/>
          <w:color w:val="auto"/>
        </w:rPr>
      </w:pPr>
    </w:p>
    <w:p>
      <w:pPr>
        <w:ind w:left="400" w:hanging="395"/>
        <w:spacing w:after="0" w:line="258"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during the three months ended March 31, 2018.</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380"/>
          </w:cols>
          <w:pgMar w:left="240" w:top="127"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reconcile trading income, net to Adjusted Net Trading Income by segment for the three months ended March 31, 2019 and 2018:</w:t>
      </w:r>
    </w:p>
    <w:p>
      <w:pPr>
        <w:spacing w:after="0" w:line="200" w:lineRule="exact"/>
        <w:rPr>
          <w:sz w:val="20"/>
          <w:szCs w:val="20"/>
          <w:color w:val="auto"/>
        </w:rPr>
      </w:pPr>
    </w:p>
    <w:p>
      <w:pPr>
        <w:spacing w:after="0" w:line="260" w:lineRule="exact"/>
        <w:rPr>
          <w:sz w:val="20"/>
          <w:szCs w:val="20"/>
          <w:color w:val="auto"/>
        </w:rPr>
      </w:pPr>
    </w:p>
    <w:tbl>
      <w:tblPr>
        <w:tblLayout w:type="fixed"/>
        <w:tblInd w:w="110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8"/>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4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255,121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257,540</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70,147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75,147</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29,131</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(43,027)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(21,026)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(64,053)</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(23,561)</w:t>
            </w:r>
          </w:p>
        </w:tc>
      </w:tr>
      <w:tr>
        <w:trPr>
          <w:trHeight w:val="257"/>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(45,369)</w:t>
            </w:r>
          </w:p>
        </w:tc>
      </w:tr>
      <w:tr>
        <w:trPr>
          <w:trHeight w:val="23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177,797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51,038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228,835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2018</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8"/>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4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405,709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406,162</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8,501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45,343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53,844</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17,949</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(69,072)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(87,824)</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(16,256)</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(33,624)</w:t>
            </w: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313,504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340,251</w:t>
            </w: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140"/>
          </w:cols>
          <w:pgMar w:left="240" w:top="127" w:right="51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reconcile our Market Making segment trading income, net to Adjusted Net Trading Income by category for the three months ended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March 31, 2019 and 2018:</w:t>
      </w: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8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208,633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49,790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255,121</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(23,540)</w:t>
            </w:r>
          </w:p>
        </w:tc>
        <w:tc>
          <w:tcPr>
            <w:tcW w:w="0" w:type="dxa"/>
            <w:vAlign w:val="bottom"/>
          </w:tcPr>
          <w:p>
            <w:pPr>
              <w:spacing w:after="0"/>
              <w:rPr>
                <w:sz w:val="1"/>
                <w:szCs w:val="1"/>
                <w:color w:val="auto"/>
              </w:rPr>
            </w:pPr>
          </w:p>
        </w:tc>
      </w:tr>
      <w:tr>
        <w:trPr>
          <w:trHeight w:val="26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(15,757)</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139,608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36,085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177,797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8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324,882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82,070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405,709</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8,522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8,501</w:t>
            </w:r>
          </w:p>
        </w:tc>
        <w:tc>
          <w:tcPr>
            <w:tcW w:w="0" w:type="dxa"/>
            <w:vAlign w:val="bottom"/>
          </w:tcPr>
          <w:p>
            <w:pPr>
              <w:spacing w:after="0"/>
              <w:rPr>
                <w:sz w:val="1"/>
                <w:szCs w:val="1"/>
                <w:color w:val="auto"/>
              </w:rPr>
            </w:pP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(69,072)</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(16,196)</w:t>
            </w:r>
          </w:p>
        </w:tc>
        <w:tc>
          <w:tcPr>
            <w:tcW w:w="0" w:type="dxa"/>
            <w:vAlign w:val="bottom"/>
          </w:tcPr>
          <w:p>
            <w:pPr>
              <w:spacing w:after="0"/>
              <w:rPr>
                <w:sz w:val="1"/>
                <w:szCs w:val="1"/>
                <w:color w:val="auto"/>
              </w:rPr>
            </w:pPr>
          </w:p>
        </w:tc>
      </w:tr>
      <w:tr>
        <w:trPr>
          <w:trHeight w:val="26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(15,438)</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249,047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66,259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313,504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00"/>
          </w:cols>
          <w:pgMar w:left="240" w:top="127" w:right="3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The following table shows our Adjusted Net Trading Income and average daily Adjusted Net Trading Income and percentage of Adjusted Net Trading Income by asset class for the three months ended March 31, 2019 and 2018:</w:t>
      </w:r>
    </w:p>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w w:val="98"/>
              </w:rPr>
              <w:t>Three Months Ended March 31,</w:t>
            </w:r>
          </w:p>
        </w:tc>
        <w:tc>
          <w:tcPr>
            <w:tcW w:w="1220" w:type="dxa"/>
            <w:vAlign w:val="bottom"/>
            <w:tcBorders>
              <w:bottom w:val="single" w:sz="8" w:color="auto"/>
            </w:tcBorders>
          </w:tcPr>
          <w:p>
            <w:pPr>
              <w:spacing w:after="0"/>
              <w:rPr>
                <w:sz w:val="16"/>
                <w:szCs w:val="16"/>
                <w:color w:val="auto"/>
              </w:rPr>
            </w:pPr>
          </w:p>
        </w:tc>
      </w:tr>
      <w:tr>
        <w:trPr>
          <w:trHeight w:val="25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26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7"/>
        </w:trPr>
        <w:tc>
          <w:tcPr>
            <w:tcW w:w="4640" w:type="dxa"/>
            <w:vAlign w:val="bottom"/>
          </w:tcPr>
          <w:p>
            <w:pPr>
              <w:ind w:left="20"/>
              <w:spacing w:after="0"/>
              <w:rPr>
                <w:sz w:val="20"/>
                <w:szCs w:val="20"/>
                <w:color w:val="auto"/>
              </w:rPr>
            </w:pPr>
            <w:r>
              <w:rPr>
                <w:rFonts w:ascii="Arial" w:cs="Arial" w:eastAsia="Arial" w:hAnsi="Arial"/>
                <w:sz w:val="14"/>
                <w:szCs w:val="14"/>
                <w:color w:val="auto"/>
              </w:rPr>
              <w:t>Global Equities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139,608</w:t>
            </w:r>
          </w:p>
        </w:tc>
        <w:tc>
          <w:tcPr>
            <w:tcW w:w="100" w:type="dxa"/>
            <w:vAlign w:val="bottom"/>
          </w:tcPr>
          <w:p>
            <w:pPr>
              <w:spacing w:after="0"/>
              <w:rPr>
                <w:sz w:val="22"/>
                <w:szCs w:val="22"/>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249,047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50"/>
              <w:spacing w:after="0"/>
              <w:rPr>
                <w:sz w:val="20"/>
                <w:szCs w:val="20"/>
                <w:color w:val="auto"/>
              </w:rPr>
            </w:pPr>
            <w:r>
              <w:rPr>
                <w:rFonts w:ascii="Arial" w:cs="Arial" w:eastAsia="Arial" w:hAnsi="Arial"/>
                <w:sz w:val="14"/>
                <w:szCs w:val="14"/>
                <w:color w:val="auto"/>
              </w:rPr>
              <w:t>(43.9)%</w:t>
            </w:r>
          </w:p>
        </w:tc>
      </w:tr>
      <w:tr>
        <w:trPr>
          <w:trHeight w:val="268"/>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36,085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66,259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(45.5)%</w:t>
            </w:r>
          </w:p>
        </w:tc>
      </w:tr>
      <w:tr>
        <w:trPr>
          <w:trHeight w:val="25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550"/>
              <w:spacing w:after="0"/>
              <w:rPr>
                <w:sz w:val="20"/>
                <w:szCs w:val="20"/>
                <w:color w:val="auto"/>
              </w:rPr>
            </w:pPr>
            <w:r>
              <w:rPr>
                <w:rFonts w:ascii="Arial" w:cs="Arial" w:eastAsia="Arial" w:hAnsi="Arial"/>
                <w:sz w:val="14"/>
                <w:szCs w:val="14"/>
                <w:color w:val="auto"/>
              </w:rPr>
              <w:t>NM</w:t>
            </w:r>
          </w:p>
        </w:tc>
      </w:tr>
      <w:tr>
        <w:trPr>
          <w:trHeight w:val="248"/>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177,797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313,504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(43.3)%</w:t>
            </w:r>
          </w:p>
        </w:tc>
      </w:tr>
      <w:tr>
        <w:trPr>
          <w:trHeight w:val="276"/>
        </w:trPr>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51,038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26,712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91.1%</w:t>
            </w:r>
          </w:p>
        </w:tc>
      </w:tr>
      <w:tr>
        <w:trPr>
          <w:trHeight w:val="276"/>
        </w:trPr>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4"/>
                <w:szCs w:val="14"/>
                <w:color w:val="auto"/>
              </w:rPr>
              <w:t>NM</w:t>
            </w:r>
          </w:p>
        </w:tc>
      </w:tr>
      <w:tr>
        <w:trPr>
          <w:trHeight w:val="276"/>
        </w:trPr>
        <w:tc>
          <w:tcPr>
            <w:tcW w:w="46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2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228,835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340,251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4"/>
                <w:szCs w:val="14"/>
                <w:color w:val="auto"/>
              </w:rPr>
              <w:t>(32.7)%</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1060" w:type="dxa"/>
        <w:tblCellMar>
          <w:top w:w="0" w:type="dxa"/>
          <w:left w:w="0" w:type="dxa"/>
          <w:bottom w:w="0" w:type="dxa"/>
          <w:right w:w="0" w:type="dxa"/>
        </w:tblCellMar>
      </w:tblPr>
      <w:tr>
        <w:trPr>
          <w:trHeight w:val="257"/>
        </w:trPr>
        <w:tc>
          <w:tcPr>
            <w:tcW w:w="46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120" w:type="dxa"/>
            <w:vAlign w:val="bottom"/>
            <w:tcBorders>
              <w:bottom w:val="single" w:sz="8" w:color="auto"/>
            </w:tcBorders>
            <w:gridSpan w:val="6"/>
            <w:shd w:val="clear" w:color="auto" w:fill="CCEEFF"/>
          </w:tcPr>
          <w:p>
            <w:pPr>
              <w:ind w:left="1060"/>
              <w:spacing w:after="0"/>
              <w:rPr>
                <w:sz w:val="20"/>
                <w:szCs w:val="20"/>
                <w:color w:val="auto"/>
              </w:rPr>
            </w:pPr>
            <w:r>
              <w:rPr>
                <w:rFonts w:ascii="Arial" w:cs="Arial" w:eastAsia="Arial" w:hAnsi="Arial"/>
                <w:sz w:val="14"/>
                <w:szCs w:val="14"/>
                <w:b w:val="1"/>
                <w:bCs w:val="1"/>
                <w:color w:val="auto"/>
                <w:w w:val="98"/>
              </w:rPr>
              <w:t>Three Months Ended March 31,</w:t>
            </w:r>
          </w:p>
        </w:tc>
        <w:tc>
          <w:tcPr>
            <w:tcW w:w="1220" w:type="dxa"/>
            <w:vAlign w:val="bottom"/>
            <w:tcBorders>
              <w:bottom w:val="single" w:sz="8" w:color="auto"/>
            </w:tcBorders>
            <w:shd w:val="clear" w:color="auto" w:fill="CCEEFF"/>
          </w:tcPr>
          <w:p>
            <w:pPr>
              <w:spacing w:after="0"/>
              <w:rPr>
                <w:sz w:val="22"/>
                <w:szCs w:val="22"/>
                <w:color w:val="auto"/>
              </w:rPr>
            </w:pPr>
          </w:p>
        </w:tc>
      </w:tr>
      <w:tr>
        <w:trPr>
          <w:trHeight w:val="25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 Adjusted Net Trading Income by Category:</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26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7"/>
        </w:trPr>
        <w:tc>
          <w:tcPr>
            <w:tcW w:w="4640" w:type="dxa"/>
            <w:vAlign w:val="bottom"/>
          </w:tcPr>
          <w:p>
            <w:pPr>
              <w:ind w:left="20"/>
              <w:spacing w:after="0"/>
              <w:rPr>
                <w:sz w:val="20"/>
                <w:szCs w:val="20"/>
                <w:color w:val="auto"/>
              </w:rPr>
            </w:pPr>
            <w:r>
              <w:rPr>
                <w:rFonts w:ascii="Arial" w:cs="Arial" w:eastAsia="Arial" w:hAnsi="Arial"/>
                <w:sz w:val="14"/>
                <w:szCs w:val="14"/>
                <w:color w:val="auto"/>
              </w:rPr>
              <w:t>Global Equities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22"/>
                <w:szCs w:val="22"/>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4,083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50"/>
              <w:spacing w:after="0"/>
              <w:rPr>
                <w:sz w:val="20"/>
                <w:szCs w:val="20"/>
                <w:color w:val="auto"/>
              </w:rPr>
            </w:pPr>
            <w:r>
              <w:rPr>
                <w:rFonts w:ascii="Arial" w:cs="Arial" w:eastAsia="Arial" w:hAnsi="Arial"/>
                <w:sz w:val="14"/>
                <w:szCs w:val="14"/>
                <w:color w:val="auto"/>
              </w:rPr>
              <w:t>(43.9)%</w:t>
            </w:r>
          </w:p>
        </w:tc>
      </w:tr>
      <w:tr>
        <w:trPr>
          <w:trHeight w:val="268"/>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(45.5)%</w:t>
            </w:r>
          </w:p>
        </w:tc>
      </w:tr>
      <w:tr>
        <w:trPr>
          <w:trHeight w:val="25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550"/>
              <w:spacing w:after="0"/>
              <w:rPr>
                <w:sz w:val="20"/>
                <w:szCs w:val="20"/>
                <w:color w:val="auto"/>
              </w:rPr>
            </w:pPr>
            <w:r>
              <w:rPr>
                <w:rFonts w:ascii="Arial" w:cs="Arial" w:eastAsia="Arial" w:hAnsi="Arial"/>
                <w:sz w:val="14"/>
                <w:szCs w:val="14"/>
                <w:color w:val="auto"/>
              </w:rPr>
              <w:t>NM</w:t>
            </w:r>
          </w:p>
        </w:tc>
      </w:tr>
      <w:tr>
        <w:trPr>
          <w:trHeight w:val="248"/>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(43.3)%</w:t>
            </w:r>
          </w:p>
        </w:tc>
      </w:tr>
      <w:tr>
        <w:trPr>
          <w:trHeight w:val="276"/>
        </w:trPr>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91.1%</w:t>
            </w:r>
          </w:p>
        </w:tc>
      </w:tr>
      <w:tr>
        <w:trPr>
          <w:trHeight w:val="276"/>
        </w:trPr>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4"/>
                <w:szCs w:val="14"/>
                <w:color w:val="auto"/>
              </w:rPr>
              <w:t>NM</w:t>
            </w:r>
          </w:p>
        </w:tc>
      </w:tr>
      <w:tr>
        <w:trPr>
          <w:trHeight w:val="276"/>
        </w:trPr>
        <w:tc>
          <w:tcPr>
            <w:tcW w:w="46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2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4"/>
                <w:szCs w:val="14"/>
                <w:color w:val="auto"/>
              </w:rPr>
              <w:t>(32.7)%</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1875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5"/>
        <w:spacing w:after="0" w:line="352" w:lineRule="auto"/>
        <w:tabs>
          <w:tab w:leader="none" w:pos="813"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2019 Compared to Three Months Ended March 31,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Our total revenues decreased $452.1 million, or 55.5%, to $363.0 million for the three months ended March 31, 2019, compared to $815.1 million for the three months ended March 31, 2018. The decrease was primarily attributable to the gain on the sale of BondPoint to ICE of $337.6 million recognized in January 2018. We had increases in interest and dividends income of $11.2 million and commissions, net and technology services of $21.3 million for the three months ended March 31, 2019 as compared to the prior-year period. The increase in Commissions, net and technology services was primarily attributable to the results of ITG from the ITG Closing Date through March 31, 2019.</w:t>
      </w:r>
    </w:p>
    <w:p>
      <w:pPr>
        <w:sectPr>
          <w:pgSz w:w="11900" w:h="16838" w:orient="portrait"/>
          <w:cols w:equalWidth="0" w:num="1">
            <w:col w:w="11380"/>
          </w:cols>
          <w:pgMar w:left="240" w:top="127" w:right="2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127" w:right="279" w:bottom="1440" w:gutter="0" w:footer="0" w:header="0"/>
          <w:type w:val="continuous"/>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total revenues by segment for the three months ended March 31, 2019 and 2018.</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Three Months Ended March 31,</w:t>
            </w:r>
          </w:p>
        </w:tc>
        <w:tc>
          <w:tcPr>
            <w:tcW w:w="1700" w:type="dxa"/>
            <w:vAlign w:val="bottom"/>
            <w:tcBorders>
              <w:bottom w:val="single" w:sz="8" w:color="auto"/>
            </w:tcBorders>
          </w:tcPr>
          <w:p>
            <w:pPr>
              <w:spacing w:after="0"/>
              <w:rPr>
                <w:sz w:val="16"/>
                <w:szCs w:val="16"/>
                <w:color w:val="auto"/>
              </w:rPr>
            </w:pPr>
          </w:p>
        </w:tc>
      </w:tr>
      <w:tr>
        <w:trPr>
          <w:trHeight w:val="25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255,121</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405,709</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89"/>
              </w:rPr>
              <w:t>(37.1)%</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18,503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17,769</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4.1%</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8,501</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89"/>
              </w:rPr>
              <w:t>(41.2)%</w:t>
            </w:r>
          </w:p>
        </w:tc>
      </w:tr>
      <w:tr>
        <w:trPr>
          <w:trHeight w:val="262"/>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7.2%</w:t>
            </w:r>
          </w:p>
        </w:tc>
      </w:tr>
      <w:tr>
        <w:trPr>
          <w:trHeight w:val="275"/>
        </w:trPr>
        <w:tc>
          <w:tcPr>
            <w:tcW w:w="4160" w:type="dxa"/>
            <w:vAlign w:val="bottom"/>
          </w:tcPr>
          <w:p>
            <w:pPr>
              <w:ind w:left="160"/>
              <w:spacing w:after="0"/>
              <w:rPr>
                <w:sz w:val="20"/>
                <w:szCs w:val="20"/>
                <w:color w:val="auto"/>
              </w:rPr>
            </w:pPr>
            <w:r>
              <w:rPr>
                <w:rFonts w:ascii="Arial" w:cs="Arial" w:eastAsia="Arial" w:hAnsi="Arial"/>
                <w:sz w:val="14"/>
                <w:szCs w:val="14"/>
                <w:color w:val="auto"/>
              </w:rPr>
              <w:t>Total revenues from Market Making</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279,221</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432,536</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89"/>
              </w:rPr>
              <w:t>(35.4)%</w:t>
            </w:r>
          </w:p>
        </w:tc>
      </w:tr>
      <w:tr>
        <w:trPr>
          <w:trHeight w:val="255"/>
        </w:trPr>
        <w:tc>
          <w:tcPr>
            <w:tcW w:w="41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434.0%</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10,628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87"/>
              </w:rPr>
              <w:t>7,229.7%</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70,147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45,343</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54.7%</w:t>
            </w:r>
          </w:p>
        </w:tc>
      </w:tr>
      <w:tr>
        <w:trPr>
          <w:trHeight w:val="257"/>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337,838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(99.9)%</w:t>
            </w:r>
          </w:p>
        </w:tc>
      </w:tr>
      <w:tr>
        <w:trPr>
          <w:trHeight w:val="235"/>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revenues from Execution Services</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83,518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383,779</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(78.2)%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255"/>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75"/>
        </w:trPr>
        <w:tc>
          <w:tcPr>
            <w:tcW w:w="4160" w:type="dxa"/>
            <w:vAlign w:val="bottom"/>
          </w:tcPr>
          <w:p>
            <w:pPr>
              <w:ind w:left="160"/>
              <w:spacing w:after="0"/>
              <w:rPr>
                <w:sz w:val="20"/>
                <w:szCs w:val="20"/>
                <w:color w:val="auto"/>
              </w:rPr>
            </w:pPr>
            <w:r>
              <w:rPr>
                <w:rFonts w:ascii="Arial" w:cs="Arial" w:eastAsia="Arial" w:hAnsi="Arial"/>
                <w:sz w:val="14"/>
                <w:szCs w:val="14"/>
                <w:color w:val="auto"/>
              </w:rPr>
              <w:t>Total revenues from Corporate</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55"/>
        </w:trPr>
        <w:tc>
          <w:tcPr>
            <w:tcW w:w="41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257,540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406,162</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(36.6)%</w:t>
            </w:r>
          </w:p>
        </w:tc>
      </w:tr>
      <w:tr>
        <w:trPr>
          <w:trHeight w:val="257"/>
        </w:trPr>
        <w:tc>
          <w:tcPr>
            <w:tcW w:w="4160" w:type="dxa"/>
            <w:vAlign w:val="bottom"/>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29,131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17,949</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0"/>
              </w:rPr>
              <w:t>62.3%</w:t>
            </w:r>
          </w:p>
        </w:tc>
      </w:tr>
      <w:tr>
        <w:trPr>
          <w:trHeight w:val="268"/>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75,147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53,844</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r>
      <w:tr>
        <w:trPr>
          <w:trHeight w:val="257"/>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1,173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337,098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(99.7)%</w:t>
            </w:r>
          </w:p>
        </w:tc>
      </w:tr>
      <w:tr>
        <w:trPr>
          <w:trHeight w:val="235"/>
        </w:trPr>
        <w:tc>
          <w:tcPr>
            <w:tcW w:w="4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362,991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815,053</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decreased $148.6 million,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36.6%, to $257.5 million for the three months ended March 31, 2019, compared to $406.2 million for the three months ended March 31, 2018. The decrease was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primarily attributable to the lack of volatility and low trading volume across major asset categories during the three months ended March 31, 2019 compared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prior period. Rather than analyzing trading income, net, in isolation, we generally evaluate it in the broader context of our Adjusted Net Trading Income, together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with interest and dividends income, interest and dividends expense, payments for flow order, and brokerage, exchange and clearance fees, net, each of which are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described below.</w:t>
      </w:r>
    </w:p>
    <w:p>
      <w:pPr>
        <w:spacing w:after="0" w:line="213" w:lineRule="exact"/>
        <w:rPr>
          <w:sz w:val="20"/>
          <w:szCs w:val="20"/>
          <w:color w:val="auto"/>
        </w:rPr>
      </w:pPr>
    </w:p>
    <w:p>
      <w:pPr>
        <w:ind w:right="120" w:firstLine="630"/>
        <w:spacing w:after="0" w:line="315" w:lineRule="auto"/>
        <w:rPr>
          <w:sz w:val="20"/>
          <w:szCs w:val="20"/>
          <w:color w:val="auto"/>
        </w:rPr>
      </w:pPr>
      <w:r>
        <w:rPr>
          <w:rFonts w:ascii="Arial" w:cs="Arial" w:eastAsia="Arial" w:hAnsi="Arial"/>
          <w:sz w:val="15"/>
          <w:szCs w:val="15"/>
          <w:b w:val="1"/>
          <w:bCs w:val="1"/>
          <w:i w:val="1"/>
          <w:iCs w:val="1"/>
          <w:color w:val="auto"/>
        </w:rPr>
        <w:t xml:space="preserve">Interest and dividends income. </w:t>
      </w:r>
      <w:r>
        <w:rPr>
          <w:rFonts w:ascii="Arial" w:cs="Arial" w:eastAsia="Arial" w:hAnsi="Arial"/>
          <w:sz w:val="15"/>
          <w:szCs w:val="15"/>
          <w:color w:val="auto"/>
        </w:rPr>
        <w:t>Interest and dividends income was primarily earned by our Market Making segment. Interest and dividends income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$11.2 million, or 62.3%, to $29.1 million for the three months ended March 31, 2019, compared to $17.9 million for the three months ended March 31, 2018. This increase was primarily attributable to the higher interest income earned on cash collateral posted as part of securities loaned transactions. As indicated above, rather than analyzing interest and dividends income in isolation, we generally evaluate it in the broader context of our Adjusted Net Trading Income.</w:t>
      </w:r>
    </w:p>
    <w:p>
      <w:pPr>
        <w:spacing w:after="0" w:line="144"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Commissions, net and technology services revenues increased $21.3 million, or 39.6%, to $75.1 million for the three months ended March 31, 2019, compared to $53.8 million for the three months ended March 31, 2018. The increase was primarily attributable to the ITG Acquisition, which brought new clients to our Execution Services segment. The ITG Acquisition also brought recurring connectivity revenues generated from workflow technology and subscription revenues from analytics services to Commissions, net and technology services during the three months ended March 31, 2019.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right="60" w:firstLine="630"/>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revenues were primarily earned by our Corporate segment. Other, net was $1.2 million for the three months ended March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$337.1 million for the three months ended March 31, 2018. The decrease was primarily due to the one-time transaction gain of $337.6 million on the sale of BondPoint to ICE in January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Adjusted Net Trading Income decreased $111.4 million, or 32.7%, to $228.8 million for the three months ended March 31, 2019, compared to $340.3 million for the three months ended March 31, 2018. This decrease was primarily attributable to lower Trading income, net, driven by the lack of volatility and low trading volume across major asset categories during the three months ended March 31, 2019 compared to the prior period. There were decreases in Global Equities of $109.4 million, or 43.9%, and Global FICC, Options and Other of $30.2 million, or 45.5%, from the Market Making segment for the three months ended March 31, 2019. These decreases were partially offset by an increase of $24.3 million, or 91.1%, from the Execution Services segment. Adjusted Net Trading Income per day decreased $1.8 million, or 32.7%, to $3.8 million for the three months ended March 31, 2019, compared to $5.6 million for the three months ended March 31, 2018. There were 61 trading days for both the three months ended March 31,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160" w:firstLine="630"/>
        <w:spacing w:after="0" w:line="298" w:lineRule="auto"/>
        <w:rPr>
          <w:sz w:val="20"/>
          <w:szCs w:val="20"/>
          <w:color w:val="auto"/>
        </w:rPr>
      </w:pPr>
      <w:r>
        <w:rPr>
          <w:rFonts w:ascii="Arial" w:cs="Arial" w:eastAsia="Arial" w:hAnsi="Arial"/>
          <w:sz w:val="16"/>
          <w:szCs w:val="16"/>
          <w:color w:val="auto"/>
        </w:rPr>
        <w:t>Our operating expenses increased $32.7 million, or 9.4%, to $379.2 million for the three months ended March 31, 2019, compared to $346.5 million for the three months ended March 31, 2018. The increase in operating expenses is primarily due to the ITG Acquisition, which caused an increase in transaction-related expenses, as well as an overall increase in expenses in multiple expense categories as described in more detail below.</w:t>
      </w:r>
    </w:p>
    <w:p>
      <w:pPr>
        <w:spacing w:after="0" w:line="155" w:lineRule="exact"/>
        <w:rPr>
          <w:sz w:val="20"/>
          <w:szCs w:val="20"/>
          <w:color w:val="auto"/>
        </w:rPr>
      </w:pPr>
    </w:p>
    <w:p>
      <w:pPr>
        <w:ind w:right="200" w:firstLine="630"/>
        <w:spacing w:after="0" w:line="290" w:lineRule="auto"/>
        <w:rPr>
          <w:sz w:val="20"/>
          <w:szCs w:val="20"/>
          <w:color w:val="auto"/>
        </w:rPr>
      </w:pPr>
      <w:r>
        <w:rPr>
          <w:rFonts w:ascii="Arial" w:cs="Arial" w:eastAsia="Arial" w:hAnsi="Arial"/>
          <w:sz w:val="16"/>
          <w:szCs w:val="16"/>
          <w:b w:val="1"/>
          <w:bCs w:val="1"/>
          <w:i w:val="1"/>
          <w:iCs w:val="1"/>
          <w:color w:val="auto"/>
        </w:rPr>
        <w:t xml:space="preserve">Brokerage, exchange and clearance fees, net. </w:t>
      </w:r>
      <w:r>
        <w:rPr>
          <w:rFonts w:ascii="Arial" w:cs="Arial" w:eastAsia="Arial" w:hAnsi="Arial"/>
          <w:sz w:val="16"/>
          <w:szCs w:val="16"/>
          <w:color w:val="auto"/>
        </w:rPr>
        <w:t>Brokerage exchange and clearance fees, net, decreased $23.8 million, or 27.1%, to $64.1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compared to $87.8 million for the three months ended March 31, 2018. This decrease was primarily attributable to the decrease in volume we traded in Americas Equities instruments and other asset categories. As indicated above, rather than analyzing brokerage, exchange and clearance fees, net, in isolation, we generally evaluate it in the broader context of our Adjusted Net Trading Income.</w:t>
      </w:r>
    </w:p>
    <w:p>
      <w:pPr>
        <w:spacing w:after="0" w:line="161" w:lineRule="exact"/>
        <w:rPr>
          <w:sz w:val="20"/>
          <w:szCs w:val="20"/>
          <w:color w:val="auto"/>
        </w:rPr>
      </w:pPr>
    </w:p>
    <w:p>
      <w:pPr>
        <w:ind w:right="380" w:firstLine="630"/>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decreased $7.7 million, or 15.5%, to $41.8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2019, compared to $49.5 million for the three months ended March 31, 2018. This decrease was primarily due to reductions in connectivity connections as a result of an on-going effort to consolidate various communication and data processing subscriptions. The decrease was partially offset by the additional connectivity and market data service subscriptions acquired as part of the ITG Acquisition.</w:t>
      </w:r>
    </w:p>
    <w:p>
      <w:pPr>
        <w:spacing w:after="0" w:line="161"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$43.2 million, or 66.7%, to $107.8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2019, compared to $64.7 million for the three months ended March 31, 2018. The increase in compensation levels was primarily attributable to the increases in headcount subsequent to the ITG Acquisition. Incentive compensation is recorded at management’s discretion and is generally accrued in connection with the overall level of profitability. We have capitalized and therefore excluded employee compensation and benefits related to software development of $0.0 million, and $7.1 million for the three months ended March 31, 2019, and 2018, respectively.</w:t>
      </w:r>
    </w:p>
    <w:p>
      <w:pPr>
        <w:spacing w:after="0" w:line="164"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increased $7.3 million, or 44.9%, to $23.6 million for the three months ended March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$16.3 million for the three months ended March 31, 2018. The increase was primarily attributable to the increase in volumes from our broker-dealer clients eligible for payments for order flow, including a new counterparty onboarded during 2019. As indicated above, rather than analyzing payments for order flow, in isolation, we generally evaluate it in the broader context of our Adjusted Net Trading Income.</w:t>
      </w:r>
    </w:p>
    <w:p>
      <w:pPr>
        <w:spacing w:after="0" w:line="177"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Interest and dividends expense increased $11.7 million, or 34.9%, to $45.4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compared to $33.6 million for the three months ended March 31, 2018. This increase was primarily attributable to higher interest expense incurred on cash collateral received as part of securities lending transactions, as well as increased interest expense resulting from the ITG Acquisition. As indicated above, rather than analyzing interest and dividends expense in isolation, we generally evaluate it in the broader context of our Adjusted Net Trading Income.</w:t>
      </w:r>
    </w:p>
    <w:p>
      <w:pPr>
        <w:spacing w:after="0" w:line="161" w:lineRule="exact"/>
        <w:rPr>
          <w:sz w:val="20"/>
          <w:szCs w:val="20"/>
          <w:color w:val="auto"/>
        </w:rPr>
      </w:pPr>
    </w:p>
    <w:p>
      <w:pPr>
        <w:jc w:val="both"/>
        <w:ind w:right="340" w:firstLine="630"/>
        <w:spacing w:after="0" w:line="326" w:lineRule="auto"/>
        <w:rPr>
          <w:sz w:val="20"/>
          <w:szCs w:val="20"/>
          <w:color w:val="auto"/>
        </w:rPr>
      </w:pPr>
      <w:r>
        <w:rPr>
          <w:rFonts w:ascii="Arial" w:cs="Arial" w:eastAsia="Arial" w:hAnsi="Arial"/>
          <w:sz w:val="15"/>
          <w:szCs w:val="15"/>
          <w:b w:val="1"/>
          <w:bCs w:val="1"/>
          <w:i w:val="1"/>
          <w:iCs w:val="1"/>
          <w:color w:val="auto"/>
        </w:rPr>
        <w:t xml:space="preserve">Operations and administrative. </w:t>
      </w:r>
      <w:r>
        <w:rPr>
          <w:rFonts w:ascii="Arial" w:cs="Arial" w:eastAsia="Arial" w:hAnsi="Arial"/>
          <w:sz w:val="15"/>
          <w:szCs w:val="15"/>
          <w:color w:val="auto"/>
        </w:rPr>
        <w:t>Operations and administrative expense increased $2.2 million, or 10.8%, to $22.1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2019, compared to $19.9 million for the three months ended March 31, 2018. This increase was primarily attributable to the additional occupancy, professional and consulting expenses resulting from the ITG Acquisition. We have an on-going effort to consolidate office premises and professional services.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127"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20" w:firstLine="630"/>
        <w:spacing w:after="0" w:line="274"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$1.1 million, or 7.2%, to $16.5 million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compared to $15.3 million for the three months ended March 31, 2018. This increase was primarily attributable to depreciation and amortization of additional assets resulting from the ITG Acquisition.</w:t>
      </w:r>
    </w:p>
    <w:p>
      <w:pPr>
        <w:spacing w:after="0" w:line="170" w:lineRule="exact"/>
        <w:rPr>
          <w:sz w:val="20"/>
          <w:szCs w:val="20"/>
          <w:color w:val="auto"/>
        </w:rPr>
      </w:pPr>
    </w:p>
    <w:p>
      <w:pPr>
        <w:ind w:right="300" w:firstLine="630"/>
        <w:spacing w:after="0" w:line="274"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$4.1 million, or 59.4%, to $10.9 million for the three months ended March 31, 2019, compared to $6.9 million for the three months ended March 31, 2018. This increase was due to the amortization of intangible assets acquired in connection with the ITG Acquisition.</w:t>
      </w:r>
    </w:p>
    <w:p>
      <w:pPr>
        <w:spacing w:after="0" w:line="170" w:lineRule="exact"/>
        <w:rPr>
          <w:sz w:val="20"/>
          <w:szCs w:val="20"/>
          <w:color w:val="auto"/>
        </w:rPr>
      </w:pPr>
    </w:p>
    <w:p>
      <w:pPr>
        <w:ind w:right="60" w:firstLine="630"/>
        <w:spacing w:after="0" w:line="326" w:lineRule="auto"/>
        <w:rPr>
          <w:sz w:val="20"/>
          <w:szCs w:val="20"/>
          <w:color w:val="auto"/>
        </w:rPr>
      </w:pPr>
      <w:r>
        <w:rPr>
          <w:rFonts w:ascii="Arial" w:cs="Arial" w:eastAsia="Arial" w:hAnsi="Arial"/>
          <w:sz w:val="15"/>
          <w:szCs w:val="15"/>
          <w:b w:val="1"/>
          <w:bCs w:val="1"/>
          <w:i w:val="1"/>
          <w:iCs w:val="1"/>
          <w:color w:val="auto"/>
        </w:rPr>
        <w:t xml:space="preserve">Termination of office leases. </w:t>
      </w:r>
      <w:r>
        <w:rPr>
          <w:rFonts w:ascii="Arial" w:cs="Arial" w:eastAsia="Arial" w:hAnsi="Arial"/>
          <w:sz w:val="15"/>
          <w:szCs w:val="15"/>
          <w:color w:val="auto"/>
        </w:rPr>
        <w:t>We recognized approximately $20.0 million in termination of office leases for the three months ended March 31, 2018.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termination of office leases represents the one-time write-off charge on future lease payment liabilities for certain abandoned office space as part of the effort to integrate and consolidate office space in connection with the Acquisition of KCG. We did not incur such expenses during the three months ended March 31, 2019.</w:t>
      </w:r>
    </w:p>
    <w:p>
      <w:pPr>
        <w:spacing w:after="0" w:line="137"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b w:val="1"/>
          <w:bCs w:val="1"/>
          <w:i w:val="1"/>
          <w:iCs w:val="1"/>
          <w:color w:val="auto"/>
        </w:rPr>
        <w:t xml:space="preserve">Debt issue cost related to debt refinancing. </w:t>
      </w:r>
      <w:r>
        <w:rPr>
          <w:rFonts w:ascii="Arial" w:cs="Arial" w:eastAsia="Arial" w:hAnsi="Arial"/>
          <w:sz w:val="17"/>
          <w:szCs w:val="17"/>
          <w:color w:val="auto"/>
        </w:rPr>
        <w:t>Debt issue costs related to debt refinancing increased $3.2 million, or 53.0%, to $9.2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2019, compared to $6.0 million for the three months ended March 31, 2018. In connection with the ITG Acquisition, we terminated the Fourth Amended and Restated Credit Agreement and entered into the Credit Agreement. The termination of the Senior Secured Term Loan Facility (as defined below) resulted in an acceleration of related debt issuance costs and discounts on the credit facility of $9.2 million for the three months ended March 31, 2019. For the three months ended March 31, 2018, we recognized similar acceleration of debt issuance costs of $3.2 million as a result of a large principal payment made in connection with the sale of BondPoint.</w:t>
      </w:r>
    </w:p>
    <w:p>
      <w:pPr>
        <w:spacing w:after="0" w:line="180"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increased $7.6 million, or 101.6%, to $15.1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2019, compared to $7.5 million for the three months ended March 31, 2018. The increase was primarily attributable to the ITG Acquisition, for which we incurred significantly higher transaction advisory fees than those incurred in connection with the sale of BondPoint in January 2018.</w:t>
      </w:r>
    </w:p>
    <w:p>
      <w:pPr>
        <w:spacing w:after="0" w:line="155" w:lineRule="exact"/>
        <w:rPr>
          <w:sz w:val="20"/>
          <w:szCs w:val="20"/>
          <w:color w:val="auto"/>
        </w:rPr>
      </w:pPr>
    </w:p>
    <w:p>
      <w:pPr>
        <w:ind w:right="2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There were no charges related to share-based compensation at IPO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2019, due to the fact that certain Virtu Class B Interests and East MIP Class B Interests became fully vested. Such charges were $14 thousand for the three months ended March 31, 2018.</w:t>
      </w:r>
    </w:p>
    <w:p>
      <w:pPr>
        <w:spacing w:after="0" w:line="170" w:lineRule="exact"/>
        <w:rPr>
          <w:sz w:val="20"/>
          <w:szCs w:val="20"/>
          <w:color w:val="auto"/>
        </w:rPr>
      </w:pPr>
    </w:p>
    <w:p>
      <w:pPr>
        <w:ind w:right="260" w:firstLine="630"/>
        <w:spacing w:after="0" w:line="268"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increased $3.7 million, or 19.6%, to $22.8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March 31, 2019, compared to $19.0 million for the three months ended March 31, 2018. This increase was primarily attributable to the increase in outstanding principal as a result of the First Lien Term Loan Facility, as discussed in Note 10 “Borrowings” of Part I Item 1 “Financial Statements”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24"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decreased $61.1 million, to $(2.6) million for the three months ended March 31, 2019, compared to $58.5 million for the three months ended March 31, 2018. The decrease was primarily due to a decrease in income before income taxes and noncontrolling interest.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80" w:firstLine="630"/>
        <w:spacing w:after="0" w:line="309" w:lineRule="auto"/>
        <w:rPr>
          <w:sz w:val="20"/>
          <w:szCs w:val="20"/>
          <w:color w:val="auto"/>
        </w:rPr>
      </w:pPr>
      <w:r>
        <w:rPr>
          <w:rFonts w:ascii="Arial" w:cs="Arial" w:eastAsia="Arial" w:hAnsi="Arial"/>
          <w:sz w:val="15"/>
          <w:szCs w:val="15"/>
          <w:color w:val="auto"/>
        </w:rPr>
        <w:t>As of March 31, 2019, we had $771.0 million in Cash and cash equivalents, and $17.3 million in Cash and securities segregated under regulations and other. These balances are maintained primarily to support operating activities for capital expenditures and for short-term access to liquidity, and for other general corporate purposes. As of March 31, 2019, we had borrowings under our short-term credit facilities of approximately $136.1 million, borrowing under broker dealer facilities of $17.0 million, short-term bank overdrafts of $146.3 million, and long-term debt outstanding in an aggregate principal amount of approximately $2,031.6 million. As of March 31, 2019, our regulatory capital requirements for domestic U.S. broker-dealer subsidiaries were $5.3 million, in aggregate.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wholly-owned broker-dealer subsidiaries. Additionally, we also maintain a revolving credit facility with three of our wholly-owned broker-dealer subsidiaries, as discussed in Note 10 “Borrowings” of Part I Item 1 “Financial Statements” of this quarterly report on Form 10-Q.</w:t>
      </w:r>
    </w:p>
    <w:p>
      <w:pPr>
        <w:spacing w:after="0" w:line="183"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1"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24"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certain reorganization transactions consummated in connection with the IPO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Item 1 “Financial Statements” of this quarterly report on Form 10-Q are expected to range from approximately $4.7 million to $17.0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$12.4 million in September 2018. Future payments under the tax receivable agreements in respect of subsequent exchanges would be in addition to these amounts. We currently expect to fund these payments from realized cash tax savings from the favorable tax attributes.</w:t>
      </w:r>
    </w:p>
    <w:p>
      <w:pPr>
        <w:spacing w:after="0" w:line="181"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or the indenture governing our Notes restricts the ability of our subsidiaries to make distributions to us) such payments will be deferred and will accrue interest until paid.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24"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Certain of our operating subsidiaries are subject to separate regulation and capital requirements in the United States and other jurisdictions. Virtu Financial BD LLC, Virtu Americas LLC, Virtu Financial Capital Markets LLC, Virtu ITG LLC, and Virtu Alternet Securities LLC, the latter two of which became our subsidiaries following the ITG Acquisition, are registered U.S. broker-dealers, and their primary regulators include the SEC, the Chicago Stock Exchange and the Financial Industry Regulatory Authority (“FINRA”).</w:t>
      </w:r>
    </w:p>
    <w:p>
      <w:pPr>
        <w:spacing w:after="0" w:line="177" w:lineRule="exact"/>
        <w:rPr>
          <w:sz w:val="20"/>
          <w:szCs w:val="20"/>
          <w:color w:val="auto"/>
        </w:rPr>
      </w:pPr>
    </w:p>
    <w:p>
      <w:pPr>
        <w:ind w:right="260" w:firstLine="630"/>
        <w:spacing w:after="0" w:line="290"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Americas LLC is also subject to rules set forth by NYSE and is required to maintain a certain level of capital in connection with the operation of its designated market maker business.</w:t>
      </w:r>
    </w:p>
    <w:p>
      <w:pPr>
        <w:spacing w:after="0" w:line="180" w:lineRule="exact"/>
        <w:rPr>
          <w:sz w:val="20"/>
          <w:szCs w:val="20"/>
          <w:color w:val="auto"/>
        </w:rPr>
      </w:pPr>
    </w:p>
    <w:p>
      <w:pPr>
        <w:ind w:right="60" w:firstLine="630"/>
        <w:spacing w:after="0" w:line="279" w:lineRule="auto"/>
        <w:rPr>
          <w:sz w:val="20"/>
          <w:szCs w:val="20"/>
          <w:color w:val="auto"/>
        </w:rPr>
      </w:pPr>
      <w:r>
        <w:rPr>
          <w:rFonts w:ascii="Arial" w:cs="Arial" w:eastAsia="Arial" w:hAnsi="Arial"/>
          <w:sz w:val="16"/>
          <w:szCs w:val="16"/>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 license. KCG Europe Limited and Virtu ITG UK Limited are regulated by the Financial Conduct Authority in the United Kingdom and are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171" w:lineRule="exact"/>
        <w:rPr>
          <w:sz w:val="20"/>
          <w:szCs w:val="20"/>
          <w:color w:val="auto"/>
        </w:rPr>
      </w:pPr>
    </w:p>
    <w:p>
      <w:pPr>
        <w:ind w:right="480" w:firstLine="630"/>
        <w:spacing w:after="0" w:line="290" w:lineRule="auto"/>
        <w:rPr>
          <w:sz w:val="20"/>
          <w:szCs w:val="20"/>
          <w:color w:val="auto"/>
        </w:rPr>
      </w:pPr>
      <w:r>
        <w:rPr>
          <w:rFonts w:ascii="Arial" w:cs="Arial" w:eastAsia="Arial" w:hAnsi="Arial"/>
          <w:sz w:val="17"/>
          <w:szCs w:val="17"/>
          <w:color w:val="auto"/>
        </w:rPr>
        <w:t>See Note 20 “Regulatory Requirement” of Part I Item 1 “Financial Statements”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Borrowings</w:t>
      </w:r>
    </w:p>
    <w:p>
      <w:pPr>
        <w:spacing w:after="0" w:line="224" w:lineRule="exact"/>
        <w:rPr>
          <w:sz w:val="20"/>
          <w:szCs w:val="20"/>
          <w:color w:val="auto"/>
        </w:rPr>
      </w:pPr>
    </w:p>
    <w:p>
      <w:pPr>
        <w:ind w:right="120" w:firstLine="630"/>
        <w:spacing w:after="0" w:line="264"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Part I Item 1 “Financial Statements” of this quarterly report on Form 10-Q for details on our various credit facilities. As of March 31, 2019, the outstanding principal balance on our broker-dealer facilities was $17.0 million, and the outstanding aggregate short-term credit facilities with various prime brokers and other financial institutions from which the Company receives execution or clearing services was approximately $136.1 million, which was netted within Receivables from broker-dealers and clearing organizations on the condensed consolidated statement of financial condition of Part I Item 1 “Financial Statements”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24" w:lineRule="exact"/>
        <w:rPr>
          <w:sz w:val="20"/>
          <w:szCs w:val="20"/>
          <w:color w:val="auto"/>
        </w:rPr>
      </w:pPr>
    </w:p>
    <w:p>
      <w:pPr>
        <w:ind w:right="280" w:firstLine="630"/>
        <w:spacing w:after="0" w:line="323"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35" w:lineRule="exact"/>
        <w:rPr>
          <w:sz w:val="20"/>
          <w:szCs w:val="20"/>
          <w:color w:val="auto"/>
        </w:rPr>
      </w:pPr>
    </w:p>
    <w:p>
      <w:pPr>
        <w:ind w:right="100" w:firstLine="630"/>
        <w:spacing w:after="0" w:line="264" w:lineRule="auto"/>
        <w:rPr>
          <w:sz w:val="20"/>
          <w:szCs w:val="20"/>
          <w:color w:val="auto"/>
        </w:rPr>
      </w:pPr>
      <w:r>
        <w:rPr>
          <w:rFonts w:ascii="Arial" w:cs="Arial" w:eastAsia="Arial" w:hAnsi="Arial"/>
          <w:sz w:val="17"/>
          <w:szCs w:val="17"/>
          <w:color w:val="auto"/>
        </w:rPr>
        <w:t>The Credit Agreement provides (i) a senior secured first lien term loan in an aggregate principal amount of $1.5 billion, drawn in its entirety on the ITG Closing Date, with approximately $404.5 million borrowed by VFH to repay all amounts outstanding under the Company's Fourth Amended and Restated Credit Agreement and the remaining approximately $1,095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w:t>
      </w:r>
    </w:p>
    <w:p>
      <w:pPr>
        <w:spacing w:after="0" w:line="180" w:lineRule="exact"/>
        <w:rPr>
          <w:sz w:val="20"/>
          <w:szCs w:val="20"/>
          <w:color w:val="auto"/>
        </w:rPr>
      </w:pPr>
    </w:p>
    <w:p>
      <w:pPr>
        <w:ind w:right="140" w:firstLine="630"/>
        <w:spacing w:after="0" w:line="277" w:lineRule="auto"/>
        <w:rPr>
          <w:sz w:val="20"/>
          <w:szCs w:val="20"/>
          <w:color w:val="auto"/>
        </w:rPr>
      </w:pPr>
      <w:r>
        <w:rPr>
          <w:rFonts w:ascii="Arial" w:cs="Arial" w:eastAsia="Arial" w:hAnsi="Arial"/>
          <w:sz w:val="16"/>
          <w:szCs w:val="16"/>
          <w:color w:val="auto"/>
        </w:rPr>
        <w:t>The term loan borrowings and revolver borrowings under the Credit Agreement will bear interest at a per annum rate equal to, at our election, either (i) the greatest of (a) the prime rate in effect, (b) the greater of (i) the federal funds effective rate and (ii)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3.50%, with a stepdown to 3.25% based on VFH’s first lien leverage ratio.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The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161"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Under the Credit Agreement, term loans will mature on March 1, 2026; provided that unless at least $400.0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w:t>
      </w:r>
    </w:p>
    <w:p>
      <w:pPr>
        <w:spacing w:after="0" w:line="18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To finance the Acquisition of KCG, on June 30, 2017, Virtu Financial and VFH previously entered into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“Senior Secured Term Loan Facility”). As described above, the Senior Secured Term Loan Facility was fully terminated following its repayment in full with the proceeds of the First Lien Term Loan Facility.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Credit Agreement as of March 31,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Second Lien Notes</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On June 16, 2017, Orchestra Borrower LLC (the “Escrow Issuer”), a wholly-owned subsidiary of Virtu Financial, and Orchestra Co-Issuer, Inc. (the “Co-Issuer”) completed the offering of $500 million aggregate principal amount of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81" w:lineRule="exact"/>
        <w:rPr>
          <w:sz w:val="20"/>
          <w:szCs w:val="20"/>
          <w:color w:val="auto"/>
        </w:rPr>
      </w:pPr>
    </w:p>
    <w:p>
      <w:pPr>
        <w:ind w:right="260" w:firstLine="630"/>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Notes are guaranteed by Virtu Financial and each of Virtu Financial’s wholly-owned domestic restricted subsidiaries that guarantee the Credit Agreement. We refer to VFH and the Co-Issuer together as, the “Issuers.”</w:t>
      </w:r>
    </w:p>
    <w:p>
      <w:pPr>
        <w:spacing w:after="0" w:line="17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later-acquired foreign subsidiaries that are directly owned by the Issuers or any of the guarantors, which assets also secure obligations under the Credit Agreement on a first-priority basis.</w:t>
      </w:r>
    </w:p>
    <w:p>
      <w:pPr>
        <w:spacing w:after="0" w:line="181" w:lineRule="exact"/>
        <w:rPr>
          <w:sz w:val="20"/>
          <w:szCs w:val="20"/>
          <w:color w:val="auto"/>
        </w:rPr>
      </w:pPr>
    </w:p>
    <w:p>
      <w:pPr>
        <w:ind w:firstLine="630"/>
        <w:spacing w:after="0" w:line="283" w:lineRule="auto"/>
        <w:rPr>
          <w:sz w:val="20"/>
          <w:szCs w:val="20"/>
          <w:color w:val="auto"/>
        </w:rPr>
      </w:pPr>
      <w:r>
        <w:rPr>
          <w:rFonts w:ascii="Arial" w:cs="Arial" w:eastAsia="Arial" w:hAnsi="Arial"/>
          <w:sz w:val="16"/>
          <w:szCs w:val="16"/>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8" w:lineRule="exact"/>
        <w:rPr>
          <w:sz w:val="20"/>
          <w:szCs w:val="20"/>
          <w:color w:val="auto"/>
        </w:rPr>
      </w:pPr>
    </w:p>
    <w:p>
      <w:pPr>
        <w:ind w:right="160" w:firstLine="630"/>
        <w:spacing w:after="0" w:line="274" w:lineRule="auto"/>
        <w:rPr>
          <w:sz w:val="20"/>
          <w:szCs w:val="20"/>
          <w:color w:val="auto"/>
        </w:rPr>
      </w:pPr>
      <w:r>
        <w:rPr>
          <w:rFonts w:ascii="Arial" w:cs="Arial" w:eastAsia="Arial" w:hAnsi="Arial"/>
          <w:sz w:val="17"/>
          <w:szCs w:val="17"/>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127"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70"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15th of the years indicated below:</w:t>
      </w:r>
    </w:p>
    <w:p>
      <w:pPr>
        <w:spacing w:after="0" w:line="173" w:lineRule="exact"/>
        <w:rPr>
          <w:sz w:val="20"/>
          <w:szCs w:val="20"/>
          <w:color w:val="auto"/>
        </w:rPr>
      </w:pPr>
    </w:p>
    <w:tbl>
      <w:tblPr>
        <w:tblLayout w:type="fixed"/>
        <w:tblInd w:w="1680" w:type="dxa"/>
        <w:tblCellMar>
          <w:top w:w="0" w:type="dxa"/>
          <w:left w:w="0" w:type="dxa"/>
          <w:bottom w:w="0" w:type="dxa"/>
          <w:right w:w="0" w:type="dxa"/>
        </w:tblCellMar>
      </w:tblPr>
      <w:tr>
        <w:trPr>
          <w:trHeight w:val="188"/>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48"/>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21"/>
                <w:szCs w:val="21"/>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103.375%</w:t>
            </w:r>
          </w:p>
        </w:tc>
      </w:tr>
      <w:tr>
        <w:trPr>
          <w:trHeight w:val="257"/>
        </w:trPr>
        <w:tc>
          <w:tcPr>
            <w:tcW w:w="532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Arial" w:cs="Arial" w:eastAsia="Arial" w:hAnsi="Arial"/>
                <w:sz w:val="14"/>
                <w:szCs w:val="14"/>
                <w:color w:val="auto"/>
                <w:w w:val="88"/>
              </w:rPr>
              <w:t>101.688%</w:t>
            </w:r>
          </w:p>
        </w:tc>
      </w:tr>
      <w:tr>
        <w:trPr>
          <w:trHeight w:val="268"/>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 and thereafter</w:t>
            </w:r>
          </w:p>
        </w:tc>
        <w:tc>
          <w:tcPr>
            <w:tcW w:w="2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100.000%</w:t>
            </w:r>
          </w:p>
        </w:tc>
      </w:tr>
    </w:tbl>
    <w:p>
      <w:pPr>
        <w:spacing w:after="0" w:line="200" w:lineRule="exact"/>
        <w:rPr>
          <w:sz w:val="20"/>
          <w:szCs w:val="20"/>
          <w:color w:val="auto"/>
        </w:rPr>
      </w:pPr>
    </w:p>
    <w:p>
      <w:pPr>
        <w:spacing w:after="0" w:line="208" w:lineRule="exact"/>
        <w:rPr>
          <w:sz w:val="20"/>
          <w:szCs w:val="20"/>
          <w:color w:val="auto"/>
        </w:rPr>
      </w:pPr>
    </w:p>
    <w:p>
      <w:pPr>
        <w:ind w:right="100" w:firstLine="630"/>
        <w:spacing w:after="0" w:line="290" w:lineRule="auto"/>
        <w:rPr>
          <w:sz w:val="20"/>
          <w:szCs w:val="20"/>
          <w:color w:val="auto"/>
        </w:rPr>
      </w:pPr>
      <w:r>
        <w:rPr>
          <w:rFonts w:ascii="Arial" w:cs="Arial" w:eastAsia="Arial" w:hAnsi="Arial"/>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indenture governing our Notes as of March 31,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right="320" w:firstLine="630"/>
        <w:spacing w:after="0" w:line="216" w:lineRule="exact"/>
        <w:rPr>
          <w:sz w:val="20"/>
          <w:szCs w:val="20"/>
          <w:color w:val="auto"/>
        </w:rPr>
      </w:pPr>
      <w:r>
        <w:rPr>
          <w:rFonts w:ascii="Arial" w:cs="Arial" w:eastAsia="Arial" w:hAnsi="Arial"/>
          <w:sz w:val="17"/>
          <w:szCs w:val="17"/>
          <w:color w:val="auto"/>
        </w:rPr>
        <w:t>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credit facilities (as described above), margin financing provided by our prime brokers and cash on hand.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our primary sources and uses of cash for the three months ended March 31, 2019 and 2018.</w:t>
      </w:r>
    </w:p>
    <w:p>
      <w:pPr>
        <w:spacing w:after="0" w:line="200" w:lineRule="exact"/>
        <w:rPr>
          <w:sz w:val="20"/>
          <w:szCs w:val="20"/>
          <w:color w:val="auto"/>
        </w:rPr>
      </w:pPr>
    </w:p>
    <w:p>
      <w:pPr>
        <w:spacing w:after="0" w:line="237"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r>
      <w:tr>
        <w:trPr>
          <w:trHeight w:val="248"/>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119,007</w:t>
            </w:r>
          </w:p>
        </w:tc>
      </w:tr>
      <w:tr>
        <w:trPr>
          <w:trHeight w:val="257"/>
        </w:trPr>
        <w:tc>
          <w:tcPr>
            <w:tcW w:w="5740" w:type="dxa"/>
            <w:vAlign w:val="bottom"/>
            <w:gridSpan w:val="2"/>
          </w:tcPr>
          <w:p>
            <w:pPr>
              <w:ind w:left="16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(847,988)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388,671</w:t>
            </w:r>
          </w:p>
        </w:tc>
      </w:tr>
      <w:tr>
        <w:trPr>
          <w:trHeight w:val="268"/>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1,113,641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(405,786)</w:t>
            </w:r>
          </w:p>
        </w:tc>
      </w:tr>
      <w:tr>
        <w:trPr>
          <w:trHeight w:val="257"/>
        </w:trPr>
        <w:tc>
          <w:tcPr>
            <w:tcW w:w="57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w:t>
            </w:r>
          </w:p>
        </w:tc>
      </w:tr>
      <w:tr>
        <w:trPr>
          <w:trHeight w:val="235"/>
        </w:trPr>
        <w:tc>
          <w:tcPr>
            <w:tcW w:w="5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52,280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104,421</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color w:val="auto"/>
        </w:rPr>
        <w:t>Net cash used in operating activities was $210.0 million for the three months ended March 31, 2019, compared to net cash provided by operating activities of $119.0 million for the three months ended March 31, 2018. The decrease of $329.0 million in net cash used by operating activities was primarily attributable to lower trading income for the three months ended March 31, 2019 compared to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Net cash used in investing activities was $848.0 million for the three months ended March 31, 2019, compared to net cash provided by investing activities of $388.7 million for the three months ended March 31, 2018. The decrease in cash provided by investment activities was primarily attributable to the $835.6 million cash used for the ITG Acquisition on the ITG Closing Date, as well the $400.2 million proceeds received from the sale of BondPoint in January 2018. See Note 3 “ITG Acquisition” and Note 4 “Sale of BondPoint” of Part I Item 1 “Financial Statements” of this quarterly report on Form 10-Q.</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00"/>
          </w:cols>
          <w:pgMar w:left="240" w:top="127" w:right="4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Net cash provided by financing activities was $1,113.6 million for the three months ended March 31, 2019, while net cash used in financing activities was $405.8 million for the three months ended March 31, 2018. The increase in cash provided of $1,519.4 million compared to the prior year period was primarily attributable to $1.5 billion of proceeds from long term borrowings, offset by $400.0 million of repayments on the Senior Secured Term Loan Facility. In addition, cash provided by short-term borrowings increased approximately $135.1 million, primarily attributable to the increase in short-term bank loans in the form of overdrafts.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right="120" w:firstLine="630"/>
        <w:spacing w:after="0" w:line="265" w:lineRule="auto"/>
        <w:rPr>
          <w:sz w:val="20"/>
          <w:szCs w:val="20"/>
          <w:color w:val="auto"/>
        </w:rPr>
      </w:pPr>
      <w:r>
        <w:rPr>
          <w:rFonts w:ascii="Arial" w:cs="Arial" w:eastAsia="Arial" w:hAnsi="Arial"/>
          <w:sz w:val="17"/>
          <w:szCs w:val="17"/>
          <w:color w:val="auto"/>
        </w:rPr>
        <w:t>On February 8, 2018, the Company’s board of directors authorized a share repurchase program of up to $50.0 million in Class A Common Stock and Virtu Financial Units, which was expanded to $100.0 million on July 27, 2018. The stock and common units repurchase program expires on September 30, 2019. Since the inception of the program, the Company repurchased approximately 2.6 million shares of Class A Common Stock and Virtu Financial Units for approximately $65.9 million. At March 31, 2019, the Company has approximately $34.1 million remaining capacity for future purchases of shares of Class A Common Stock and Virtu Financial Units under the program.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100" w:firstLine="630"/>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In connection with the May 2018 Secondary Offering, the Company, TJMT Holdings LLC, North Island Holdings I, LP (the “North Island Stockholder”), Havelock Fund Investments Pte. Ltd. (“Havelock”) and Aranda Investments Pte. Ltd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right="120" w:firstLine="630"/>
        <w:spacing w:after="0" w:line="274" w:lineRule="auto"/>
        <w:rPr>
          <w:sz w:val="20"/>
          <w:szCs w:val="20"/>
          <w:color w:val="auto"/>
        </w:rPr>
      </w:pPr>
      <w:r>
        <w:rPr>
          <w:rFonts w:ascii="Arial" w:cs="Arial" w:eastAsia="Arial" w:hAnsi="Arial"/>
          <w:sz w:val="17"/>
          <w:szCs w:val="17"/>
          <w:color w:val="auto"/>
        </w:rPr>
        <w:t>As of March 31, 2019,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0"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We believe inflation has not had a material effect on our financial condition as of March 31, 2019, and December 31, 2018, or on our results of operations and cash flows for the three months ended March 31, 2019 and 2018.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ind w:right="80" w:firstLine="63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6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36" w:lineRule="exact"/>
        <w:rPr>
          <w:sz w:val="20"/>
          <w:szCs w:val="20"/>
          <w:color w:val="auto"/>
        </w:rPr>
      </w:pPr>
    </w:p>
    <w:p>
      <w:pPr>
        <w:ind w:right="640" w:firstLine="63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right="160" w:firstLine="630"/>
        <w:spacing w:after="0" w:line="265" w:lineRule="auto"/>
        <w:rPr>
          <w:sz w:val="20"/>
          <w:szCs w:val="20"/>
          <w:color w:val="auto"/>
        </w:rPr>
      </w:pPr>
      <w:r>
        <w:rPr>
          <w:rFonts w:ascii="Arial" w:cs="Arial" w:eastAsia="Arial" w:hAnsi="Arial"/>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Item 1 “Financial Statements” of this quarterly report on Form 10-Q for further information about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4"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24" w:lineRule="exact"/>
        <w:rPr>
          <w:sz w:val="20"/>
          <w:szCs w:val="20"/>
          <w:color w:val="auto"/>
        </w:rPr>
      </w:pPr>
    </w:p>
    <w:p>
      <w:pPr>
        <w:ind w:right="320" w:firstLine="630"/>
        <w:spacing w:after="0" w:line="274"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w:t>
      </w:r>
    </w:p>
    <w:p>
      <w:pPr>
        <w:spacing w:after="0" w:line="164"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0" w:lineRule="exact"/>
        <w:rPr>
          <w:sz w:val="20"/>
          <w:szCs w:val="20"/>
          <w:color w:val="auto"/>
        </w:rPr>
      </w:pPr>
    </w:p>
    <w:p>
      <w:pPr>
        <w:ind w:right="120" w:firstLine="630"/>
        <w:spacing w:after="0" w:line="290"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58" w:lineRule="exact"/>
        <w:rPr>
          <w:sz w:val="20"/>
          <w:szCs w:val="20"/>
          <w:color w:val="auto"/>
        </w:rPr>
      </w:pPr>
    </w:p>
    <w:p>
      <w:pPr>
        <w:ind w:right="140" w:firstLine="630"/>
        <w:spacing w:after="0" w:line="290"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61" w:lineRule="exact"/>
        <w:rPr>
          <w:sz w:val="20"/>
          <w:szCs w:val="20"/>
          <w:color w:val="auto"/>
        </w:rPr>
      </w:pPr>
    </w:p>
    <w:p>
      <w:pPr>
        <w:ind w:right="100" w:firstLine="630"/>
        <w:spacing w:after="0" w:line="323" w:lineRule="auto"/>
        <w:rPr>
          <w:sz w:val="20"/>
          <w:szCs w:val="20"/>
          <w:color w:val="auto"/>
        </w:rPr>
      </w:pPr>
      <w:r>
        <w:rPr>
          <w:rFonts w:ascii="Arial" w:cs="Arial" w:eastAsia="Arial" w:hAnsi="Arial"/>
          <w:sz w:val="16"/>
          <w:szCs w:val="16"/>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5"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77" w:lineRule="exact"/>
        <w:rPr>
          <w:sz w:val="20"/>
          <w:szCs w:val="20"/>
          <w:color w:val="auto"/>
        </w:rPr>
      </w:pPr>
    </w:p>
    <w:p>
      <w:pPr>
        <w:ind w:right="40" w:firstLine="630"/>
        <w:spacing w:after="0" w:line="264"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0"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127"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1260" w:right="620" w:hanging="625"/>
        <w:spacing w:after="0" w:line="265"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ind w:left="1260" w:right="680" w:hanging="625"/>
        <w:spacing w:after="0" w:line="275"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7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0" w:lineRule="exact"/>
        <w:rPr>
          <w:sz w:val="20"/>
          <w:szCs w:val="20"/>
          <w:color w:val="auto"/>
        </w:rPr>
      </w:pPr>
    </w:p>
    <w:p>
      <w:pPr>
        <w:ind w:right="620" w:firstLine="630"/>
        <w:spacing w:after="0" w:line="323" w:lineRule="auto"/>
        <w:rPr>
          <w:sz w:val="20"/>
          <w:szCs w:val="20"/>
          <w:color w:val="auto"/>
        </w:rPr>
      </w:pPr>
      <w:r>
        <w:rPr>
          <w:rFonts w:ascii="Arial" w:cs="Arial" w:eastAsia="Arial" w:hAnsi="Arial"/>
          <w:sz w:val="16"/>
          <w:szCs w:val="16"/>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35" w:lineRule="exact"/>
        <w:rPr>
          <w:sz w:val="20"/>
          <w:szCs w:val="20"/>
          <w:color w:val="auto"/>
        </w:rPr>
      </w:pPr>
    </w:p>
    <w:p>
      <w:pPr>
        <w:ind w:right="80" w:firstLine="630"/>
        <w:spacing w:after="0" w:line="282"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Tax Receivable Agreement Obligations</w:t>
      </w:r>
    </w:p>
    <w:p>
      <w:pPr>
        <w:spacing w:after="0" w:line="224" w:lineRule="exact"/>
        <w:rPr>
          <w:sz w:val="20"/>
          <w:szCs w:val="20"/>
          <w:color w:val="auto"/>
        </w:rPr>
      </w:pPr>
    </w:p>
    <w:p>
      <w:pPr>
        <w:ind w:right="420" w:firstLine="630"/>
        <w:spacing w:after="0" w:line="290"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58"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0"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right="40" w:firstLine="630"/>
        <w:spacing w:after="0" w:line="326"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right="20" w:firstLine="630"/>
        <w:spacing w:after="0" w:line="298" w:lineRule="auto"/>
        <w:rPr>
          <w:sz w:val="20"/>
          <w:szCs w:val="20"/>
          <w:color w:val="auto"/>
        </w:rPr>
      </w:pPr>
      <w:r>
        <w:rPr>
          <w:rFonts w:ascii="Arial" w:cs="Arial" w:eastAsia="Arial" w:hAnsi="Arial"/>
          <w:sz w:val="16"/>
          <w:szCs w:val="16"/>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6" w:lineRule="exact"/>
        <w:rPr>
          <w:sz w:val="20"/>
          <w:szCs w:val="20"/>
          <w:color w:val="auto"/>
        </w:rPr>
      </w:pPr>
    </w:p>
    <w:p>
      <w:pPr>
        <w:ind w:left="1320" w:hanging="370"/>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53" w:lineRule="exact"/>
        <w:rPr>
          <w:rFonts w:ascii="Arial" w:cs="Arial" w:eastAsia="Arial" w:hAnsi="Arial"/>
          <w:sz w:val="17"/>
          <w:szCs w:val="17"/>
          <w:color w:val="auto"/>
        </w:rPr>
      </w:pPr>
    </w:p>
    <w:p>
      <w:pPr>
        <w:ind w:left="1320" w:hanging="370"/>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on accessing capital;</w:t>
      </w:r>
    </w:p>
    <w:p>
      <w:pPr>
        <w:spacing w:after="0" w:line="53" w:lineRule="exact"/>
        <w:rPr>
          <w:rFonts w:ascii="Arial" w:cs="Arial" w:eastAsia="Arial" w:hAnsi="Arial"/>
          <w:sz w:val="17"/>
          <w:szCs w:val="17"/>
          <w:color w:val="auto"/>
        </w:rPr>
      </w:pPr>
    </w:p>
    <w:p>
      <w:pPr>
        <w:ind w:left="1320" w:hanging="370"/>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foreign exchange rates or other developments in equity and credit markets;</w:t>
      </w:r>
    </w:p>
    <w:p>
      <w:pPr>
        <w:spacing w:after="0" w:line="53" w:lineRule="exact"/>
        <w:rPr>
          <w:rFonts w:ascii="Arial" w:cs="Arial" w:eastAsia="Arial" w:hAnsi="Arial"/>
          <w:sz w:val="17"/>
          <w:szCs w:val="17"/>
          <w:color w:val="auto"/>
        </w:rPr>
      </w:pPr>
    </w:p>
    <w:p>
      <w:pPr>
        <w:ind w:left="640" w:right="120" w:firstLine="310"/>
        <w:spacing w:after="0" w:line="306" w:lineRule="auto"/>
        <w:tabs>
          <w:tab w:leader="none" w:pos="13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320" w:hanging="370"/>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 factors such as increases in raw materials, labor, or other costs that have a negative effect on earnings and cash flows;</w:t>
      </w:r>
    </w:p>
    <w:p>
      <w:pPr>
        <w:spacing w:after="0" w:line="53" w:lineRule="exact"/>
        <w:rPr>
          <w:rFonts w:ascii="Arial" w:cs="Arial" w:eastAsia="Arial" w:hAnsi="Arial"/>
          <w:sz w:val="17"/>
          <w:szCs w:val="17"/>
          <w:color w:val="auto"/>
        </w:rPr>
      </w:pPr>
    </w:p>
    <w:p>
      <w:pPr>
        <w:ind w:left="640" w:right="320" w:firstLine="310"/>
        <w:spacing w:after="0" w:line="306" w:lineRule="auto"/>
        <w:tabs>
          <w:tab w:leader="none" w:pos="13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overall financial performance such as negative or declining cash flows or a decline in actual or planned revenue or earnings compared with actual and projected results of relevant prior periods;</w:t>
      </w:r>
    </w:p>
    <w:p>
      <w:pPr>
        <w:ind w:left="1320" w:hanging="370"/>
        <w:spacing w:after="0"/>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relevant entity-specific events such as changes in management, key personnel, strategy, or customers, contemplation of bankruptcy, or</w:t>
      </w:r>
    </w:p>
    <w:p>
      <w:pPr>
        <w:spacing w:after="0" w:line="6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litigation.</w:t>
      </w:r>
    </w:p>
    <w:p>
      <w:pPr>
        <w:spacing w:after="0" w:line="238" w:lineRule="exact"/>
        <w:rPr>
          <w:sz w:val="20"/>
          <w:szCs w:val="20"/>
          <w:color w:val="auto"/>
        </w:rPr>
      </w:pPr>
    </w:p>
    <w:p>
      <w:pPr>
        <w:ind w:right="40" w:firstLine="630"/>
        <w:spacing w:after="0" w:line="290" w:lineRule="auto"/>
        <w:rPr>
          <w:sz w:val="20"/>
          <w:szCs w:val="20"/>
          <w:color w:val="auto"/>
        </w:rPr>
      </w:pPr>
      <w:r>
        <w:rPr>
          <w:rFonts w:ascii="Arial" w:cs="Arial" w:eastAsia="Arial" w:hAnsi="Arial"/>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58" w:lineRule="exact"/>
        <w:rPr>
          <w:sz w:val="20"/>
          <w:szCs w:val="20"/>
          <w:color w:val="auto"/>
        </w:rPr>
      </w:pPr>
    </w:p>
    <w:p>
      <w:pPr>
        <w:ind w:right="300" w:firstLine="630"/>
        <w:spacing w:after="0" w:line="274" w:lineRule="auto"/>
        <w:rPr>
          <w:sz w:val="20"/>
          <w:szCs w:val="20"/>
          <w:color w:val="auto"/>
        </w:rPr>
      </w:pPr>
      <w:r>
        <w:rPr>
          <w:rFonts w:ascii="Arial" w:cs="Arial" w:eastAsia="Arial" w:hAnsi="Arial"/>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70" w:lineRule="exact"/>
        <w:rPr>
          <w:sz w:val="20"/>
          <w:szCs w:val="20"/>
          <w:color w:val="auto"/>
        </w:rPr>
      </w:pPr>
    </w:p>
    <w:p>
      <w:pPr>
        <w:ind w:right="220" w:firstLine="630"/>
        <w:spacing w:after="0" w:line="360" w:lineRule="auto"/>
        <w:rPr>
          <w:sz w:val="20"/>
          <w:szCs w:val="20"/>
          <w:color w:val="auto"/>
        </w:rPr>
      </w:pPr>
      <w:r>
        <w:rPr>
          <w:rFonts w:ascii="Arial" w:cs="Arial" w:eastAsia="Arial" w:hAnsi="Arial"/>
          <w:sz w:val="15"/>
          <w:szCs w:val="15"/>
          <w:color w:val="auto"/>
        </w:rPr>
        <w:t>We assess goodwill for impairment on an annual basis on July 1 and on an interim basis when certain events or circumstances exist. In the impairment assessment as of July 1, 2018, we performed a qualitative assessment as described above for each reporting unit. No impairment of goodwill was identified.</w:t>
      </w:r>
    </w:p>
    <w:p>
      <w:pPr>
        <w:spacing w:after="0" w:line="113"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127" w:right="27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0"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58" w:lineRule="exact"/>
        <w:rPr>
          <w:sz w:val="20"/>
          <w:szCs w:val="20"/>
          <w:color w:val="auto"/>
        </w:rPr>
      </w:pPr>
    </w:p>
    <w:p>
      <w:pPr>
        <w:ind w:right="80" w:firstLine="630"/>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56"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(the “CRO”), the independent risk group and senior management.</w:t>
      </w:r>
    </w:p>
    <w:p>
      <w:pPr>
        <w:spacing w:after="0" w:line="170" w:lineRule="exact"/>
        <w:rPr>
          <w:sz w:val="20"/>
          <w:szCs w:val="20"/>
          <w:color w:val="auto"/>
        </w:rPr>
      </w:pPr>
    </w:p>
    <w:p>
      <w:pPr>
        <w:ind w:right="220" w:firstLine="630"/>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70" w:lineRule="exact"/>
        <w:rPr>
          <w:sz w:val="20"/>
          <w:szCs w:val="20"/>
          <w:color w:val="auto"/>
        </w:rPr>
      </w:pPr>
    </w:p>
    <w:p>
      <w:pPr>
        <w:ind w:right="40" w:firstLine="630"/>
        <w:spacing w:after="0" w:line="305" w:lineRule="auto"/>
        <w:rPr>
          <w:sz w:val="20"/>
          <w:szCs w:val="20"/>
          <w:color w:val="auto"/>
        </w:rPr>
      </w:pPr>
      <w:r>
        <w:rPr>
          <w:rFonts w:ascii="Arial" w:cs="Arial" w:eastAsia="Arial" w:hAnsi="Arial"/>
          <w:sz w:val="15"/>
          <w:szCs w:val="15"/>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55"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March 31, 2019 and December 31, 2018 was $3.0 billion and $2.6 billion, respectively, in long positions and $2.3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81"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77"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30"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Part I Item 1 “Financial Statements” of this quarterly report on Form 10-Q. Instead, we carry our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3" w:lineRule="exact"/>
        <w:rPr>
          <w:sz w:val="20"/>
          <w:szCs w:val="20"/>
          <w:color w:val="auto"/>
        </w:rPr>
      </w:pPr>
    </w:p>
    <w:p>
      <w:pPr>
        <w:ind w:right="20" w:firstLine="630"/>
        <w:spacing w:after="0" w:line="28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4" w:lineRule="exact"/>
        <w:rPr>
          <w:sz w:val="20"/>
          <w:szCs w:val="20"/>
          <w:color w:val="auto"/>
        </w:rPr>
      </w:pPr>
    </w:p>
    <w:p>
      <w:pPr>
        <w:ind w:right="420" w:firstLine="630"/>
        <w:spacing w:after="0" w:line="290"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30"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1"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Approximately 19.7% and 8.8% of our revenues for the three months ended March 31, 2019 and 2018, respectively, were denominated in non-U.S. Dollar currencies. For the three months ended March 31, 2019 and 2018, respectively, we estimate that a hypothetical 10% adverse change in the above-mentioned foreign exchange rates would have resulted in a decrease in revenues of $7.2 million and $7.2 million, respectively.</w:t>
      </w:r>
    </w:p>
    <w:p>
      <w:pPr>
        <w:spacing w:after="0" w:line="170" w:lineRule="exact"/>
        <w:rPr>
          <w:sz w:val="20"/>
          <w:szCs w:val="20"/>
          <w:color w:val="auto"/>
        </w:rPr>
      </w:pPr>
    </w:p>
    <w:p>
      <w:pPr>
        <w:ind w:right="160" w:firstLine="630"/>
        <w:spacing w:after="0" w:line="290" w:lineRule="auto"/>
        <w:rPr>
          <w:sz w:val="20"/>
          <w:szCs w:val="20"/>
          <w:color w:val="auto"/>
        </w:rPr>
      </w:pPr>
      <w:r>
        <w:rPr>
          <w:rFonts w:ascii="Arial" w:cs="Arial" w:eastAsia="Arial" w:hAnsi="Arial"/>
          <w:sz w:val="16"/>
          <w:szCs w:val="16"/>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changes in equity. Our primary currency translation exposures historically relate to net investments in subsidiaries having functional currencies denominated in the Euro and Pound Sterling.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30"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77" w:lineRule="exact"/>
        <w:rPr>
          <w:sz w:val="20"/>
          <w:szCs w:val="20"/>
          <w:color w:val="auto"/>
        </w:rPr>
      </w:pPr>
    </w:p>
    <w:p>
      <w:pPr>
        <w:ind w:right="140" w:firstLine="630"/>
        <w:spacing w:after="0" w:line="290"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127"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2019. Based upon that evaluation, our Chief Executive Officer and Chief Financial Officer concluded that, as of March 31, 2019,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30"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March 31, 2019 that has or is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127"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0" w:lineRule="exact"/>
        <w:rPr>
          <w:sz w:val="20"/>
          <w:szCs w:val="20"/>
          <w:color w:val="auto"/>
        </w:rPr>
      </w:pPr>
    </w:p>
    <w:p>
      <w:pPr>
        <w:ind w:right="260" w:firstLine="630"/>
        <w:spacing w:after="0" w:line="323" w:lineRule="auto"/>
        <w:rPr>
          <w:sz w:val="20"/>
          <w:szCs w:val="20"/>
          <w:color w:val="auto"/>
        </w:rPr>
      </w:pPr>
      <w:r>
        <w:rPr>
          <w:rFonts w:ascii="Arial" w:cs="Arial" w:eastAsia="Arial" w:hAnsi="Arial"/>
          <w:sz w:val="16"/>
          <w:szCs w:val="16"/>
          <w:color w:val="auto"/>
        </w:rPr>
        <w:t>The information required by this item is set forth in the “Legal Proceedings” section in Note 15 “Commitments, Contingencies and Guarantees” to the Company’s condensed consolidated financial statements included in Part I “Financial Information”, which is incorporated by reference herein.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to the Risk Factors described in Part I Item 1A. “Risk factors” in our 2018 Form 10-K.</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0"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77" w:lineRule="exact"/>
        <w:rPr>
          <w:sz w:val="20"/>
          <w:szCs w:val="20"/>
          <w:color w:val="auto"/>
        </w:rPr>
      </w:pPr>
    </w:p>
    <w:p>
      <w:pPr>
        <w:ind w:right="20" w:firstLine="630"/>
        <w:spacing w:after="0" w:line="260" w:lineRule="auto"/>
        <w:rPr>
          <w:sz w:val="20"/>
          <w:szCs w:val="20"/>
          <w:color w:val="auto"/>
        </w:rPr>
      </w:pPr>
      <w:r>
        <w:rPr>
          <w:rFonts w:ascii="Arial" w:cs="Arial" w:eastAsia="Arial" w:hAnsi="Arial"/>
          <w:sz w:val="17"/>
          <w:szCs w:val="17"/>
          <w:color w:val="auto"/>
        </w:rPr>
        <w:t>On February 8,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The Company now has approximately $34.1 million remaining capacity for future purchases of shares of Class A Common Stock and Virtu Financial Units under the program. Pursuant to the program,</w:t>
      </w:r>
    </w:p>
    <w:p>
      <w:pPr>
        <w:spacing w:after="0" w:line="1"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Company had no repurchases of its Class A Common Stock under the Company's share repurchase program during the three months ended March 31, 2019. Total share repurchases for the three months ended March 31, 2019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Shares Purchased as</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Part of Publicly</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Shares Purchased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61"/>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January 1, 2019 - January 31, 2019</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gridSpan w:val="2"/>
          </w:tcPr>
          <w:p>
            <w:pPr>
              <w:ind w:left="160"/>
              <w:spacing w:after="0"/>
              <w:rPr>
                <w:sz w:val="20"/>
                <w:szCs w:val="20"/>
                <w:color w:val="auto"/>
              </w:rPr>
            </w:pPr>
            <w:r>
              <w:rPr>
                <w:rFonts w:ascii="Arial" w:cs="Arial" w:eastAsia="Arial" w:hAnsi="Arial"/>
                <w:sz w:val="14"/>
                <w:szCs w:val="14"/>
                <w:color w:val="auto"/>
              </w:rPr>
              <w:t>Class A Common Stock / Virtu Financial Units repurchases</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208,610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22"/>
                <w:szCs w:val="22"/>
                <w:color w:val="auto"/>
              </w:rPr>
            </w:pP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34,138,832</w:t>
            </w:r>
          </w:p>
        </w:tc>
        <w:tc>
          <w:tcPr>
            <w:tcW w:w="0" w:type="dxa"/>
            <w:vAlign w:val="bottom"/>
          </w:tcPr>
          <w:p>
            <w:pPr>
              <w:spacing w:after="0"/>
              <w:rPr>
                <w:sz w:val="1"/>
                <w:szCs w:val="1"/>
                <w:color w:val="auto"/>
              </w:rPr>
            </w:pPr>
          </w:p>
        </w:tc>
      </w:tr>
      <w:tr>
        <w:trPr>
          <w:trHeight w:val="320"/>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February 1, 2019 - February 28, 2019</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Class A Common Stock / Virtu Financial Units repurchases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34,138,832</w:t>
            </w:r>
          </w:p>
        </w:tc>
        <w:tc>
          <w:tcPr>
            <w:tcW w:w="0" w:type="dxa"/>
            <w:vAlign w:val="bottom"/>
          </w:tcPr>
          <w:p>
            <w:pPr>
              <w:spacing w:after="0"/>
              <w:rPr>
                <w:sz w:val="1"/>
                <w:szCs w:val="1"/>
                <w:color w:val="auto"/>
              </w:rPr>
            </w:pPr>
          </w:p>
        </w:tc>
      </w:tr>
      <w:tr>
        <w:trPr>
          <w:trHeight w:val="315"/>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1, 2019 - March 31, 2019</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80" w:type="dxa"/>
            <w:vAlign w:val="bottom"/>
            <w:gridSpan w:val="2"/>
          </w:tcPr>
          <w:p>
            <w:pPr>
              <w:ind w:left="160"/>
              <w:spacing w:after="0"/>
              <w:rPr>
                <w:sz w:val="20"/>
                <w:szCs w:val="20"/>
                <w:color w:val="auto"/>
              </w:rPr>
            </w:pPr>
            <w:r>
              <w:rPr>
                <w:rFonts w:ascii="Arial" w:cs="Arial" w:eastAsia="Arial" w:hAnsi="Arial"/>
                <w:sz w:val="14"/>
                <w:szCs w:val="14"/>
                <w:color w:val="auto"/>
              </w:rPr>
              <w:t>Class A Common Stock / Virtu Financial Units repurchases</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111,932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24.72</w:t>
            </w:r>
          </w:p>
        </w:tc>
        <w:tc>
          <w:tcPr>
            <w:tcW w:w="100" w:type="dxa"/>
            <w:vAlign w:val="bottom"/>
          </w:tcPr>
          <w:p>
            <w:pPr>
              <w:spacing w:after="0"/>
              <w:rPr>
                <w:sz w:val="22"/>
                <w:szCs w:val="22"/>
                <w:color w:val="auto"/>
              </w:rPr>
            </w:pP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34,138,832</w:t>
            </w:r>
          </w:p>
        </w:tc>
        <w:tc>
          <w:tcPr>
            <w:tcW w:w="0" w:type="dxa"/>
            <w:vAlign w:val="bottom"/>
          </w:tcPr>
          <w:p>
            <w:pPr>
              <w:spacing w:after="0"/>
              <w:rPr>
                <w:sz w:val="1"/>
                <w:szCs w:val="1"/>
                <w:color w:val="auto"/>
              </w:rPr>
            </w:pPr>
          </w:p>
        </w:tc>
      </w:tr>
      <w:tr>
        <w:trPr>
          <w:trHeight w:val="320"/>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Total Common Stock / Virtu Financial Unit repurchases</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325,195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24.74</w:t>
            </w:r>
          </w:p>
        </w:tc>
        <w:tc>
          <w:tcPr>
            <w:tcW w:w="100" w:type="dxa"/>
            <w:vAlign w:val="bottom"/>
          </w:tcPr>
          <w:p>
            <w:pPr>
              <w:spacing w:after="0"/>
              <w:rPr>
                <w:sz w:val="20"/>
                <w:szCs w:val="20"/>
                <w:color w:val="auto"/>
              </w:rPr>
            </w:pPr>
          </w:p>
        </w:tc>
        <w:tc>
          <w:tcPr>
            <w:tcW w:w="158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0"/>
              <w:spacing w:after="0"/>
              <w:rPr>
                <w:sz w:val="20"/>
                <w:szCs w:val="20"/>
                <w:color w:val="auto"/>
              </w:rPr>
            </w:pPr>
            <w:r>
              <w:rPr>
                <w:rFonts w:ascii="Arial" w:cs="Arial" w:eastAsia="Arial" w:hAnsi="Arial"/>
                <w:sz w:val="14"/>
                <w:szCs w:val="14"/>
                <w:color w:val="auto"/>
              </w:rPr>
              <w:t>34,138,832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-1270</wp:posOffset>
            </wp:positionV>
            <wp:extent cx="38334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33495" cy="8255"/>
                    </a:xfrm>
                    <a:prstGeom prst="rect">
                      <a:avLst/>
                    </a:prstGeom>
                    <a:noFill/>
                  </pic:spPr>
                </pic:pic>
              </a:graphicData>
            </a:graphic>
          </wp:anchor>
        </w:drawing>
      </w:r>
    </w:p>
    <w:p>
      <w:pPr>
        <w:ind w:right="140" w:firstLine="5"/>
        <w:spacing w:after="0" w:line="261" w:lineRule="auto"/>
        <w:tabs>
          <w:tab w:leader="none" w:pos="198"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Comprises the repurchase of 325,195 shares from employees in order to satisfy statutory tax withholding requirements upon the net settlement of equity awards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-218440</wp:posOffset>
            </wp:positionV>
            <wp:extent cx="38334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3349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Borders>
              <w:bottom w:val="single" w:sz="8" w:color="FEFEFE"/>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gridSpan w:val="13"/>
          </w:tcPr>
          <w:p>
            <w:pPr>
              <w:ind w:left="29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600" w:type="dxa"/>
            <w:vAlign w:val="bottom"/>
            <w:tcBorders>
              <w:right w:val="single" w:sz="8" w:color="FEFEFE"/>
            </w:tcBorders>
            <w:shd w:val="clear" w:color="auto" w:fill="FEFEFE"/>
          </w:tcPr>
          <w:p>
            <w:pPr>
              <w:spacing w:after="0"/>
              <w:rPr>
                <w:sz w:val="16"/>
                <w:szCs w:val="16"/>
                <w:color w:val="auto"/>
              </w:rPr>
            </w:pPr>
          </w:p>
        </w:tc>
        <w:tc>
          <w:tcPr>
            <w:tcW w:w="9320" w:type="dxa"/>
            <w:vAlign w:val="bottom"/>
            <w:gridSpan w:val="15"/>
            <w:shd w:val="clear" w:color="auto" w:fill="FEFEFE"/>
          </w:tcPr>
          <w:p>
            <w:pPr>
              <w:spacing w:after="0"/>
              <w:rPr>
                <w:rFonts w:ascii="Arial" w:cs="Arial" w:eastAsia="Arial" w:hAnsi="Arial"/>
                <w:sz w:val="17"/>
                <w:szCs w:val="17"/>
                <w:color w:val="0000FF"/>
                <w:w w:val="95"/>
              </w:rPr>
            </w:pPr>
            <w:hyperlink w:anchor="page87">
              <w:r>
                <w:rPr>
                  <w:rFonts w:ascii="Arial" w:cs="Arial" w:eastAsia="Arial" w:hAnsi="Arial"/>
                  <w:sz w:val="17"/>
                  <w:szCs w:val="17"/>
                  <w:color w:val="0000FF"/>
                  <w:w w:val="95"/>
                </w:rPr>
                <w:t>Credit Agreement, dated March 1, 2019, among Virtu Financial LLC, as Holdings, Impala Borrower LLC, as Acquisition Borrower,</w:t>
              </w:r>
            </w:hyperlink>
          </w:p>
        </w:tc>
      </w:tr>
      <w:tr>
        <w:trPr>
          <w:trHeight w:val="190"/>
        </w:trPr>
        <w:tc>
          <w:tcPr>
            <w:tcW w:w="1500" w:type="dxa"/>
            <w:vAlign w:val="bottom"/>
          </w:tcPr>
          <w:p>
            <w:pPr>
              <w:spacing w:after="0"/>
              <w:rPr>
                <w:sz w:val="16"/>
                <w:szCs w:val="16"/>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6"/>
                <w:szCs w:val="16"/>
                <w:color w:val="auto"/>
              </w:rPr>
            </w:pPr>
          </w:p>
        </w:tc>
        <w:tc>
          <w:tcPr>
            <w:tcW w:w="9180" w:type="dxa"/>
            <w:vAlign w:val="bottom"/>
            <w:tcBorders>
              <w:top w:val="single" w:sz="8" w:color="0000FF"/>
              <w:bottom w:val="single" w:sz="8" w:color="0000FF"/>
            </w:tcBorders>
            <w:gridSpan w:val="12"/>
            <w:shd w:val="clear" w:color="auto" w:fill="FEFEFE"/>
          </w:tcPr>
          <w:p>
            <w:pPr>
              <w:spacing w:after="0" w:line="190" w:lineRule="exact"/>
              <w:rPr>
                <w:rFonts w:ascii="Arial" w:cs="Arial" w:eastAsia="Arial" w:hAnsi="Arial"/>
                <w:sz w:val="17"/>
                <w:szCs w:val="17"/>
                <w:color w:val="0000FF"/>
                <w:w w:val="93"/>
              </w:rPr>
            </w:pPr>
            <w:hyperlink w:anchor="page87">
              <w:r>
                <w:rPr>
                  <w:rFonts w:ascii="Arial" w:cs="Arial" w:eastAsia="Arial" w:hAnsi="Arial"/>
                  <w:sz w:val="17"/>
                  <w:szCs w:val="17"/>
                  <w:color w:val="0000FF"/>
                  <w:w w:val="93"/>
                </w:rPr>
                <w:t>VFH Parent LLC, as Refinancing Borrower, the Lenders, Issuing Banks and Swingline Lender Partry Hereto, and Jefferies Finance</w:t>
              </w:r>
            </w:hyperlink>
          </w:p>
        </w:tc>
        <w:tc>
          <w:tcPr>
            <w:tcW w:w="60" w:type="dxa"/>
            <w:vAlign w:val="bottom"/>
            <w:tcBorders>
              <w:top w:val="single" w:sz="8" w:color="0000FF"/>
              <w:bottom w:val="single" w:sz="8" w:color="FEFEFE"/>
            </w:tcBorders>
            <w:gridSpan w:val="2"/>
            <w:shd w:val="clear" w:color="auto" w:fill="FEFEFE"/>
          </w:tcPr>
          <w:p>
            <w:pPr>
              <w:spacing w:after="0"/>
              <w:rPr>
                <w:sz w:val="16"/>
                <w:szCs w:val="16"/>
                <w:color w:val="auto"/>
              </w:rPr>
            </w:pPr>
          </w:p>
        </w:tc>
        <w:tc>
          <w:tcPr>
            <w:tcW w:w="80" w:type="dxa"/>
            <w:vAlign w:val="bottom"/>
            <w:tcBorders>
              <w:top w:val="single" w:sz="8" w:color="FEFEFE"/>
              <w:bottom w:val="single" w:sz="8" w:color="FEFEFE"/>
            </w:tcBorders>
            <w:shd w:val="clear" w:color="auto" w:fill="FEFEFE"/>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600" w:type="dxa"/>
            <w:vAlign w:val="bottom"/>
            <w:tcBorders>
              <w:bottom w:val="single" w:sz="8" w:color="FEFEFE"/>
              <w:right w:val="single" w:sz="8" w:color="FEFEFE"/>
            </w:tcBorders>
            <w:shd w:val="clear" w:color="auto" w:fill="FEFEFE"/>
          </w:tcPr>
          <w:p>
            <w:pPr>
              <w:spacing w:after="0"/>
              <w:rPr>
                <w:sz w:val="16"/>
                <w:szCs w:val="16"/>
                <w:color w:val="auto"/>
              </w:rPr>
            </w:pPr>
          </w:p>
        </w:tc>
        <w:tc>
          <w:tcPr>
            <w:tcW w:w="8360" w:type="dxa"/>
            <w:vAlign w:val="bottom"/>
            <w:tcBorders>
              <w:bottom w:val="single" w:sz="8" w:color="0000FF"/>
            </w:tcBorders>
            <w:gridSpan w:val="7"/>
            <w:shd w:val="clear" w:color="auto" w:fill="FEFEFE"/>
          </w:tcPr>
          <w:p>
            <w:pPr>
              <w:spacing w:after="0" w:line="190" w:lineRule="exact"/>
              <w:rPr>
                <w:rFonts w:ascii="Arial" w:cs="Arial" w:eastAsia="Arial" w:hAnsi="Arial"/>
                <w:sz w:val="17"/>
                <w:szCs w:val="17"/>
                <w:color w:val="0000FF"/>
                <w:w w:val="93"/>
              </w:rPr>
            </w:pPr>
            <w:hyperlink w:anchor="page87">
              <w:r>
                <w:rPr>
                  <w:rFonts w:ascii="Arial" w:cs="Arial" w:eastAsia="Arial" w:hAnsi="Arial"/>
                  <w:sz w:val="17"/>
                  <w:szCs w:val="17"/>
                  <w:color w:val="0000FF"/>
                  <w:w w:val="93"/>
                </w:rPr>
                <w:t>LLC, as Administrative Agent, and Jefferies Finance LLC and RBC Capital Markets, as Joint Lead Arrangers and Joint</w:t>
              </w:r>
            </w:hyperlink>
          </w:p>
        </w:tc>
        <w:tc>
          <w:tcPr>
            <w:tcW w:w="960" w:type="dxa"/>
            <w:vAlign w:val="bottom"/>
            <w:tcBorders>
              <w:bottom w:val="single" w:sz="8" w:color="FEFEFE"/>
            </w:tcBorders>
            <w:gridSpan w:val="8"/>
            <w:shd w:val="clear" w:color="auto" w:fill="FEFEFE"/>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600" w:type="dxa"/>
            <w:vAlign w:val="bottom"/>
            <w:tcBorders>
              <w:bottom w:val="single" w:sz="8" w:color="FEFEFE"/>
              <w:right w:val="single" w:sz="8" w:color="FEFEFE"/>
            </w:tcBorders>
            <w:shd w:val="clear" w:color="auto" w:fill="FEFEFE"/>
          </w:tcPr>
          <w:p>
            <w:pPr>
              <w:spacing w:after="0"/>
              <w:rPr>
                <w:sz w:val="16"/>
                <w:szCs w:val="16"/>
                <w:color w:val="auto"/>
              </w:rPr>
            </w:pPr>
          </w:p>
        </w:tc>
        <w:tc>
          <w:tcPr>
            <w:tcW w:w="940" w:type="dxa"/>
            <w:vAlign w:val="bottom"/>
            <w:tcBorders>
              <w:bottom w:val="single" w:sz="8" w:color="0000FF"/>
            </w:tcBorders>
            <w:shd w:val="clear" w:color="auto" w:fill="FEFEFE"/>
          </w:tcPr>
          <w:p>
            <w:pPr>
              <w:spacing w:after="0" w:line="190" w:lineRule="exact"/>
              <w:rPr>
                <w:rFonts w:ascii="Arial" w:cs="Arial" w:eastAsia="Arial" w:hAnsi="Arial"/>
                <w:sz w:val="17"/>
                <w:szCs w:val="17"/>
                <w:color w:val="0000FF"/>
                <w:w w:val="90"/>
              </w:rPr>
            </w:pPr>
            <w:hyperlink w:anchor="page87">
              <w:r>
                <w:rPr>
                  <w:rFonts w:ascii="Arial" w:cs="Arial" w:eastAsia="Arial" w:hAnsi="Arial"/>
                  <w:sz w:val="17"/>
                  <w:szCs w:val="17"/>
                  <w:color w:val="0000FF"/>
                  <w:w w:val="90"/>
                </w:rPr>
                <w:t>Bookrunners.</w:t>
              </w:r>
            </w:hyperlink>
          </w:p>
        </w:tc>
        <w:tc>
          <w:tcPr>
            <w:tcW w:w="8380" w:type="dxa"/>
            <w:vAlign w:val="bottom"/>
            <w:tcBorders>
              <w:bottom w:val="single" w:sz="8" w:color="FEFEFE"/>
            </w:tcBorders>
            <w:gridSpan w:val="14"/>
            <w:shd w:val="clear" w:color="auto" w:fill="FEFEFE"/>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5"/>
            <w:shd w:val="clear" w:color="auto" w:fill="FEFEFE"/>
          </w:tcPr>
          <w:p>
            <w:pPr>
              <w:spacing w:after="0"/>
              <w:rPr>
                <w:rFonts w:ascii="Arial" w:cs="Arial" w:eastAsia="Arial" w:hAnsi="Arial"/>
                <w:sz w:val="17"/>
                <w:szCs w:val="17"/>
                <w:color w:val="0000FF"/>
                <w:w w:val="94"/>
              </w:rPr>
            </w:pPr>
            <w:hyperlink w:anchor="page175">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500" w:type="dxa"/>
            <w:vAlign w:val="bottom"/>
          </w:tcPr>
          <w:p>
            <w:pPr>
              <w:spacing w:after="0"/>
              <w:rPr>
                <w:sz w:val="16"/>
                <w:szCs w:val="16"/>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6"/>
                <w:szCs w:val="16"/>
                <w:color w:val="auto"/>
              </w:rPr>
            </w:pPr>
          </w:p>
        </w:tc>
        <w:tc>
          <w:tcPr>
            <w:tcW w:w="7540" w:type="dxa"/>
            <w:vAlign w:val="bottom"/>
            <w:tcBorders>
              <w:top w:val="single" w:sz="8" w:color="0000FF"/>
              <w:bottom w:val="single" w:sz="8" w:color="0000FF"/>
            </w:tcBorders>
            <w:gridSpan w:val="6"/>
            <w:shd w:val="clear" w:color="auto" w:fill="FEFEFE"/>
          </w:tcPr>
          <w:p>
            <w:pPr>
              <w:spacing w:after="0" w:line="190" w:lineRule="exact"/>
              <w:rPr>
                <w:rFonts w:ascii="Arial" w:cs="Arial" w:eastAsia="Arial" w:hAnsi="Arial"/>
                <w:sz w:val="17"/>
                <w:szCs w:val="17"/>
                <w:color w:val="0000FF"/>
                <w:w w:val="93"/>
              </w:rPr>
            </w:pPr>
            <w:hyperlink w:anchor="page175">
              <w:r>
                <w:rPr>
                  <w:rFonts w:ascii="Arial" w:cs="Arial" w:eastAsia="Arial" w:hAnsi="Arial"/>
                  <w:sz w:val="17"/>
                  <w:szCs w:val="17"/>
                  <w:color w:val="0000FF"/>
                  <w:w w:val="93"/>
                </w:rPr>
                <w:t>Award Agreement, dated as of January 23, 2019, by and between Virtu Financial, Inc. and Douglas A. Cifu.</w:t>
              </w:r>
            </w:hyperlink>
          </w:p>
        </w:tc>
        <w:tc>
          <w:tcPr>
            <w:tcW w:w="1660" w:type="dxa"/>
            <w:vAlign w:val="bottom"/>
            <w:tcBorders>
              <w:top w:val="single" w:sz="8" w:color="0000FF"/>
              <w:bottom w:val="single" w:sz="8" w:color="FEFEFE"/>
            </w:tcBorders>
            <w:gridSpan w:val="7"/>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2"/>
            <w:shd w:val="clear" w:color="auto" w:fill="FEFEFE"/>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5"/>
            <w:shd w:val="clear" w:color="auto" w:fill="FEFEFE"/>
          </w:tcPr>
          <w:p>
            <w:pPr>
              <w:spacing w:after="0"/>
              <w:rPr>
                <w:rFonts w:ascii="Arial" w:cs="Arial" w:eastAsia="Arial" w:hAnsi="Arial"/>
                <w:sz w:val="17"/>
                <w:szCs w:val="17"/>
                <w:color w:val="0000FF"/>
                <w:w w:val="94"/>
              </w:rPr>
            </w:pPr>
            <w:hyperlink w:anchor="page182">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500" w:type="dxa"/>
            <w:vAlign w:val="bottom"/>
          </w:tcPr>
          <w:p>
            <w:pPr>
              <w:spacing w:after="0"/>
              <w:rPr>
                <w:sz w:val="16"/>
                <w:szCs w:val="16"/>
                <w:color w:val="auto"/>
              </w:rPr>
            </w:pPr>
          </w:p>
        </w:tc>
        <w:tc>
          <w:tcPr>
            <w:tcW w:w="600" w:type="dxa"/>
            <w:vAlign w:val="bottom"/>
            <w:tcBorders>
              <w:top w:val="single" w:sz="8" w:color="FEFEFE"/>
              <w:right w:val="single" w:sz="8" w:color="FEFEFE"/>
            </w:tcBorders>
            <w:shd w:val="clear" w:color="auto" w:fill="FEFEFE"/>
          </w:tcPr>
          <w:p>
            <w:pPr>
              <w:spacing w:after="0"/>
              <w:rPr>
                <w:sz w:val="16"/>
                <w:szCs w:val="16"/>
                <w:color w:val="auto"/>
              </w:rPr>
            </w:pPr>
          </w:p>
        </w:tc>
        <w:tc>
          <w:tcPr>
            <w:tcW w:w="9200" w:type="dxa"/>
            <w:vAlign w:val="bottom"/>
            <w:tcBorders>
              <w:top w:val="single" w:sz="8" w:color="0000FF"/>
            </w:tcBorders>
            <w:gridSpan w:val="13"/>
            <w:shd w:val="clear" w:color="auto" w:fill="FEFEFE"/>
          </w:tcPr>
          <w:p>
            <w:pPr>
              <w:spacing w:after="0" w:line="190" w:lineRule="exact"/>
              <w:rPr>
                <w:rFonts w:ascii="Arial" w:cs="Arial" w:eastAsia="Arial" w:hAnsi="Arial"/>
                <w:sz w:val="17"/>
                <w:szCs w:val="17"/>
                <w:color w:val="0000FF"/>
              </w:rPr>
            </w:pPr>
            <w:hyperlink w:anchor="page182">
              <w:r>
                <w:rPr>
                  <w:rFonts w:ascii="Arial" w:cs="Arial" w:eastAsia="Arial" w:hAnsi="Arial"/>
                  <w:sz w:val="17"/>
                  <w:szCs w:val="17"/>
                  <w:color w:val="0000FF"/>
                </w:rPr>
                <w:t>Award Agreement, dated as of January 23, 2019, by and between Virtu Financial, Inc. and Joseph Molluso.</w:t>
              </w:r>
            </w:hyperlink>
          </w:p>
        </w:tc>
        <w:tc>
          <w:tcPr>
            <w:tcW w:w="120" w:type="dxa"/>
            <w:vAlign w:val="bottom"/>
            <w:tcBorders>
              <w:top w:val="single" w:sz="8" w:color="FEFEFE"/>
            </w:tcBorders>
            <w:gridSpan w:val="2"/>
            <w:shd w:val="clear" w:color="auto" w:fill="FEFEFE"/>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80" w:type="dxa"/>
            <w:vAlign w:val="bottom"/>
            <w:gridSpan w:val="2"/>
            <w:shd w:val="clear" w:color="auto" w:fill="FEFEFE"/>
          </w:tcPr>
          <w:p>
            <w:pPr>
              <w:spacing w:after="0" w:line="20" w:lineRule="exact"/>
              <w:rPr>
                <w:sz w:val="1"/>
                <w:szCs w:val="1"/>
                <w:color w:val="auto"/>
              </w:rPr>
            </w:pPr>
          </w:p>
        </w:tc>
        <w:tc>
          <w:tcPr>
            <w:tcW w:w="12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5"/>
            <w:shd w:val="clear" w:color="auto" w:fill="FEFEFE"/>
          </w:tcPr>
          <w:p>
            <w:pPr>
              <w:spacing w:after="0"/>
              <w:rPr>
                <w:rFonts w:ascii="Arial" w:cs="Arial" w:eastAsia="Arial" w:hAnsi="Arial"/>
                <w:sz w:val="17"/>
                <w:szCs w:val="17"/>
                <w:color w:val="0000FF"/>
                <w:w w:val="94"/>
              </w:rPr>
            </w:pPr>
            <w:hyperlink w:anchor="page189">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500" w:type="dxa"/>
            <w:vAlign w:val="bottom"/>
          </w:tcPr>
          <w:p>
            <w:pPr>
              <w:spacing w:after="0"/>
              <w:rPr>
                <w:sz w:val="16"/>
                <w:szCs w:val="16"/>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6"/>
                <w:szCs w:val="16"/>
                <w:color w:val="auto"/>
              </w:rPr>
            </w:pPr>
          </w:p>
        </w:tc>
        <w:tc>
          <w:tcPr>
            <w:tcW w:w="7480" w:type="dxa"/>
            <w:vAlign w:val="bottom"/>
            <w:tcBorders>
              <w:top w:val="single" w:sz="8" w:color="0000FF"/>
              <w:bottom w:val="single" w:sz="8" w:color="0000FF"/>
              <w:right w:val="single" w:sz="8" w:color="FEFEFE"/>
            </w:tcBorders>
            <w:gridSpan w:val="5"/>
            <w:shd w:val="clear" w:color="auto" w:fill="FEFEFE"/>
          </w:tcPr>
          <w:p>
            <w:pPr>
              <w:spacing w:after="0" w:line="190" w:lineRule="exact"/>
              <w:rPr>
                <w:rFonts w:ascii="Arial" w:cs="Arial" w:eastAsia="Arial" w:hAnsi="Arial"/>
                <w:sz w:val="17"/>
                <w:szCs w:val="17"/>
                <w:color w:val="0000FF"/>
                <w:w w:val="92"/>
              </w:rPr>
            </w:pPr>
            <w:hyperlink w:anchor="page189">
              <w:r>
                <w:rPr>
                  <w:rFonts w:ascii="Arial" w:cs="Arial" w:eastAsia="Arial" w:hAnsi="Arial"/>
                  <w:sz w:val="17"/>
                  <w:szCs w:val="17"/>
                  <w:color w:val="0000FF"/>
                  <w:w w:val="92"/>
                </w:rPr>
                <w:t>Award Agreement, dated as of January 23, 2019, by and between Virtu Financial, Inc. and Stephen Cavoli.</w:t>
              </w:r>
            </w:hyperlink>
          </w:p>
        </w:tc>
        <w:tc>
          <w:tcPr>
            <w:tcW w:w="1720" w:type="dxa"/>
            <w:vAlign w:val="bottom"/>
            <w:tcBorders>
              <w:top w:val="single" w:sz="8" w:color="0000FF"/>
              <w:bottom w:val="single" w:sz="8" w:color="FEFEFE"/>
            </w:tcBorders>
            <w:gridSpan w:val="8"/>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2"/>
            <w:shd w:val="clear" w:color="auto" w:fill="FEFEFE"/>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15"/>
            <w:shd w:val="clear" w:color="auto" w:fill="FEFEFE"/>
          </w:tcPr>
          <w:p>
            <w:pPr>
              <w:spacing w:after="0"/>
              <w:rPr>
                <w:rFonts w:ascii="Arial" w:cs="Arial" w:eastAsia="Arial" w:hAnsi="Arial"/>
                <w:sz w:val="17"/>
                <w:szCs w:val="17"/>
                <w:color w:val="0000FF"/>
                <w:w w:val="94"/>
              </w:rPr>
            </w:pPr>
            <w:hyperlink w:anchor="page196">
              <w:r>
                <w:rPr>
                  <w:rFonts w:ascii="Arial" w:cs="Arial" w:eastAsia="Arial" w:hAnsi="Arial"/>
                  <w:sz w:val="17"/>
                  <w:szCs w:val="17"/>
                  <w:color w:val="0000FF"/>
                  <w:w w:val="94"/>
                </w:rPr>
                <w:t>Virtu Financial, Inc. Amended and Restated 2015 Management Incentive Plan Employee Restricted Stock Award Agreement, dated</w:t>
              </w:r>
            </w:hyperlink>
          </w:p>
        </w:tc>
      </w:tr>
      <w:tr>
        <w:trPr>
          <w:trHeight w:val="190"/>
        </w:trPr>
        <w:tc>
          <w:tcPr>
            <w:tcW w:w="1500" w:type="dxa"/>
            <w:vAlign w:val="bottom"/>
          </w:tcPr>
          <w:p>
            <w:pPr>
              <w:spacing w:after="0"/>
              <w:rPr>
                <w:sz w:val="16"/>
                <w:szCs w:val="16"/>
                <w:color w:val="auto"/>
              </w:rPr>
            </w:pPr>
          </w:p>
        </w:tc>
        <w:tc>
          <w:tcPr>
            <w:tcW w:w="600" w:type="dxa"/>
            <w:vAlign w:val="bottom"/>
            <w:tcBorders>
              <w:top w:val="single" w:sz="8" w:color="FEFEFE"/>
              <w:right w:val="single" w:sz="8" w:color="FEFEFE"/>
            </w:tcBorders>
            <w:shd w:val="clear" w:color="auto" w:fill="FEFEFE"/>
          </w:tcPr>
          <w:p>
            <w:pPr>
              <w:spacing w:after="0"/>
              <w:rPr>
                <w:sz w:val="16"/>
                <w:szCs w:val="16"/>
                <w:color w:val="auto"/>
              </w:rPr>
            </w:pPr>
          </w:p>
        </w:tc>
        <w:tc>
          <w:tcPr>
            <w:tcW w:w="9200" w:type="dxa"/>
            <w:vAlign w:val="bottom"/>
            <w:tcBorders>
              <w:top w:val="single" w:sz="8" w:color="0000FF"/>
            </w:tcBorders>
            <w:gridSpan w:val="13"/>
            <w:shd w:val="clear" w:color="auto" w:fill="FEFEFE"/>
          </w:tcPr>
          <w:p>
            <w:pPr>
              <w:spacing w:after="0" w:line="190" w:lineRule="exact"/>
              <w:rPr>
                <w:rFonts w:ascii="Arial" w:cs="Arial" w:eastAsia="Arial" w:hAnsi="Arial"/>
                <w:sz w:val="17"/>
                <w:szCs w:val="17"/>
                <w:color w:val="0000FF"/>
              </w:rPr>
            </w:pPr>
            <w:hyperlink w:anchor="page196">
              <w:r>
                <w:rPr>
                  <w:rFonts w:ascii="Arial" w:cs="Arial" w:eastAsia="Arial" w:hAnsi="Arial"/>
                  <w:sz w:val="17"/>
                  <w:szCs w:val="17"/>
                  <w:color w:val="0000FF"/>
                </w:rPr>
                <w:t>as of February 26, 2019, by and between Virtu Financial, Inc. and Douglas A. Cifu.</w:t>
              </w:r>
            </w:hyperlink>
          </w:p>
        </w:tc>
        <w:tc>
          <w:tcPr>
            <w:tcW w:w="120" w:type="dxa"/>
            <w:vAlign w:val="bottom"/>
            <w:tcBorders>
              <w:top w:val="single" w:sz="8" w:color="FEFEFE"/>
            </w:tcBorders>
            <w:gridSpan w:val="2"/>
            <w:shd w:val="clear" w:color="auto" w:fill="FEFEFE"/>
          </w:tcPr>
          <w:p>
            <w:pPr>
              <w:spacing w:after="0"/>
              <w:rPr>
                <w:sz w:val="16"/>
                <w:szCs w:val="16"/>
                <w:color w:val="auto"/>
              </w:rPr>
            </w:pPr>
          </w:p>
        </w:tc>
      </w:tr>
      <w:tr>
        <w:trPr>
          <w:trHeight w:val="46"/>
        </w:trPr>
        <w:tc>
          <w:tcPr>
            <w:tcW w:w="1500" w:type="dxa"/>
            <w:vAlign w:val="bottom"/>
          </w:tcPr>
          <w:p>
            <w:pPr>
              <w:spacing w:after="0"/>
              <w:rPr>
                <w:sz w:val="3"/>
                <w:szCs w:val="3"/>
                <w:color w:val="auto"/>
              </w:rPr>
            </w:pPr>
          </w:p>
        </w:tc>
        <w:tc>
          <w:tcPr>
            <w:tcW w:w="600" w:type="dxa"/>
            <w:vAlign w:val="bottom"/>
            <w:tcBorders>
              <w:top w:val="single" w:sz="8" w:color="FEFEFE"/>
              <w:right w:val="single" w:sz="8" w:color="FEFEFE"/>
            </w:tcBorders>
            <w:shd w:val="clear" w:color="auto" w:fill="FEFEFE"/>
          </w:tcPr>
          <w:p>
            <w:pPr>
              <w:spacing w:after="0"/>
              <w:rPr>
                <w:sz w:val="3"/>
                <w:szCs w:val="3"/>
                <w:color w:val="auto"/>
              </w:rPr>
            </w:pPr>
          </w:p>
        </w:tc>
        <w:tc>
          <w:tcPr>
            <w:tcW w:w="940" w:type="dxa"/>
            <w:vAlign w:val="bottom"/>
            <w:tcBorders>
              <w:top w:val="single" w:sz="8" w:color="0000FF"/>
            </w:tcBorders>
            <w:shd w:val="clear" w:color="auto" w:fill="FEFEFE"/>
          </w:tcPr>
          <w:p>
            <w:pPr>
              <w:spacing w:after="0"/>
              <w:rPr>
                <w:sz w:val="3"/>
                <w:szCs w:val="3"/>
                <w:color w:val="auto"/>
              </w:rPr>
            </w:pPr>
          </w:p>
        </w:tc>
        <w:tc>
          <w:tcPr>
            <w:tcW w:w="400" w:type="dxa"/>
            <w:vAlign w:val="bottom"/>
            <w:tcBorders>
              <w:top w:val="single" w:sz="8" w:color="0000FF"/>
            </w:tcBorders>
            <w:shd w:val="clear" w:color="auto" w:fill="FEFEFE"/>
          </w:tcPr>
          <w:p>
            <w:pPr>
              <w:spacing w:after="0"/>
              <w:rPr>
                <w:sz w:val="3"/>
                <w:szCs w:val="3"/>
                <w:color w:val="auto"/>
              </w:rPr>
            </w:pPr>
          </w:p>
        </w:tc>
        <w:tc>
          <w:tcPr>
            <w:tcW w:w="4340" w:type="dxa"/>
            <w:vAlign w:val="bottom"/>
            <w:tcBorders>
              <w:top w:val="single" w:sz="8" w:color="0000FF"/>
            </w:tcBorders>
            <w:shd w:val="clear" w:color="auto" w:fill="FEFEFE"/>
          </w:tcPr>
          <w:p>
            <w:pPr>
              <w:spacing w:after="0"/>
              <w:rPr>
                <w:sz w:val="3"/>
                <w:szCs w:val="3"/>
                <w:color w:val="auto"/>
              </w:rPr>
            </w:pPr>
          </w:p>
        </w:tc>
        <w:tc>
          <w:tcPr>
            <w:tcW w:w="140" w:type="dxa"/>
            <w:vAlign w:val="bottom"/>
            <w:tcBorders>
              <w:top w:val="single" w:sz="8" w:color="0000FF"/>
            </w:tcBorders>
            <w:shd w:val="clear" w:color="auto" w:fill="FEFEFE"/>
          </w:tcPr>
          <w:p>
            <w:pPr>
              <w:spacing w:after="0"/>
              <w:rPr>
                <w:sz w:val="3"/>
                <w:szCs w:val="3"/>
                <w:color w:val="auto"/>
              </w:rPr>
            </w:pPr>
          </w:p>
        </w:tc>
        <w:tc>
          <w:tcPr>
            <w:tcW w:w="1660" w:type="dxa"/>
            <w:vAlign w:val="bottom"/>
            <w:tcBorders>
              <w:top w:val="single" w:sz="8" w:color="FEFEFE"/>
              <w:right w:val="single" w:sz="8" w:color="FEFEFE"/>
            </w:tcBorders>
            <w:shd w:val="clear" w:color="auto" w:fill="FEFEFE"/>
          </w:tcPr>
          <w:p>
            <w:pPr>
              <w:spacing w:after="0"/>
              <w:rPr>
                <w:sz w:val="3"/>
                <w:szCs w:val="3"/>
                <w:color w:val="auto"/>
              </w:rPr>
            </w:pPr>
          </w:p>
        </w:tc>
        <w:tc>
          <w:tcPr>
            <w:tcW w:w="60" w:type="dxa"/>
            <w:vAlign w:val="bottom"/>
            <w:tcBorders>
              <w:top w:val="single" w:sz="8" w:color="FEFEFE"/>
            </w:tcBorders>
            <w:shd w:val="clear" w:color="auto" w:fill="FEFEFE"/>
          </w:tcPr>
          <w:p>
            <w:pPr>
              <w:spacing w:after="0"/>
              <w:rPr>
                <w:sz w:val="3"/>
                <w:szCs w:val="3"/>
                <w:color w:val="auto"/>
              </w:rPr>
            </w:pPr>
          </w:p>
        </w:tc>
        <w:tc>
          <w:tcPr>
            <w:tcW w:w="820" w:type="dxa"/>
            <w:vAlign w:val="bottom"/>
            <w:tcBorders>
              <w:top w:val="single" w:sz="8" w:color="FEFEFE"/>
            </w:tcBorders>
            <w:shd w:val="clear" w:color="auto" w:fill="FEFEFE"/>
          </w:tcPr>
          <w:p>
            <w:pPr>
              <w:spacing w:after="0"/>
              <w:rPr>
                <w:sz w:val="3"/>
                <w:szCs w:val="3"/>
                <w:color w:val="auto"/>
              </w:rPr>
            </w:pPr>
          </w:p>
        </w:tc>
        <w:tc>
          <w:tcPr>
            <w:tcW w:w="340" w:type="dxa"/>
            <w:vAlign w:val="bottom"/>
            <w:tcBorders>
              <w:top w:val="single" w:sz="8" w:color="FEFEFE"/>
            </w:tcBorders>
            <w:shd w:val="clear" w:color="auto" w:fill="FEFEFE"/>
          </w:tcPr>
          <w:p>
            <w:pPr>
              <w:spacing w:after="0"/>
              <w:rPr>
                <w:sz w:val="3"/>
                <w:szCs w:val="3"/>
                <w:color w:val="auto"/>
              </w:rPr>
            </w:pPr>
          </w:p>
        </w:tc>
        <w:tc>
          <w:tcPr>
            <w:tcW w:w="40" w:type="dxa"/>
            <w:vAlign w:val="bottom"/>
            <w:tcBorders>
              <w:top w:val="single" w:sz="8" w:color="FEFEFE"/>
            </w:tcBorders>
            <w:shd w:val="clear" w:color="auto" w:fill="FEFEFE"/>
          </w:tcPr>
          <w:p>
            <w:pPr>
              <w:spacing w:after="0"/>
              <w:rPr>
                <w:sz w:val="3"/>
                <w:szCs w:val="3"/>
                <w:color w:val="auto"/>
              </w:rPr>
            </w:pPr>
          </w:p>
        </w:tc>
        <w:tc>
          <w:tcPr>
            <w:tcW w:w="240" w:type="dxa"/>
            <w:vAlign w:val="bottom"/>
            <w:tcBorders>
              <w:top w:val="single" w:sz="8" w:color="FEFEFE"/>
            </w:tcBorders>
            <w:shd w:val="clear" w:color="auto" w:fill="FEFEFE"/>
          </w:tcPr>
          <w:p>
            <w:pPr>
              <w:spacing w:after="0"/>
              <w:rPr>
                <w:sz w:val="3"/>
                <w:szCs w:val="3"/>
                <w:color w:val="auto"/>
              </w:rPr>
            </w:pPr>
          </w:p>
        </w:tc>
        <w:tc>
          <w:tcPr>
            <w:tcW w:w="40" w:type="dxa"/>
            <w:vAlign w:val="bottom"/>
            <w:tcBorders>
              <w:top w:val="single" w:sz="8" w:color="FEFEFE"/>
            </w:tcBorders>
            <w:shd w:val="clear" w:color="auto" w:fill="FEFEFE"/>
          </w:tcPr>
          <w:p>
            <w:pPr>
              <w:spacing w:after="0"/>
              <w:rPr>
                <w:sz w:val="3"/>
                <w:szCs w:val="3"/>
                <w:color w:val="auto"/>
              </w:rPr>
            </w:pPr>
          </w:p>
        </w:tc>
        <w:tc>
          <w:tcPr>
            <w:tcW w:w="16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40" w:type="dxa"/>
            <w:vAlign w:val="bottom"/>
            <w:tcBorders>
              <w:top w:val="single" w:sz="8" w:color="FEFEFE"/>
            </w:tcBorders>
            <w:shd w:val="clear" w:color="auto" w:fill="FEFEFE"/>
          </w:tcPr>
          <w:p>
            <w:pPr>
              <w:spacing w:after="0"/>
              <w:rPr>
                <w:sz w:val="3"/>
                <w:szCs w:val="3"/>
                <w:color w:val="auto"/>
              </w:rPr>
            </w:pPr>
          </w:p>
        </w:tc>
        <w:tc>
          <w:tcPr>
            <w:tcW w:w="80" w:type="dxa"/>
            <w:vAlign w:val="bottom"/>
            <w:tcBorders>
              <w:top w:val="single" w:sz="8" w:color="FEFEFE"/>
            </w:tcBorders>
            <w:shd w:val="clear" w:color="auto" w:fill="FEFEFE"/>
          </w:tcPr>
          <w:p>
            <w:pPr>
              <w:spacing w:after="0"/>
              <w:rPr>
                <w:sz w:val="3"/>
                <w:szCs w:val="3"/>
                <w:color w:val="auto"/>
              </w:rPr>
            </w:pPr>
          </w:p>
        </w:tc>
      </w:tr>
      <w:tr>
        <w:trPr>
          <w:trHeight w:val="197"/>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31.1*</w:t>
            </w: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15"/>
            <w:shd w:val="clear" w:color="auto" w:fill="FEFEFE"/>
          </w:tcPr>
          <w:p>
            <w:pPr>
              <w:spacing w:after="0"/>
              <w:rPr>
                <w:rFonts w:ascii="Arial" w:cs="Arial" w:eastAsia="Arial" w:hAnsi="Arial"/>
                <w:sz w:val="17"/>
                <w:szCs w:val="17"/>
                <w:color w:val="0000FF"/>
              </w:rPr>
            </w:pPr>
            <w:hyperlink w:anchor="page203">
              <w:r>
                <w:rPr>
                  <w:rFonts w:ascii="Arial" w:cs="Arial" w:eastAsia="Arial" w:hAnsi="Arial"/>
                  <w:sz w:val="17"/>
                  <w:szCs w:val="17"/>
                  <w:color w:val="0000FF"/>
                </w:rPr>
                <w:t>Certification of Chief Executive Officer required by Rule 13a-14(a)/15d-14(a) under the Securities Exchange Act of 1934, as</w:t>
              </w:r>
            </w:hyperlink>
          </w:p>
        </w:tc>
      </w:tr>
      <w:tr>
        <w:trPr>
          <w:trHeight w:val="190"/>
        </w:trPr>
        <w:tc>
          <w:tcPr>
            <w:tcW w:w="1500" w:type="dxa"/>
            <w:vAlign w:val="bottom"/>
            <w:tcBorders>
              <w:top w:val="single" w:sz="8" w:color="FEFEFE"/>
            </w:tcBorders>
            <w:shd w:val="clear" w:color="auto" w:fill="FEFEFE"/>
          </w:tcPr>
          <w:p>
            <w:pPr>
              <w:spacing w:after="0"/>
              <w:rPr>
                <w:sz w:val="16"/>
                <w:szCs w:val="16"/>
                <w:color w:val="auto"/>
              </w:rPr>
            </w:pPr>
          </w:p>
        </w:tc>
        <w:tc>
          <w:tcPr>
            <w:tcW w:w="600" w:type="dxa"/>
            <w:vAlign w:val="bottom"/>
            <w:tcBorders>
              <w:top w:val="single" w:sz="8" w:color="FEFEFE"/>
              <w:right w:val="single" w:sz="8" w:color="FEFEFE"/>
            </w:tcBorders>
            <w:shd w:val="clear" w:color="auto" w:fill="FEFEFE"/>
          </w:tcPr>
          <w:p>
            <w:pPr>
              <w:spacing w:after="0"/>
              <w:rPr>
                <w:sz w:val="16"/>
                <w:szCs w:val="16"/>
                <w:color w:val="auto"/>
              </w:rPr>
            </w:pPr>
          </w:p>
        </w:tc>
        <w:tc>
          <w:tcPr>
            <w:tcW w:w="8740" w:type="dxa"/>
            <w:vAlign w:val="bottom"/>
            <w:tcBorders>
              <w:top w:val="single" w:sz="8" w:color="0000FF"/>
            </w:tcBorders>
            <w:gridSpan w:val="9"/>
            <w:shd w:val="clear" w:color="auto" w:fill="FEFEFE"/>
          </w:tcPr>
          <w:p>
            <w:pPr>
              <w:spacing w:after="0" w:line="190" w:lineRule="exact"/>
              <w:rPr>
                <w:rFonts w:ascii="Arial" w:cs="Arial" w:eastAsia="Arial" w:hAnsi="Arial"/>
                <w:sz w:val="17"/>
                <w:szCs w:val="17"/>
                <w:color w:val="0000FF"/>
              </w:rPr>
            </w:pPr>
            <w:hyperlink w:anchor="page203">
              <w:r>
                <w:rPr>
                  <w:rFonts w:ascii="Arial" w:cs="Arial" w:eastAsia="Arial" w:hAnsi="Arial"/>
                  <w:sz w:val="17"/>
                  <w:szCs w:val="17"/>
                  <w:color w:val="0000FF"/>
                </w:rPr>
                <w:t>amended, as adopted pursuant to Section 302 of the Sarbanes-Oxley Act of 2002.</w:t>
              </w:r>
            </w:hyperlink>
          </w:p>
        </w:tc>
        <w:tc>
          <w:tcPr>
            <w:tcW w:w="580" w:type="dxa"/>
            <w:vAlign w:val="bottom"/>
            <w:tcBorders>
              <w:top w:val="single" w:sz="8" w:color="FEFEFE"/>
            </w:tcBorders>
            <w:gridSpan w:val="6"/>
            <w:shd w:val="clear" w:color="auto" w:fill="FEFEFE"/>
          </w:tcPr>
          <w:p>
            <w:pPr>
              <w:spacing w:after="0"/>
              <w:rPr>
                <w:sz w:val="16"/>
                <w:szCs w:val="16"/>
                <w:color w:val="auto"/>
              </w:rPr>
            </w:pPr>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3020" w:type="dxa"/>
            <w:vAlign w:val="bottom"/>
            <w:gridSpan w:val="5"/>
            <w:shd w:val="clear" w:color="auto" w:fill="FEFEFE"/>
          </w:tcPr>
          <w:p>
            <w:pPr>
              <w:spacing w:after="0" w:line="20" w:lineRule="exact"/>
              <w:rPr>
                <w:sz w:val="1"/>
                <w:szCs w:val="1"/>
                <w:color w:val="auto"/>
              </w:rPr>
            </w:pPr>
          </w:p>
        </w:tc>
        <w:tc>
          <w:tcPr>
            <w:tcW w:w="2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00" w:type="dxa"/>
            <w:vAlign w:val="bottom"/>
            <w:gridSpan w:val="4"/>
            <w:shd w:val="clear" w:color="auto" w:fill="FEFEFE"/>
          </w:tcPr>
          <w:p>
            <w:pPr>
              <w:spacing w:after="0" w:line="20" w:lineRule="exact"/>
              <w:rPr>
                <w:sz w:val="1"/>
                <w:szCs w:val="1"/>
                <w:color w:val="auto"/>
              </w:rPr>
            </w:pPr>
          </w:p>
        </w:tc>
      </w:tr>
      <w:tr>
        <w:trPr>
          <w:trHeight w:val="242"/>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7"/>
                <w:szCs w:val="17"/>
                <w:color w:val="auto"/>
              </w:rPr>
              <w:t>31.2*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700" w:type="dxa"/>
            <w:vAlign w:val="bottom"/>
            <w:tcBorders>
              <w:bottom w:val="single" w:sz="8" w:color="0000FF"/>
            </w:tcBorders>
            <w:gridSpan w:val="8"/>
            <w:shd w:val="clear" w:color="auto" w:fill="FEFEFE"/>
          </w:tcPr>
          <w:p>
            <w:pPr>
              <w:spacing w:after="0"/>
              <w:rPr>
                <w:rFonts w:ascii="Arial" w:cs="Arial" w:eastAsia="Arial" w:hAnsi="Arial"/>
                <w:sz w:val="17"/>
                <w:szCs w:val="17"/>
                <w:color w:val="0000FF"/>
                <w:w w:val="94"/>
              </w:rPr>
            </w:pPr>
            <w:hyperlink w:anchor="page204">
              <w:r>
                <w:rPr>
                  <w:rFonts w:ascii="Arial" w:cs="Arial" w:eastAsia="Arial" w:hAnsi="Arial"/>
                  <w:sz w:val="17"/>
                  <w:szCs w:val="17"/>
                  <w:color w:val="0000FF"/>
                  <w:w w:val="94"/>
                </w:rPr>
                <w:t>Certification of Chief Financial Officer required by Rule 13a-14(a)/15d-14(a) under the Securities Exchange Act of 1934, as</w:t>
              </w:r>
            </w:hyperlink>
          </w:p>
        </w:tc>
        <w:tc>
          <w:tcPr>
            <w:tcW w:w="620" w:type="dxa"/>
            <w:vAlign w:val="bottom"/>
            <w:tcBorders>
              <w:bottom w:val="single" w:sz="8" w:color="FEFEFE"/>
            </w:tcBorders>
            <w:gridSpan w:val="7"/>
            <w:shd w:val="clear" w:color="auto" w:fill="FEFEFE"/>
          </w:tcPr>
          <w:p>
            <w:pPr>
              <w:spacing w:after="0"/>
              <w:rPr>
                <w:sz w:val="21"/>
                <w:szCs w:val="21"/>
                <w:color w:val="auto"/>
              </w:rPr>
            </w:pPr>
          </w:p>
        </w:tc>
      </w:tr>
      <w:tr>
        <w:trPr>
          <w:trHeight w:val="190"/>
        </w:trPr>
        <w:tc>
          <w:tcPr>
            <w:tcW w:w="1500" w:type="dxa"/>
            <w:vAlign w:val="bottom"/>
            <w:shd w:val="clear" w:color="auto" w:fill="FEFEFE"/>
          </w:tcPr>
          <w:p>
            <w:pPr>
              <w:spacing w:after="0"/>
              <w:rPr>
                <w:sz w:val="16"/>
                <w:szCs w:val="16"/>
                <w:color w:val="auto"/>
              </w:rPr>
            </w:pPr>
          </w:p>
        </w:tc>
        <w:tc>
          <w:tcPr>
            <w:tcW w:w="600" w:type="dxa"/>
            <w:vAlign w:val="bottom"/>
            <w:tcBorders>
              <w:right w:val="single" w:sz="8" w:color="FEFEFE"/>
            </w:tcBorders>
            <w:shd w:val="clear" w:color="auto" w:fill="FEFEFE"/>
          </w:tcPr>
          <w:p>
            <w:pPr>
              <w:spacing w:after="0"/>
              <w:rPr>
                <w:sz w:val="16"/>
                <w:szCs w:val="16"/>
                <w:color w:val="auto"/>
              </w:rPr>
            </w:pPr>
          </w:p>
        </w:tc>
        <w:tc>
          <w:tcPr>
            <w:tcW w:w="9320" w:type="dxa"/>
            <w:vAlign w:val="bottom"/>
            <w:gridSpan w:val="15"/>
            <w:shd w:val="clear" w:color="auto" w:fill="FEFEFE"/>
          </w:tcPr>
          <w:p>
            <w:pPr>
              <w:spacing w:after="0" w:line="190" w:lineRule="exact"/>
              <w:rPr>
                <w:rFonts w:ascii="Arial" w:cs="Arial" w:eastAsia="Arial" w:hAnsi="Arial"/>
                <w:sz w:val="17"/>
                <w:szCs w:val="17"/>
                <w:color w:val="0000FF"/>
              </w:rPr>
            </w:pPr>
            <w:hyperlink w:anchor="page204">
              <w:r>
                <w:rPr>
                  <w:rFonts w:ascii="Arial" w:cs="Arial" w:eastAsia="Arial" w:hAnsi="Arial"/>
                  <w:sz w:val="17"/>
                  <w:szCs w:val="17"/>
                  <w:color w:val="0000FF"/>
                </w:rPr>
                <w:t>amended, as adopted pursuant to Section 302 of the Sarbanes-Oxley Act of 2002.</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3300" w:type="dxa"/>
            <w:vAlign w:val="bottom"/>
            <w:gridSpan w:val="7"/>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00" w:type="dxa"/>
            <w:vAlign w:val="bottom"/>
            <w:gridSpan w:val="4"/>
            <w:shd w:val="clear" w:color="auto" w:fill="FEFEFE"/>
          </w:tcPr>
          <w:p>
            <w:pPr>
              <w:spacing w:after="0" w:line="20" w:lineRule="exact"/>
              <w:rPr>
                <w:sz w:val="1"/>
                <w:szCs w:val="1"/>
                <w:color w:val="auto"/>
              </w:rPr>
            </w:pPr>
          </w:p>
        </w:tc>
      </w:tr>
      <w:tr>
        <w:trPr>
          <w:trHeight w:val="242"/>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7"/>
                <w:szCs w:val="17"/>
                <w:color w:val="auto"/>
              </w:rPr>
              <w:t>32.1*</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020" w:type="dxa"/>
            <w:vAlign w:val="bottom"/>
            <w:tcBorders>
              <w:bottom w:val="single" w:sz="8" w:color="0000FF"/>
            </w:tcBorders>
            <w:gridSpan w:val="11"/>
            <w:shd w:val="clear" w:color="auto" w:fill="FEFEFE"/>
          </w:tcPr>
          <w:p>
            <w:pPr>
              <w:spacing w:after="0"/>
              <w:rPr>
                <w:rFonts w:ascii="Arial" w:cs="Arial" w:eastAsia="Arial" w:hAnsi="Arial"/>
                <w:sz w:val="17"/>
                <w:szCs w:val="17"/>
                <w:color w:val="0000FF"/>
                <w:w w:val="93"/>
              </w:rPr>
            </w:pPr>
            <w:hyperlink w:anchor="page205">
              <w:r>
                <w:rPr>
                  <w:rFonts w:ascii="Arial" w:cs="Arial" w:eastAsia="Arial" w:hAnsi="Arial"/>
                  <w:sz w:val="17"/>
                  <w:szCs w:val="17"/>
                  <w:color w:val="0000FF"/>
                  <w:w w:val="93"/>
                </w:rPr>
                <w:t>Certification of Chief Executive Officer pursuant to 18 U.S.C. Section 1350, as adopted pursuant to Section 906 of the Sarbanes-</w:t>
              </w:r>
            </w:hyperlink>
          </w:p>
        </w:tc>
        <w:tc>
          <w:tcPr>
            <w:tcW w:w="300" w:type="dxa"/>
            <w:vAlign w:val="bottom"/>
            <w:tcBorders>
              <w:bottom w:val="single" w:sz="8" w:color="FEFEFE"/>
            </w:tcBorders>
            <w:gridSpan w:val="4"/>
            <w:shd w:val="clear" w:color="auto" w:fill="FEFEFE"/>
          </w:tcPr>
          <w:p>
            <w:pPr>
              <w:spacing w:after="0"/>
              <w:rPr>
                <w:sz w:val="21"/>
                <w:szCs w:val="21"/>
                <w:color w:val="auto"/>
              </w:rPr>
            </w:pPr>
          </w:p>
        </w:tc>
      </w:tr>
      <w:tr>
        <w:trPr>
          <w:trHeight w:val="190"/>
        </w:trPr>
        <w:tc>
          <w:tcPr>
            <w:tcW w:w="1500" w:type="dxa"/>
            <w:vAlign w:val="bottom"/>
            <w:shd w:val="clear" w:color="auto" w:fill="FEFEFE"/>
          </w:tcPr>
          <w:p>
            <w:pPr>
              <w:spacing w:after="0"/>
              <w:rPr>
                <w:sz w:val="16"/>
                <w:szCs w:val="16"/>
                <w:color w:val="auto"/>
              </w:rPr>
            </w:pPr>
          </w:p>
        </w:tc>
        <w:tc>
          <w:tcPr>
            <w:tcW w:w="600" w:type="dxa"/>
            <w:vAlign w:val="bottom"/>
            <w:tcBorders>
              <w:right w:val="single" w:sz="8" w:color="FEFEFE"/>
            </w:tcBorders>
            <w:shd w:val="clear" w:color="auto" w:fill="FEFEFE"/>
          </w:tcPr>
          <w:p>
            <w:pPr>
              <w:spacing w:after="0"/>
              <w:rPr>
                <w:sz w:val="16"/>
                <w:szCs w:val="16"/>
                <w:color w:val="auto"/>
              </w:rPr>
            </w:pPr>
          </w:p>
        </w:tc>
        <w:tc>
          <w:tcPr>
            <w:tcW w:w="9320" w:type="dxa"/>
            <w:vAlign w:val="bottom"/>
            <w:gridSpan w:val="15"/>
            <w:shd w:val="clear" w:color="auto" w:fill="FEFEFE"/>
          </w:tcPr>
          <w:p>
            <w:pPr>
              <w:spacing w:after="0" w:line="190" w:lineRule="exact"/>
              <w:rPr>
                <w:rFonts w:ascii="Arial" w:cs="Arial" w:eastAsia="Arial" w:hAnsi="Arial"/>
                <w:sz w:val="17"/>
                <w:szCs w:val="17"/>
                <w:color w:val="0000FF"/>
              </w:rPr>
            </w:pPr>
            <w:hyperlink w:anchor="page205">
              <w:r>
                <w:rPr>
                  <w:rFonts w:ascii="Arial" w:cs="Arial" w:eastAsia="Arial" w:hAnsi="Arial"/>
                  <w:sz w:val="17"/>
                  <w:szCs w:val="17"/>
                  <w:color w:val="0000FF"/>
                </w:rPr>
                <w:t>Oxley Act of 2002.</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640" w:type="dxa"/>
            <w:vAlign w:val="bottom"/>
            <w:gridSpan w:val="8"/>
            <w:shd w:val="clear" w:color="auto" w:fill="FEFEFE"/>
          </w:tcPr>
          <w:p>
            <w:pPr>
              <w:spacing w:after="0" w:line="20" w:lineRule="exact"/>
              <w:rPr>
                <w:sz w:val="1"/>
                <w:szCs w:val="1"/>
                <w:color w:val="auto"/>
              </w:rPr>
            </w:pPr>
          </w:p>
        </w:tc>
        <w:tc>
          <w:tcPr>
            <w:tcW w:w="340" w:type="dxa"/>
            <w:vAlign w:val="bottom"/>
            <w:gridSpan w:val="5"/>
            <w:shd w:val="clear" w:color="auto" w:fill="FEFEFE"/>
          </w:tcPr>
          <w:p>
            <w:pPr>
              <w:spacing w:after="0" w:line="20" w:lineRule="exact"/>
              <w:rPr>
                <w:sz w:val="1"/>
                <w:szCs w:val="1"/>
                <w:color w:val="auto"/>
              </w:rPr>
            </w:pPr>
          </w:p>
        </w:tc>
      </w:tr>
      <w:tr>
        <w:trPr>
          <w:trHeight w:val="242"/>
        </w:trPr>
        <w:tc>
          <w:tcPr>
            <w:tcW w:w="150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17"/>
                <w:szCs w:val="17"/>
                <w:color w:val="auto"/>
              </w:rPr>
              <w:t>32.2*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980" w:type="dxa"/>
            <w:vAlign w:val="bottom"/>
            <w:tcBorders>
              <w:bottom w:val="single" w:sz="8" w:color="0000FF"/>
            </w:tcBorders>
            <w:gridSpan w:val="10"/>
            <w:shd w:val="clear" w:color="auto" w:fill="FEFEFE"/>
          </w:tcPr>
          <w:p>
            <w:pPr>
              <w:spacing w:after="0"/>
              <w:rPr>
                <w:rFonts w:ascii="Arial" w:cs="Arial" w:eastAsia="Arial" w:hAnsi="Arial"/>
                <w:sz w:val="17"/>
                <w:szCs w:val="17"/>
                <w:color w:val="0000FF"/>
                <w:w w:val="93"/>
              </w:rPr>
            </w:pPr>
            <w:hyperlink w:anchor="page206">
              <w:r>
                <w:rPr>
                  <w:rFonts w:ascii="Arial" w:cs="Arial" w:eastAsia="Arial" w:hAnsi="Arial"/>
                  <w:sz w:val="17"/>
                  <w:szCs w:val="17"/>
                  <w:color w:val="0000FF"/>
                  <w:w w:val="93"/>
                </w:rPr>
                <w:t>Certification of Chief Financial Officer pursuant to 18 U.S.C. Section 1350, as adopted pursuant to Section 906 of the Sarbanes-</w:t>
              </w:r>
            </w:hyperlink>
          </w:p>
        </w:tc>
        <w:tc>
          <w:tcPr>
            <w:tcW w:w="340" w:type="dxa"/>
            <w:vAlign w:val="bottom"/>
            <w:tcBorders>
              <w:bottom w:val="single" w:sz="8" w:color="FEFEFE"/>
            </w:tcBorders>
            <w:gridSpan w:val="5"/>
            <w:shd w:val="clear" w:color="auto" w:fill="FEFEFE"/>
          </w:tcPr>
          <w:p>
            <w:pPr>
              <w:spacing w:after="0"/>
              <w:rPr>
                <w:sz w:val="21"/>
                <w:szCs w:val="21"/>
                <w:color w:val="auto"/>
              </w:rPr>
            </w:pPr>
          </w:p>
        </w:tc>
      </w:tr>
      <w:tr>
        <w:trPr>
          <w:trHeight w:val="190"/>
        </w:trPr>
        <w:tc>
          <w:tcPr>
            <w:tcW w:w="1500" w:type="dxa"/>
            <w:vAlign w:val="bottom"/>
            <w:shd w:val="clear" w:color="auto" w:fill="FEFEFE"/>
          </w:tcPr>
          <w:p>
            <w:pPr>
              <w:spacing w:after="0"/>
              <w:rPr>
                <w:sz w:val="16"/>
                <w:szCs w:val="16"/>
                <w:color w:val="auto"/>
              </w:rPr>
            </w:pPr>
          </w:p>
        </w:tc>
        <w:tc>
          <w:tcPr>
            <w:tcW w:w="600" w:type="dxa"/>
            <w:vAlign w:val="bottom"/>
            <w:tcBorders>
              <w:right w:val="single" w:sz="8" w:color="FEFEFE"/>
            </w:tcBorders>
            <w:shd w:val="clear" w:color="auto" w:fill="FEFEFE"/>
          </w:tcPr>
          <w:p>
            <w:pPr>
              <w:spacing w:after="0"/>
              <w:rPr>
                <w:sz w:val="16"/>
                <w:szCs w:val="16"/>
                <w:color w:val="auto"/>
              </w:rPr>
            </w:pPr>
          </w:p>
        </w:tc>
        <w:tc>
          <w:tcPr>
            <w:tcW w:w="9320" w:type="dxa"/>
            <w:vAlign w:val="bottom"/>
            <w:gridSpan w:val="15"/>
            <w:shd w:val="clear" w:color="auto" w:fill="FEFEFE"/>
          </w:tcPr>
          <w:p>
            <w:pPr>
              <w:spacing w:after="0" w:line="190" w:lineRule="exact"/>
              <w:rPr>
                <w:rFonts w:ascii="Arial" w:cs="Arial" w:eastAsia="Arial" w:hAnsi="Arial"/>
                <w:sz w:val="17"/>
                <w:szCs w:val="17"/>
                <w:color w:val="0000FF"/>
              </w:rPr>
            </w:pPr>
            <w:hyperlink w:anchor="page206">
              <w:r>
                <w:rPr>
                  <w:rFonts w:ascii="Arial" w:cs="Arial" w:eastAsia="Arial" w:hAnsi="Arial"/>
                  <w:sz w:val="17"/>
                  <w:szCs w:val="17"/>
                  <w:color w:val="0000FF"/>
                </w:rPr>
                <w:t>Oxley Act of 2002.</w:t>
              </w:r>
            </w:hyperlink>
          </w:p>
        </w:tc>
      </w:tr>
      <w:tr>
        <w:trPr>
          <w:trHeight w:val="20"/>
        </w:trPr>
        <w:tc>
          <w:tcPr>
            <w:tcW w:w="1500" w:type="dxa"/>
            <w:vAlign w:val="bottom"/>
            <w:shd w:val="clear" w:color="auto" w:fill="FEFEFE"/>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980" w:type="dxa"/>
            <w:vAlign w:val="bottom"/>
            <w:gridSpan w:val="13"/>
            <w:shd w:val="clear" w:color="auto" w:fill="FEFEFE"/>
          </w:tcPr>
          <w:p>
            <w:pPr>
              <w:spacing w:after="0" w:line="20" w:lineRule="exact"/>
              <w:rPr>
                <w:sz w:val="1"/>
                <w:szCs w:val="1"/>
                <w:color w:val="auto"/>
              </w:rPr>
            </w:pPr>
          </w:p>
        </w:tc>
      </w:tr>
      <w:tr>
        <w:trPr>
          <w:trHeight w:val="281"/>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101.INS*</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Instance Document</w:t>
            </w:r>
          </w:p>
        </w:tc>
      </w:tr>
      <w:tr>
        <w:trPr>
          <w:trHeight w:val="276"/>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101.SCH*</w:t>
            </w:r>
          </w:p>
        </w:tc>
        <w:tc>
          <w:tcPr>
            <w:tcW w:w="600" w:type="dxa"/>
            <w:vAlign w:val="bottom"/>
            <w:tcBorders>
              <w:right w:val="single" w:sz="8" w:color="FEFEFE"/>
            </w:tcBorders>
            <w:shd w:val="clear" w:color="auto" w:fill="FEFEFE"/>
          </w:tcPr>
          <w:p>
            <w:pPr>
              <w:spacing w:after="0"/>
              <w:rPr>
                <w:sz w:val="23"/>
                <w:szCs w:val="23"/>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r>
      <w:tr>
        <w:trPr>
          <w:trHeight w:val="276"/>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101.CAL*</w:t>
            </w:r>
          </w:p>
        </w:tc>
        <w:tc>
          <w:tcPr>
            <w:tcW w:w="600" w:type="dxa"/>
            <w:vAlign w:val="bottom"/>
            <w:tcBorders>
              <w:right w:val="single" w:sz="8" w:color="FEFEFE"/>
            </w:tcBorders>
            <w:shd w:val="clear" w:color="auto" w:fill="FEFEFE"/>
          </w:tcPr>
          <w:p>
            <w:pPr>
              <w:spacing w:after="0"/>
              <w:rPr>
                <w:sz w:val="23"/>
                <w:szCs w:val="23"/>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76"/>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101.LAB*</w:t>
            </w:r>
          </w:p>
        </w:tc>
        <w:tc>
          <w:tcPr>
            <w:tcW w:w="600" w:type="dxa"/>
            <w:vAlign w:val="bottom"/>
            <w:tcBorders>
              <w:right w:val="single" w:sz="8" w:color="FEFEFE"/>
            </w:tcBorders>
            <w:shd w:val="clear" w:color="auto" w:fill="FEFEFE"/>
          </w:tcPr>
          <w:p>
            <w:pPr>
              <w:spacing w:after="0"/>
              <w:rPr>
                <w:sz w:val="23"/>
                <w:szCs w:val="23"/>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r>
      <w:tr>
        <w:trPr>
          <w:trHeight w:val="276"/>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101.PRE*</w:t>
            </w:r>
          </w:p>
        </w:tc>
        <w:tc>
          <w:tcPr>
            <w:tcW w:w="600" w:type="dxa"/>
            <w:vAlign w:val="bottom"/>
            <w:tcBorders>
              <w:right w:val="single" w:sz="8" w:color="FEFEFE"/>
            </w:tcBorders>
            <w:shd w:val="clear" w:color="auto" w:fill="FEFEFE"/>
          </w:tcPr>
          <w:p>
            <w:pPr>
              <w:spacing w:after="0"/>
              <w:rPr>
                <w:sz w:val="23"/>
                <w:szCs w:val="23"/>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276"/>
        </w:trPr>
        <w:tc>
          <w:tcPr>
            <w:tcW w:w="1500" w:type="dxa"/>
            <w:vAlign w:val="bottom"/>
            <w:shd w:val="clear" w:color="auto" w:fill="FEFEFE"/>
          </w:tcPr>
          <w:p>
            <w:pPr>
              <w:ind w:left="40"/>
              <w:spacing w:after="0"/>
              <w:rPr>
                <w:sz w:val="20"/>
                <w:szCs w:val="20"/>
                <w:color w:val="auto"/>
              </w:rPr>
            </w:pPr>
            <w:r>
              <w:rPr>
                <w:rFonts w:ascii="Arial" w:cs="Arial" w:eastAsia="Arial" w:hAnsi="Arial"/>
                <w:sz w:val="17"/>
                <w:szCs w:val="17"/>
                <w:color w:val="auto"/>
              </w:rPr>
              <w:t>101.DEF*</w:t>
            </w:r>
          </w:p>
        </w:tc>
        <w:tc>
          <w:tcPr>
            <w:tcW w:w="600" w:type="dxa"/>
            <w:vAlign w:val="bottom"/>
            <w:tcBorders>
              <w:right w:val="single" w:sz="8" w:color="FEFEFE"/>
            </w:tcBorders>
            <w:shd w:val="clear" w:color="auto" w:fill="FEFEFE"/>
          </w:tcPr>
          <w:p>
            <w:pPr>
              <w:spacing w:after="0"/>
              <w:rPr>
                <w:sz w:val="23"/>
                <w:szCs w:val="23"/>
                <w:color w:val="auto"/>
              </w:rPr>
            </w:pPr>
          </w:p>
        </w:tc>
        <w:tc>
          <w:tcPr>
            <w:tcW w:w="9320" w:type="dxa"/>
            <w:vAlign w:val="bottom"/>
            <w:gridSpan w:val="15"/>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r>
      <w:tr>
        <w:trPr>
          <w:trHeight w:val="40"/>
        </w:trPr>
        <w:tc>
          <w:tcPr>
            <w:tcW w:w="1500" w:type="dxa"/>
            <w:vAlign w:val="bottom"/>
            <w:shd w:val="clear" w:color="auto" w:fill="FEFEFE"/>
          </w:tcPr>
          <w:p>
            <w:pPr>
              <w:spacing w:after="0"/>
              <w:rPr>
                <w:sz w:val="3"/>
                <w:szCs w:val="3"/>
                <w:color w:val="auto"/>
              </w:rPr>
            </w:pPr>
          </w:p>
        </w:tc>
        <w:tc>
          <w:tcPr>
            <w:tcW w:w="600" w:type="dxa"/>
            <w:vAlign w:val="bottom"/>
            <w:tcBorders>
              <w:right w:val="single" w:sz="8" w:color="FEFEFE"/>
            </w:tcBorders>
            <w:shd w:val="clear" w:color="auto" w:fill="FEFEFE"/>
          </w:tcPr>
          <w:p>
            <w:pPr>
              <w:spacing w:after="0"/>
              <w:rPr>
                <w:sz w:val="3"/>
                <w:szCs w:val="3"/>
                <w:color w:val="auto"/>
              </w:rPr>
            </w:pPr>
          </w:p>
        </w:tc>
        <w:tc>
          <w:tcPr>
            <w:tcW w:w="940" w:type="dxa"/>
            <w:vAlign w:val="bottom"/>
            <w:shd w:val="clear" w:color="auto" w:fill="FEFEFE"/>
          </w:tcPr>
          <w:p>
            <w:pPr>
              <w:spacing w:after="0"/>
              <w:rPr>
                <w:sz w:val="3"/>
                <w:szCs w:val="3"/>
                <w:color w:val="auto"/>
              </w:rPr>
            </w:pPr>
          </w:p>
        </w:tc>
        <w:tc>
          <w:tcPr>
            <w:tcW w:w="400" w:type="dxa"/>
            <w:vAlign w:val="bottom"/>
            <w:shd w:val="clear" w:color="auto" w:fill="FEFEFE"/>
          </w:tcPr>
          <w:p>
            <w:pPr>
              <w:spacing w:after="0"/>
              <w:rPr>
                <w:sz w:val="3"/>
                <w:szCs w:val="3"/>
                <w:color w:val="auto"/>
              </w:rPr>
            </w:pPr>
          </w:p>
        </w:tc>
        <w:tc>
          <w:tcPr>
            <w:tcW w:w="4340" w:type="dxa"/>
            <w:vAlign w:val="bottom"/>
            <w:shd w:val="clear" w:color="auto" w:fill="FEFEFE"/>
          </w:tcPr>
          <w:p>
            <w:pPr>
              <w:spacing w:after="0"/>
              <w:rPr>
                <w:sz w:val="3"/>
                <w:szCs w:val="3"/>
                <w:color w:val="auto"/>
              </w:rPr>
            </w:pPr>
          </w:p>
        </w:tc>
        <w:tc>
          <w:tcPr>
            <w:tcW w:w="140" w:type="dxa"/>
            <w:vAlign w:val="bottom"/>
            <w:shd w:val="clear" w:color="auto" w:fill="FEFEFE"/>
          </w:tcPr>
          <w:p>
            <w:pPr>
              <w:spacing w:after="0"/>
              <w:rPr>
                <w:sz w:val="3"/>
                <w:szCs w:val="3"/>
                <w:color w:val="auto"/>
              </w:rPr>
            </w:pPr>
          </w:p>
        </w:tc>
        <w:tc>
          <w:tcPr>
            <w:tcW w:w="1660" w:type="dxa"/>
            <w:vAlign w:val="bottom"/>
            <w:tcBorders>
              <w:right w:val="single" w:sz="8" w:color="FEFEFE"/>
            </w:tcBorders>
            <w:shd w:val="clear" w:color="auto" w:fill="FEFEFE"/>
          </w:tcPr>
          <w:p>
            <w:pPr>
              <w:spacing w:after="0"/>
              <w:rPr>
                <w:sz w:val="3"/>
                <w:szCs w:val="3"/>
                <w:color w:val="auto"/>
              </w:rPr>
            </w:pPr>
          </w:p>
        </w:tc>
        <w:tc>
          <w:tcPr>
            <w:tcW w:w="60" w:type="dxa"/>
            <w:vAlign w:val="bottom"/>
            <w:shd w:val="clear" w:color="auto" w:fill="FEFEFE"/>
          </w:tcPr>
          <w:p>
            <w:pPr>
              <w:spacing w:after="0"/>
              <w:rPr>
                <w:sz w:val="3"/>
                <w:szCs w:val="3"/>
                <w:color w:val="auto"/>
              </w:rPr>
            </w:pPr>
          </w:p>
        </w:tc>
        <w:tc>
          <w:tcPr>
            <w:tcW w:w="820" w:type="dxa"/>
            <w:vAlign w:val="bottom"/>
            <w:shd w:val="clear" w:color="auto" w:fill="FEFEFE"/>
          </w:tcPr>
          <w:p>
            <w:pPr>
              <w:spacing w:after="0"/>
              <w:rPr>
                <w:sz w:val="3"/>
                <w:szCs w:val="3"/>
                <w:color w:val="auto"/>
              </w:rPr>
            </w:pPr>
          </w:p>
        </w:tc>
        <w:tc>
          <w:tcPr>
            <w:tcW w:w="3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2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16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80" w:type="dxa"/>
            <w:vAlign w:val="bottom"/>
            <w:shd w:val="clear" w:color="auto" w:fill="FEFEFE"/>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20"/>
        <w:spacing w:after="0"/>
        <w:tabs>
          <w:tab w:leader="none" w:pos="2660" w:val="left"/>
          <w:tab w:leader="none" w:pos="494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10,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33655</wp:posOffset>
            </wp:positionV>
            <wp:extent cx="3192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20"/>
        <w:spacing w:after="0"/>
        <w:tabs>
          <w:tab w:leader="none" w:pos="2660" w:val="left"/>
          <w:tab w:leader="none" w:pos="494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10,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33655</wp:posOffset>
            </wp:positionV>
            <wp:extent cx="3192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680"/>
          </w:cols>
          <w:pgMar w:left="240" w:top="127" w:right="979" w:bottom="1440" w:gutter="0" w:footer="0" w:header="0"/>
        </w:sectPr>
      </w:pPr>
    </w:p>
    <w:bookmarkStart w:id="86" w:name="page87"/>
    <w:bookmarkEnd w:id="86"/>
    <w:p>
      <w:pPr>
        <w:jc w:val="right"/>
        <w:spacing w:after="0"/>
        <w:rPr>
          <w:sz w:val="20"/>
          <w:szCs w:val="20"/>
          <w:color w:val="auto"/>
        </w:rPr>
      </w:pPr>
      <w:r>
        <w:rPr>
          <w:rFonts w:ascii="Arial" w:cs="Arial" w:eastAsia="Arial" w:hAnsi="Arial"/>
          <w:sz w:val="19"/>
          <w:szCs w:val="19"/>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2758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CREDIT AGREEMENT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dated as of March 1, 2019,</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among</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VIRTU FINANCIAL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Holdings,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IMPALA BORROWER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Acquisition Borrower,</w:t>
      </w:r>
    </w:p>
    <w:p>
      <w:pPr>
        <w:spacing w:after="0" w:line="212"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VFH PARENT LLC,</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as Refinancing Borrower,</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Lenders, Issuing Banks and Swingline Lender Party Hereto,</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and</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JEFFERIES FINANCE LLC,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2758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JEFFERIES FINANCE LLC and RBC CAPITAL MARKETS,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2758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ARTICLE 1 DEFINITIONS</w:t>
            </w:r>
          </w:p>
        </w:tc>
        <w:tc>
          <w:tcPr>
            <w:tcW w:w="2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1.01.</w:t>
            </w:r>
          </w:p>
        </w:tc>
        <w:tc>
          <w:tcPr>
            <w:tcW w:w="1400" w:type="dxa"/>
            <w:vAlign w:val="bottom"/>
            <w:gridSpan w:val="2"/>
          </w:tcPr>
          <w:p>
            <w:pPr>
              <w:ind w:left="180"/>
              <w:spacing w:after="0"/>
              <w:rPr>
                <w:sz w:val="20"/>
                <w:szCs w:val="20"/>
                <w:color w:val="auto"/>
              </w:rPr>
            </w:pPr>
            <w:r>
              <w:rPr>
                <w:rFonts w:ascii="Arial" w:cs="Arial" w:eastAsia="Arial" w:hAnsi="Arial"/>
                <w:sz w:val="19"/>
                <w:szCs w:val="19"/>
                <w:i w:val="1"/>
                <w:iCs w:val="1"/>
                <w:color w:val="auto"/>
                <w:w w:val="96"/>
              </w:rPr>
              <w:t>Defined Terms</w:t>
            </w:r>
          </w:p>
        </w:tc>
        <w:tc>
          <w:tcPr>
            <w:tcW w:w="180" w:type="dxa"/>
            <w:vAlign w:val="bottom"/>
          </w:tcPr>
          <w:p>
            <w:pPr>
              <w:jc w:val="right"/>
              <w:spacing w:after="0"/>
              <w:rPr>
                <w:sz w:val="20"/>
                <w:szCs w:val="20"/>
                <w:color w:val="auto"/>
              </w:rPr>
            </w:pPr>
            <w:r>
              <w:rPr>
                <w:rFonts w:ascii="Arial" w:cs="Arial" w:eastAsia="Arial" w:hAnsi="Arial"/>
                <w:sz w:val="19"/>
                <w:szCs w:val="19"/>
                <w:i w:val="1"/>
                <w:iCs w:val="1"/>
                <w:color w:val="auto"/>
              </w:rPr>
              <w:t>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1.02.</w:t>
            </w:r>
          </w:p>
        </w:tc>
        <w:tc>
          <w:tcPr>
            <w:tcW w:w="3240" w:type="dxa"/>
            <w:vAlign w:val="bottom"/>
            <w:gridSpan w:val="7"/>
          </w:tcPr>
          <w:p>
            <w:pPr>
              <w:ind w:left="180"/>
              <w:spacing w:after="0"/>
              <w:rPr>
                <w:sz w:val="20"/>
                <w:szCs w:val="20"/>
                <w:color w:val="auto"/>
              </w:rPr>
            </w:pPr>
            <w:r>
              <w:rPr>
                <w:rFonts w:ascii="Arial" w:cs="Arial" w:eastAsia="Arial" w:hAnsi="Arial"/>
                <w:sz w:val="19"/>
                <w:szCs w:val="19"/>
                <w:i w:val="1"/>
                <w:iCs w:val="1"/>
                <w:color w:val="auto"/>
                <w:w w:val="92"/>
              </w:rPr>
              <w:t>Classification of Loans and Borrowings</w:t>
            </w:r>
          </w:p>
        </w:tc>
        <w:tc>
          <w:tcPr>
            <w:tcW w:w="2340" w:type="dxa"/>
            <w:vAlign w:val="bottom"/>
          </w:tcPr>
          <w:p>
            <w:pPr>
              <w:jc w:val="right"/>
              <w:ind w:right="1864"/>
              <w:spacing w:after="0"/>
              <w:rPr>
                <w:sz w:val="20"/>
                <w:szCs w:val="20"/>
                <w:color w:val="auto"/>
              </w:rPr>
            </w:pPr>
            <w:r>
              <w:rPr>
                <w:rFonts w:ascii="Arial" w:cs="Arial" w:eastAsia="Arial" w:hAnsi="Arial"/>
                <w:sz w:val="19"/>
                <w:szCs w:val="19"/>
                <w:i w:val="1"/>
                <w:iCs w:val="1"/>
                <w:color w:val="auto"/>
              </w:rPr>
              <w:t>67</w:t>
            </w: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1.03.</w:t>
            </w:r>
          </w:p>
        </w:tc>
        <w:tc>
          <w:tcPr>
            <w:tcW w:w="1580" w:type="dxa"/>
            <w:vAlign w:val="bottom"/>
            <w:gridSpan w:val="3"/>
          </w:tcPr>
          <w:p>
            <w:pPr>
              <w:ind w:left="180"/>
              <w:spacing w:after="0"/>
              <w:rPr>
                <w:sz w:val="20"/>
                <w:szCs w:val="20"/>
                <w:color w:val="auto"/>
              </w:rPr>
            </w:pPr>
            <w:r>
              <w:rPr>
                <w:rFonts w:ascii="Arial" w:cs="Arial" w:eastAsia="Arial" w:hAnsi="Arial"/>
                <w:sz w:val="19"/>
                <w:szCs w:val="19"/>
                <w:i w:val="1"/>
                <w:iCs w:val="1"/>
                <w:color w:val="auto"/>
                <w:w w:val="98"/>
              </w:rPr>
              <w:t>Terms Generally</w:t>
            </w:r>
          </w:p>
        </w:tc>
        <w:tc>
          <w:tcPr>
            <w:tcW w:w="400" w:type="dxa"/>
            <w:vAlign w:val="bottom"/>
          </w:tcPr>
          <w:p>
            <w:pPr>
              <w:jc w:val="right"/>
              <w:ind w:right="44"/>
              <w:spacing w:after="0"/>
              <w:rPr>
                <w:sz w:val="20"/>
                <w:szCs w:val="20"/>
                <w:color w:val="auto"/>
              </w:rPr>
            </w:pPr>
            <w:r>
              <w:rPr>
                <w:rFonts w:ascii="Arial" w:cs="Arial" w:eastAsia="Arial" w:hAnsi="Arial"/>
                <w:sz w:val="19"/>
                <w:szCs w:val="19"/>
                <w:i w:val="1"/>
                <w:iCs w:val="1"/>
                <w:color w:val="auto"/>
              </w:rPr>
              <w:t>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1.04.</w:t>
            </w:r>
          </w:p>
        </w:tc>
        <w:tc>
          <w:tcPr>
            <w:tcW w:w="2240" w:type="dxa"/>
            <w:vAlign w:val="bottom"/>
            <w:gridSpan w:val="5"/>
          </w:tcPr>
          <w:p>
            <w:pPr>
              <w:ind w:left="180"/>
              <w:spacing w:after="0"/>
              <w:rPr>
                <w:sz w:val="20"/>
                <w:szCs w:val="20"/>
                <w:color w:val="auto"/>
              </w:rPr>
            </w:pPr>
            <w:r>
              <w:rPr>
                <w:rFonts w:ascii="Arial" w:cs="Arial" w:eastAsia="Arial" w:hAnsi="Arial"/>
                <w:sz w:val="19"/>
                <w:szCs w:val="19"/>
                <w:i w:val="1"/>
                <w:iCs w:val="1"/>
                <w:color w:val="auto"/>
                <w:w w:val="94"/>
              </w:rPr>
              <w:t>Accounting Terms; GAAP</w:t>
            </w:r>
          </w:p>
        </w:tc>
        <w:tc>
          <w:tcPr>
            <w:tcW w:w="120" w:type="dxa"/>
            <w:vAlign w:val="bottom"/>
          </w:tcPr>
          <w:p>
            <w:pPr>
              <w:spacing w:after="0"/>
              <w:rPr>
                <w:sz w:val="19"/>
                <w:szCs w:val="19"/>
                <w:color w:val="auto"/>
              </w:rPr>
            </w:pPr>
          </w:p>
        </w:tc>
        <w:tc>
          <w:tcPr>
            <w:tcW w:w="880" w:type="dxa"/>
            <w:vAlign w:val="bottom"/>
          </w:tcPr>
          <w:p>
            <w:pPr>
              <w:jc w:val="right"/>
              <w:ind w:right="604"/>
              <w:spacing w:after="0"/>
              <w:rPr>
                <w:sz w:val="20"/>
                <w:szCs w:val="20"/>
                <w:color w:val="auto"/>
              </w:rPr>
            </w:pPr>
            <w:r>
              <w:rPr>
                <w:rFonts w:ascii="Arial" w:cs="Arial" w:eastAsia="Arial" w:hAnsi="Arial"/>
                <w:sz w:val="19"/>
                <w:szCs w:val="19"/>
                <w:i w:val="1"/>
                <w:iCs w:val="1"/>
                <w:color w:val="auto"/>
                <w:w w:val="75"/>
              </w:rPr>
              <w:t>68</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1.05.</w:t>
            </w:r>
          </w:p>
        </w:tc>
        <w:tc>
          <w:tcPr>
            <w:tcW w:w="2360" w:type="dxa"/>
            <w:vAlign w:val="bottom"/>
            <w:gridSpan w:val="6"/>
          </w:tcPr>
          <w:p>
            <w:pPr>
              <w:ind w:left="180"/>
              <w:spacing w:after="0"/>
              <w:rPr>
                <w:sz w:val="20"/>
                <w:szCs w:val="20"/>
                <w:color w:val="auto"/>
              </w:rPr>
            </w:pPr>
            <w:r>
              <w:rPr>
                <w:rFonts w:ascii="Arial" w:cs="Arial" w:eastAsia="Arial" w:hAnsi="Arial"/>
                <w:sz w:val="19"/>
                <w:szCs w:val="19"/>
                <w:i w:val="1"/>
                <w:iCs w:val="1"/>
                <w:color w:val="auto"/>
                <w:w w:val="91"/>
              </w:rPr>
              <w:t>Effectuation of Transactions</w:t>
            </w:r>
          </w:p>
        </w:tc>
        <w:tc>
          <w:tcPr>
            <w:tcW w:w="880" w:type="dxa"/>
            <w:vAlign w:val="bottom"/>
          </w:tcPr>
          <w:p>
            <w:pPr>
              <w:jc w:val="right"/>
              <w:ind w:right="404"/>
              <w:spacing w:after="0"/>
              <w:rPr>
                <w:sz w:val="20"/>
                <w:szCs w:val="20"/>
                <w:color w:val="auto"/>
              </w:rPr>
            </w:pPr>
            <w:r>
              <w:rPr>
                <w:rFonts w:ascii="Arial" w:cs="Arial" w:eastAsia="Arial" w:hAnsi="Arial"/>
                <w:sz w:val="19"/>
                <w:szCs w:val="19"/>
                <w:i w:val="1"/>
                <w:iCs w:val="1"/>
                <w:color w:val="auto"/>
              </w:rPr>
              <w:t>68</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1.06.</w:t>
            </w:r>
          </w:p>
        </w:tc>
        <w:tc>
          <w:tcPr>
            <w:tcW w:w="1980" w:type="dxa"/>
            <w:vAlign w:val="bottom"/>
            <w:gridSpan w:val="4"/>
          </w:tcPr>
          <w:p>
            <w:pPr>
              <w:ind w:left="180"/>
              <w:spacing w:after="0"/>
              <w:rPr>
                <w:sz w:val="20"/>
                <w:szCs w:val="20"/>
                <w:color w:val="auto"/>
              </w:rPr>
            </w:pPr>
            <w:r>
              <w:rPr>
                <w:rFonts w:ascii="Arial" w:cs="Arial" w:eastAsia="Arial" w:hAnsi="Arial"/>
                <w:sz w:val="19"/>
                <w:szCs w:val="19"/>
                <w:i w:val="1"/>
                <w:iCs w:val="1"/>
                <w:color w:val="auto"/>
              </w:rPr>
              <w:t>Currency Translation</w:t>
            </w:r>
          </w:p>
        </w:tc>
        <w:tc>
          <w:tcPr>
            <w:tcW w:w="260" w:type="dxa"/>
            <w:vAlign w:val="bottom"/>
          </w:tcPr>
          <w:p>
            <w:pPr>
              <w:jc w:val="right"/>
              <w:spacing w:after="0"/>
              <w:rPr>
                <w:sz w:val="20"/>
                <w:szCs w:val="20"/>
                <w:color w:val="auto"/>
              </w:rPr>
            </w:pPr>
            <w:r>
              <w:rPr>
                <w:rFonts w:ascii="Arial" w:cs="Arial" w:eastAsia="Arial" w:hAnsi="Arial"/>
                <w:sz w:val="19"/>
                <w:szCs w:val="19"/>
                <w:i w:val="1"/>
                <w:iCs w:val="1"/>
                <w:color w:val="auto"/>
              </w:rPr>
              <w:t>68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1.07.</w:t>
            </w:r>
          </w:p>
        </w:tc>
        <w:tc>
          <w:tcPr>
            <w:tcW w:w="940" w:type="dxa"/>
            <w:vAlign w:val="bottom"/>
          </w:tcPr>
          <w:p>
            <w:pPr>
              <w:ind w:left="180"/>
              <w:spacing w:after="0"/>
              <w:rPr>
                <w:sz w:val="20"/>
                <w:szCs w:val="20"/>
                <w:color w:val="auto"/>
              </w:rPr>
            </w:pPr>
            <w:r>
              <w:rPr>
                <w:rFonts w:ascii="Arial" w:cs="Arial" w:eastAsia="Arial" w:hAnsi="Arial"/>
                <w:sz w:val="19"/>
                <w:szCs w:val="19"/>
                <w:i w:val="1"/>
                <w:iCs w:val="1"/>
                <w:color w:val="auto"/>
                <w:w w:val="97"/>
              </w:rPr>
              <w:t>Divisions</w:t>
            </w:r>
          </w:p>
        </w:tc>
        <w:tc>
          <w:tcPr>
            <w:tcW w:w="460" w:type="dxa"/>
            <w:vAlign w:val="bottom"/>
          </w:tcPr>
          <w:p>
            <w:pPr>
              <w:jc w:val="right"/>
              <w:ind w:right="24"/>
              <w:spacing w:after="0"/>
              <w:rPr>
                <w:sz w:val="20"/>
                <w:szCs w:val="20"/>
                <w:color w:val="auto"/>
              </w:rPr>
            </w:pPr>
            <w:r>
              <w:rPr>
                <w:rFonts w:ascii="Arial" w:cs="Arial" w:eastAsia="Arial" w:hAnsi="Arial"/>
                <w:sz w:val="19"/>
                <w:szCs w:val="19"/>
                <w:i w:val="1"/>
                <w:iCs w:val="1"/>
                <w:color w:val="auto"/>
              </w:rPr>
              <w:t>69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1.08.</w:t>
            </w:r>
          </w:p>
        </w:tc>
        <w:tc>
          <w:tcPr>
            <w:tcW w:w="3240" w:type="dxa"/>
            <w:vAlign w:val="bottom"/>
            <w:gridSpan w:val="7"/>
          </w:tcPr>
          <w:p>
            <w:pPr>
              <w:ind w:left="180"/>
              <w:spacing w:after="0"/>
              <w:rPr>
                <w:sz w:val="20"/>
                <w:szCs w:val="20"/>
                <w:color w:val="auto"/>
              </w:rPr>
            </w:pPr>
            <w:r>
              <w:rPr>
                <w:rFonts w:ascii="Arial" w:cs="Arial" w:eastAsia="Arial" w:hAnsi="Arial"/>
                <w:sz w:val="19"/>
                <w:szCs w:val="19"/>
                <w:i w:val="1"/>
                <w:iCs w:val="1"/>
                <w:color w:val="auto"/>
              </w:rPr>
              <w:t>Limited Condition Acquisitions  69</w:t>
            </w: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43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jc w:val="right"/>
              <w:ind w:right="24"/>
              <w:spacing w:after="0"/>
              <w:rPr>
                <w:sz w:val="20"/>
                <w:szCs w:val="20"/>
                <w:color w:val="auto"/>
              </w:rPr>
            </w:pPr>
            <w:r>
              <w:rPr>
                <w:rFonts w:ascii="Arial" w:cs="Arial" w:eastAsia="Arial" w:hAnsi="Arial"/>
                <w:sz w:val="19"/>
                <w:szCs w:val="19"/>
                <w:color w:val="auto"/>
                <w:w w:val="96"/>
              </w:rPr>
              <w:t>ARTICLE 2 THE CREDITS</w:t>
            </w:r>
          </w:p>
        </w:tc>
        <w:tc>
          <w:tcPr>
            <w:tcW w:w="28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2.01.</w:t>
            </w:r>
          </w:p>
        </w:tc>
        <w:tc>
          <w:tcPr>
            <w:tcW w:w="1400" w:type="dxa"/>
            <w:vAlign w:val="bottom"/>
            <w:gridSpan w:val="2"/>
          </w:tcPr>
          <w:p>
            <w:pPr>
              <w:ind w:left="180"/>
              <w:spacing w:after="0"/>
              <w:rPr>
                <w:sz w:val="20"/>
                <w:szCs w:val="20"/>
                <w:color w:val="auto"/>
              </w:rPr>
            </w:pPr>
            <w:r>
              <w:rPr>
                <w:rFonts w:ascii="Arial" w:cs="Arial" w:eastAsia="Arial" w:hAnsi="Arial"/>
                <w:sz w:val="19"/>
                <w:szCs w:val="19"/>
                <w:i w:val="1"/>
                <w:iCs w:val="1"/>
                <w:color w:val="auto"/>
              </w:rPr>
              <w:t>Commitments</w:t>
            </w:r>
          </w:p>
        </w:tc>
        <w:tc>
          <w:tcPr>
            <w:tcW w:w="580" w:type="dxa"/>
            <w:vAlign w:val="bottom"/>
            <w:gridSpan w:val="2"/>
          </w:tcPr>
          <w:p>
            <w:pPr>
              <w:jc w:val="right"/>
              <w:ind w:right="264"/>
              <w:spacing w:after="0"/>
              <w:rPr>
                <w:sz w:val="20"/>
                <w:szCs w:val="20"/>
                <w:color w:val="auto"/>
              </w:rPr>
            </w:pPr>
            <w:r>
              <w:rPr>
                <w:rFonts w:ascii="Arial" w:cs="Arial" w:eastAsia="Arial" w:hAnsi="Arial"/>
                <w:sz w:val="19"/>
                <w:szCs w:val="19"/>
                <w:i w:val="1"/>
                <w:iCs w:val="1"/>
                <w:color w:val="auto"/>
                <w:w w:val="94"/>
              </w:rPr>
              <w:t>70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2.02.</w:t>
            </w:r>
          </w:p>
        </w:tc>
        <w:tc>
          <w:tcPr>
            <w:tcW w:w="1980" w:type="dxa"/>
            <w:vAlign w:val="bottom"/>
            <w:gridSpan w:val="4"/>
          </w:tcPr>
          <w:p>
            <w:pPr>
              <w:ind w:left="180"/>
              <w:spacing w:after="0"/>
              <w:rPr>
                <w:sz w:val="20"/>
                <w:szCs w:val="20"/>
                <w:color w:val="auto"/>
              </w:rPr>
            </w:pPr>
            <w:r>
              <w:rPr>
                <w:rFonts w:ascii="Arial" w:cs="Arial" w:eastAsia="Arial" w:hAnsi="Arial"/>
                <w:sz w:val="19"/>
                <w:szCs w:val="19"/>
                <w:i w:val="1"/>
                <w:iCs w:val="1"/>
                <w:color w:val="auto"/>
                <w:w w:val="94"/>
              </w:rPr>
              <w:t>Loans and Borrowings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rPr>
              <w:t>70</w:t>
            </w: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2.03.</w:t>
            </w:r>
          </w:p>
        </w:tc>
        <w:tc>
          <w:tcPr>
            <w:tcW w:w="2240" w:type="dxa"/>
            <w:vAlign w:val="bottom"/>
            <w:gridSpan w:val="5"/>
          </w:tcPr>
          <w:p>
            <w:pPr>
              <w:ind w:left="180"/>
              <w:spacing w:after="0"/>
              <w:rPr>
                <w:sz w:val="20"/>
                <w:szCs w:val="20"/>
                <w:color w:val="auto"/>
              </w:rPr>
            </w:pPr>
            <w:r>
              <w:rPr>
                <w:rFonts w:ascii="Arial" w:cs="Arial" w:eastAsia="Arial" w:hAnsi="Arial"/>
                <w:sz w:val="19"/>
                <w:szCs w:val="19"/>
                <w:i w:val="1"/>
                <w:iCs w:val="1"/>
                <w:color w:val="auto"/>
                <w:w w:val="98"/>
              </w:rPr>
              <w:t>Requests for Borrowings</w:t>
            </w:r>
          </w:p>
        </w:tc>
        <w:tc>
          <w:tcPr>
            <w:tcW w:w="1000" w:type="dxa"/>
            <w:vAlign w:val="bottom"/>
            <w:gridSpan w:val="2"/>
          </w:tcPr>
          <w:p>
            <w:pPr>
              <w:jc w:val="right"/>
              <w:ind w:right="684"/>
              <w:spacing w:after="0"/>
              <w:rPr>
                <w:sz w:val="20"/>
                <w:szCs w:val="20"/>
                <w:color w:val="auto"/>
              </w:rPr>
            </w:pPr>
            <w:r>
              <w:rPr>
                <w:rFonts w:ascii="Arial" w:cs="Arial" w:eastAsia="Arial" w:hAnsi="Arial"/>
                <w:sz w:val="19"/>
                <w:szCs w:val="19"/>
                <w:i w:val="1"/>
                <w:iCs w:val="1"/>
                <w:color w:val="auto"/>
                <w:w w:val="94"/>
              </w:rPr>
              <w:t>71</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2.04.</w:t>
            </w:r>
          </w:p>
        </w:tc>
        <w:tc>
          <w:tcPr>
            <w:tcW w:w="1980" w:type="dxa"/>
            <w:vAlign w:val="bottom"/>
            <w:gridSpan w:val="4"/>
          </w:tcPr>
          <w:p>
            <w:pPr>
              <w:ind w:left="180"/>
              <w:spacing w:after="0"/>
              <w:rPr>
                <w:sz w:val="20"/>
                <w:szCs w:val="20"/>
                <w:color w:val="auto"/>
              </w:rPr>
            </w:pPr>
            <w:r>
              <w:rPr>
                <w:rFonts w:ascii="Arial" w:cs="Arial" w:eastAsia="Arial" w:hAnsi="Arial"/>
                <w:sz w:val="19"/>
                <w:szCs w:val="19"/>
                <w:i w:val="1"/>
                <w:iCs w:val="1"/>
                <w:color w:val="auto"/>
                <w:w w:val="93"/>
              </w:rPr>
              <w:t>Funding of Borrowings</w:t>
            </w:r>
          </w:p>
        </w:tc>
        <w:tc>
          <w:tcPr>
            <w:tcW w:w="1260" w:type="dxa"/>
            <w:vAlign w:val="bottom"/>
            <w:gridSpan w:val="3"/>
          </w:tcPr>
          <w:p>
            <w:pPr>
              <w:jc w:val="right"/>
              <w:ind w:right="784"/>
              <w:spacing w:after="0"/>
              <w:rPr>
                <w:sz w:val="20"/>
                <w:szCs w:val="20"/>
                <w:color w:val="auto"/>
              </w:rPr>
            </w:pPr>
            <w:r>
              <w:rPr>
                <w:rFonts w:ascii="Arial" w:cs="Arial" w:eastAsia="Arial" w:hAnsi="Arial"/>
                <w:sz w:val="19"/>
                <w:szCs w:val="19"/>
                <w:i w:val="1"/>
                <w:iCs w:val="1"/>
                <w:color w:val="auto"/>
              </w:rPr>
              <w:t>72</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2.05.</w:t>
            </w:r>
          </w:p>
        </w:tc>
        <w:tc>
          <w:tcPr>
            <w:tcW w:w="1580" w:type="dxa"/>
            <w:vAlign w:val="bottom"/>
            <w:gridSpan w:val="3"/>
          </w:tcPr>
          <w:p>
            <w:pPr>
              <w:ind w:left="180"/>
              <w:spacing w:after="0"/>
              <w:rPr>
                <w:sz w:val="20"/>
                <w:szCs w:val="20"/>
                <w:color w:val="auto"/>
              </w:rPr>
            </w:pPr>
            <w:r>
              <w:rPr>
                <w:rFonts w:ascii="Arial" w:cs="Arial" w:eastAsia="Arial" w:hAnsi="Arial"/>
                <w:sz w:val="19"/>
                <w:szCs w:val="19"/>
                <w:i w:val="1"/>
                <w:iCs w:val="1"/>
                <w:color w:val="auto"/>
                <w:w w:val="94"/>
              </w:rPr>
              <w:t>Interest Elections</w:t>
            </w:r>
          </w:p>
        </w:tc>
        <w:tc>
          <w:tcPr>
            <w:tcW w:w="400" w:type="dxa"/>
            <w:vAlign w:val="bottom"/>
          </w:tcPr>
          <w:p>
            <w:pPr>
              <w:jc w:val="right"/>
              <w:spacing w:after="0"/>
              <w:rPr>
                <w:sz w:val="20"/>
                <w:szCs w:val="20"/>
                <w:color w:val="auto"/>
              </w:rPr>
            </w:pPr>
            <w:r>
              <w:rPr>
                <w:rFonts w:ascii="Arial" w:cs="Arial" w:eastAsia="Arial" w:hAnsi="Arial"/>
                <w:sz w:val="19"/>
                <w:szCs w:val="19"/>
                <w:i w:val="1"/>
                <w:iCs w:val="1"/>
                <w:color w:val="auto"/>
              </w:rPr>
              <w:t>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2.06.</w:t>
            </w:r>
          </w:p>
        </w:tc>
        <w:tc>
          <w:tcPr>
            <w:tcW w:w="5580" w:type="dxa"/>
            <w:vAlign w:val="bottom"/>
            <w:gridSpan w:val="8"/>
          </w:tcPr>
          <w:p>
            <w:pPr>
              <w:ind w:left="180"/>
              <w:spacing w:after="0"/>
              <w:rPr>
                <w:sz w:val="20"/>
                <w:szCs w:val="20"/>
                <w:color w:val="auto"/>
              </w:rPr>
            </w:pPr>
            <w:r>
              <w:rPr>
                <w:rFonts w:ascii="Arial" w:cs="Arial" w:eastAsia="Arial" w:hAnsi="Arial"/>
                <w:sz w:val="19"/>
                <w:szCs w:val="19"/>
                <w:i w:val="1"/>
                <w:iCs w:val="1"/>
                <w:color w:val="auto"/>
              </w:rPr>
              <w:t>Termination and Reduction of Commitments  74</w:t>
            </w: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2.07.</w:t>
            </w:r>
          </w:p>
        </w:tc>
        <w:tc>
          <w:tcPr>
            <w:tcW w:w="3240" w:type="dxa"/>
            <w:vAlign w:val="bottom"/>
            <w:gridSpan w:val="7"/>
          </w:tcPr>
          <w:p>
            <w:pPr>
              <w:ind w:left="180"/>
              <w:spacing w:after="0"/>
              <w:rPr>
                <w:sz w:val="20"/>
                <w:szCs w:val="20"/>
                <w:color w:val="auto"/>
              </w:rPr>
            </w:pPr>
            <w:r>
              <w:rPr>
                <w:rFonts w:ascii="Arial" w:cs="Arial" w:eastAsia="Arial" w:hAnsi="Arial"/>
                <w:sz w:val="19"/>
                <w:szCs w:val="19"/>
                <w:i w:val="1"/>
                <w:iCs w:val="1"/>
                <w:color w:val="auto"/>
                <w:w w:val="91"/>
              </w:rPr>
              <w:t>Repayment of Loans; Evidence of Debt</w:t>
            </w:r>
          </w:p>
        </w:tc>
        <w:tc>
          <w:tcPr>
            <w:tcW w:w="2340" w:type="dxa"/>
            <w:vAlign w:val="bottom"/>
          </w:tcPr>
          <w:p>
            <w:pPr>
              <w:jc w:val="right"/>
              <w:ind w:right="1924"/>
              <w:spacing w:after="0"/>
              <w:rPr>
                <w:sz w:val="20"/>
                <w:szCs w:val="20"/>
                <w:color w:val="auto"/>
              </w:rPr>
            </w:pPr>
            <w:r>
              <w:rPr>
                <w:rFonts w:ascii="Arial" w:cs="Arial" w:eastAsia="Arial" w:hAnsi="Arial"/>
                <w:sz w:val="19"/>
                <w:szCs w:val="19"/>
                <w:i w:val="1"/>
                <w:iCs w:val="1"/>
                <w:color w:val="auto"/>
              </w:rPr>
              <w:t>75</w:t>
            </w: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2.08.</w:t>
            </w:r>
          </w:p>
        </w:tc>
        <w:tc>
          <w:tcPr>
            <w:tcW w:w="2360" w:type="dxa"/>
            <w:vAlign w:val="bottom"/>
            <w:gridSpan w:val="6"/>
          </w:tcPr>
          <w:p>
            <w:pPr>
              <w:ind w:left="180"/>
              <w:spacing w:after="0"/>
              <w:rPr>
                <w:sz w:val="20"/>
                <w:szCs w:val="20"/>
                <w:color w:val="auto"/>
              </w:rPr>
            </w:pPr>
            <w:r>
              <w:rPr>
                <w:rFonts w:ascii="Arial" w:cs="Arial" w:eastAsia="Arial" w:hAnsi="Arial"/>
                <w:sz w:val="19"/>
                <w:szCs w:val="19"/>
                <w:i w:val="1"/>
                <w:iCs w:val="1"/>
                <w:color w:val="auto"/>
                <w:w w:val="92"/>
              </w:rPr>
              <w:t>Amortization of Term Loans</w:t>
            </w:r>
          </w:p>
        </w:tc>
        <w:tc>
          <w:tcPr>
            <w:tcW w:w="880" w:type="dxa"/>
            <w:vAlign w:val="bottom"/>
          </w:tcPr>
          <w:p>
            <w:pPr>
              <w:jc w:val="right"/>
              <w:ind w:right="424"/>
              <w:spacing w:after="0"/>
              <w:rPr>
                <w:sz w:val="20"/>
                <w:szCs w:val="20"/>
                <w:color w:val="auto"/>
              </w:rPr>
            </w:pPr>
            <w:r>
              <w:rPr>
                <w:rFonts w:ascii="Arial" w:cs="Arial" w:eastAsia="Arial" w:hAnsi="Arial"/>
                <w:sz w:val="19"/>
                <w:szCs w:val="19"/>
                <w:i w:val="1"/>
                <w:iCs w:val="1"/>
                <w:color w:val="auto"/>
              </w:rPr>
              <w:t>76</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2.09.</w:t>
            </w:r>
          </w:p>
        </w:tc>
        <w:tc>
          <w:tcPr>
            <w:tcW w:w="1980" w:type="dxa"/>
            <w:vAlign w:val="bottom"/>
            <w:gridSpan w:val="4"/>
          </w:tcPr>
          <w:p>
            <w:pPr>
              <w:ind w:left="180"/>
              <w:spacing w:after="0"/>
              <w:rPr>
                <w:sz w:val="20"/>
                <w:szCs w:val="20"/>
                <w:color w:val="auto"/>
              </w:rPr>
            </w:pPr>
            <w:r>
              <w:rPr>
                <w:rFonts w:ascii="Arial" w:cs="Arial" w:eastAsia="Arial" w:hAnsi="Arial"/>
                <w:sz w:val="19"/>
                <w:szCs w:val="19"/>
                <w:i w:val="1"/>
                <w:iCs w:val="1"/>
                <w:color w:val="auto"/>
                <w:w w:val="98"/>
              </w:rPr>
              <w:t>Prepayment of Loans</w:t>
            </w:r>
          </w:p>
        </w:tc>
        <w:tc>
          <w:tcPr>
            <w:tcW w:w="260" w:type="dxa"/>
            <w:vAlign w:val="bottom"/>
          </w:tcPr>
          <w:p>
            <w:pPr>
              <w:jc w:val="right"/>
              <w:spacing w:after="0"/>
              <w:rPr>
                <w:sz w:val="20"/>
                <w:szCs w:val="20"/>
                <w:color w:val="auto"/>
              </w:rPr>
            </w:pPr>
            <w:r>
              <w:rPr>
                <w:rFonts w:ascii="Arial" w:cs="Arial" w:eastAsia="Arial" w:hAnsi="Arial"/>
                <w:sz w:val="19"/>
                <w:szCs w:val="19"/>
                <w:i w:val="1"/>
                <w:iCs w:val="1"/>
                <w:color w:val="auto"/>
                <w:w w:val="94"/>
              </w:rPr>
              <w:t>76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2.10.</w:t>
            </w:r>
          </w:p>
        </w:tc>
        <w:tc>
          <w:tcPr>
            <w:tcW w:w="940" w:type="dxa"/>
            <w:vAlign w:val="bottom"/>
          </w:tcPr>
          <w:p>
            <w:pPr>
              <w:ind w:left="180"/>
              <w:spacing w:after="0"/>
              <w:rPr>
                <w:sz w:val="20"/>
                <w:szCs w:val="20"/>
                <w:color w:val="auto"/>
              </w:rPr>
            </w:pPr>
            <w:r>
              <w:rPr>
                <w:rFonts w:ascii="Arial" w:cs="Arial" w:eastAsia="Arial" w:hAnsi="Arial"/>
                <w:sz w:val="19"/>
                <w:szCs w:val="19"/>
                <w:i w:val="1"/>
                <w:iCs w:val="1"/>
                <w:color w:val="auto"/>
              </w:rPr>
              <w:t>Fees  87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2.11.</w:t>
            </w:r>
          </w:p>
        </w:tc>
        <w:tc>
          <w:tcPr>
            <w:tcW w:w="940" w:type="dxa"/>
            <w:vAlign w:val="bottom"/>
          </w:tcPr>
          <w:p>
            <w:pPr>
              <w:ind w:left="180"/>
              <w:spacing w:after="0"/>
              <w:rPr>
                <w:sz w:val="20"/>
                <w:szCs w:val="20"/>
                <w:color w:val="auto"/>
              </w:rPr>
            </w:pPr>
            <w:r>
              <w:rPr>
                <w:rFonts w:ascii="Arial" w:cs="Arial" w:eastAsia="Arial" w:hAnsi="Arial"/>
                <w:sz w:val="19"/>
                <w:szCs w:val="19"/>
                <w:i w:val="1"/>
                <w:iCs w:val="1"/>
                <w:color w:val="auto"/>
              </w:rPr>
              <w:t>Interest</w:t>
            </w:r>
          </w:p>
        </w:tc>
        <w:tc>
          <w:tcPr>
            <w:tcW w:w="460" w:type="dxa"/>
            <w:vAlign w:val="bottom"/>
          </w:tcPr>
          <w:p>
            <w:pPr>
              <w:jc w:val="right"/>
              <w:ind w:right="164"/>
              <w:spacing w:after="0"/>
              <w:rPr>
                <w:sz w:val="20"/>
                <w:szCs w:val="20"/>
                <w:color w:val="auto"/>
              </w:rPr>
            </w:pPr>
            <w:r>
              <w:rPr>
                <w:rFonts w:ascii="Arial" w:cs="Arial" w:eastAsia="Arial" w:hAnsi="Arial"/>
                <w:sz w:val="19"/>
                <w:szCs w:val="19"/>
                <w:i w:val="1"/>
                <w:iCs w:val="1"/>
                <w:color w:val="auto"/>
                <w:w w:val="84"/>
              </w:rPr>
              <w:t>88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2.12.</w:t>
            </w:r>
          </w:p>
        </w:tc>
        <w:tc>
          <w:tcPr>
            <w:tcW w:w="2240" w:type="dxa"/>
            <w:vAlign w:val="bottom"/>
            <w:gridSpan w:val="5"/>
          </w:tcPr>
          <w:p>
            <w:pPr>
              <w:ind w:left="180"/>
              <w:spacing w:after="0"/>
              <w:rPr>
                <w:sz w:val="20"/>
                <w:szCs w:val="20"/>
                <w:color w:val="auto"/>
              </w:rPr>
            </w:pPr>
            <w:r>
              <w:rPr>
                <w:rFonts w:ascii="Arial" w:cs="Arial" w:eastAsia="Arial" w:hAnsi="Arial"/>
                <w:sz w:val="19"/>
                <w:szCs w:val="19"/>
                <w:i w:val="1"/>
                <w:iCs w:val="1"/>
                <w:color w:val="auto"/>
                <w:w w:val="96"/>
              </w:rPr>
              <w:t>Alternate Rate of Interest</w:t>
            </w:r>
          </w:p>
        </w:tc>
        <w:tc>
          <w:tcPr>
            <w:tcW w:w="1000" w:type="dxa"/>
            <w:vAlign w:val="bottom"/>
            <w:gridSpan w:val="2"/>
          </w:tcPr>
          <w:p>
            <w:pPr>
              <w:jc w:val="right"/>
              <w:ind w:right="644"/>
              <w:spacing w:after="0"/>
              <w:rPr>
                <w:sz w:val="20"/>
                <w:szCs w:val="20"/>
                <w:color w:val="auto"/>
              </w:rPr>
            </w:pPr>
            <w:r>
              <w:rPr>
                <w:rFonts w:ascii="Arial" w:cs="Arial" w:eastAsia="Arial" w:hAnsi="Arial"/>
                <w:sz w:val="19"/>
                <w:szCs w:val="19"/>
                <w:i w:val="1"/>
                <w:iCs w:val="1"/>
                <w:color w:val="auto"/>
              </w:rPr>
              <w:t>89</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2.13.</w:t>
            </w:r>
          </w:p>
        </w:tc>
        <w:tc>
          <w:tcPr>
            <w:tcW w:w="1400" w:type="dxa"/>
            <w:vAlign w:val="bottom"/>
            <w:gridSpan w:val="2"/>
          </w:tcPr>
          <w:p>
            <w:pPr>
              <w:ind w:left="180"/>
              <w:spacing w:after="0"/>
              <w:rPr>
                <w:sz w:val="20"/>
                <w:szCs w:val="20"/>
                <w:color w:val="auto"/>
              </w:rPr>
            </w:pPr>
            <w:r>
              <w:rPr>
                <w:rFonts w:ascii="Arial" w:cs="Arial" w:eastAsia="Arial" w:hAnsi="Arial"/>
                <w:sz w:val="19"/>
                <w:szCs w:val="19"/>
                <w:i w:val="1"/>
                <w:iCs w:val="1"/>
                <w:color w:val="auto"/>
                <w:w w:val="87"/>
              </w:rPr>
              <w:t>Increased Costs</w:t>
            </w:r>
          </w:p>
        </w:tc>
        <w:tc>
          <w:tcPr>
            <w:tcW w:w="180" w:type="dxa"/>
            <w:vAlign w:val="bottom"/>
          </w:tcPr>
          <w:p>
            <w:pPr>
              <w:spacing w:after="0"/>
              <w:rPr>
                <w:sz w:val="21"/>
                <w:szCs w:val="21"/>
                <w:color w:val="auto"/>
              </w:rPr>
            </w:pPr>
          </w:p>
        </w:tc>
        <w:tc>
          <w:tcPr>
            <w:tcW w:w="400" w:type="dxa"/>
            <w:vAlign w:val="bottom"/>
          </w:tcPr>
          <w:p>
            <w:pPr>
              <w:jc w:val="right"/>
              <w:ind w:right="104"/>
              <w:spacing w:after="0"/>
              <w:rPr>
                <w:sz w:val="20"/>
                <w:szCs w:val="20"/>
                <w:color w:val="auto"/>
              </w:rPr>
            </w:pPr>
            <w:r>
              <w:rPr>
                <w:rFonts w:ascii="Arial" w:cs="Arial" w:eastAsia="Arial" w:hAnsi="Arial"/>
                <w:sz w:val="19"/>
                <w:szCs w:val="19"/>
                <w:i w:val="1"/>
                <w:iCs w:val="1"/>
                <w:color w:val="auto"/>
                <w:w w:val="84"/>
              </w:rPr>
              <w:t>90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r>
    </w:tbl>
    <w:p>
      <w:pPr>
        <w:sectPr>
          <w:pgSz w:w="11900" w:h="16838" w:orient="portrait"/>
          <w:cols w:equalWidth="0" w:num="1">
            <w:col w:w="11420"/>
          </w:cols>
          <w:pgMar w:left="240" w:top="118" w:right="23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2.14.</w:t>
            </w:r>
          </w:p>
        </w:tc>
        <w:tc>
          <w:tcPr>
            <w:tcW w:w="2540" w:type="dxa"/>
            <w:vAlign w:val="bottom"/>
            <w:gridSpan w:val="8"/>
          </w:tcPr>
          <w:p>
            <w:pPr>
              <w:ind w:left="180"/>
              <w:spacing w:after="0"/>
              <w:rPr>
                <w:sz w:val="20"/>
                <w:szCs w:val="20"/>
                <w:color w:val="auto"/>
              </w:rPr>
            </w:pPr>
            <w:r>
              <w:rPr>
                <w:rFonts w:ascii="Arial" w:cs="Arial" w:eastAsia="Arial" w:hAnsi="Arial"/>
                <w:sz w:val="19"/>
                <w:szCs w:val="19"/>
                <w:i w:val="1"/>
                <w:iCs w:val="1"/>
                <w:color w:val="auto"/>
                <w:w w:val="95"/>
              </w:rPr>
              <w:t>Break Funding Payments  91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2.15.</w:t>
            </w:r>
          </w:p>
        </w:tc>
        <w:tc>
          <w:tcPr>
            <w:tcW w:w="740" w:type="dxa"/>
            <w:vAlign w:val="bottom"/>
          </w:tcPr>
          <w:p>
            <w:pPr>
              <w:ind w:left="180"/>
              <w:spacing w:after="0"/>
              <w:rPr>
                <w:sz w:val="20"/>
                <w:szCs w:val="20"/>
                <w:color w:val="auto"/>
              </w:rPr>
            </w:pPr>
            <w:r>
              <w:rPr>
                <w:rFonts w:ascii="Arial" w:cs="Arial" w:eastAsia="Arial" w:hAnsi="Arial"/>
                <w:sz w:val="19"/>
                <w:szCs w:val="19"/>
                <w:i w:val="1"/>
                <w:iCs w:val="1"/>
                <w:color w:val="auto"/>
              </w:rPr>
              <w:t>Taxes</w:t>
            </w:r>
          </w:p>
        </w:tc>
        <w:tc>
          <w:tcPr>
            <w:tcW w:w="300" w:type="dxa"/>
            <w:vAlign w:val="bottom"/>
          </w:tcPr>
          <w:p>
            <w:pPr>
              <w:jc w:val="right"/>
              <w:spacing w:after="0"/>
              <w:rPr>
                <w:sz w:val="20"/>
                <w:szCs w:val="20"/>
                <w:color w:val="auto"/>
              </w:rPr>
            </w:pPr>
            <w:r>
              <w:rPr>
                <w:rFonts w:ascii="Arial" w:cs="Arial" w:eastAsia="Arial" w:hAnsi="Arial"/>
                <w:sz w:val="19"/>
                <w:szCs w:val="19"/>
                <w:i w:val="1"/>
                <w:iCs w:val="1"/>
                <w:color w:val="auto"/>
              </w:rPr>
              <w:t>92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2.16.</w:t>
            </w:r>
          </w:p>
        </w:tc>
        <w:tc>
          <w:tcPr>
            <w:tcW w:w="4980" w:type="dxa"/>
            <w:vAlign w:val="bottom"/>
            <w:gridSpan w:val="13"/>
          </w:tcPr>
          <w:p>
            <w:pPr>
              <w:ind w:left="180"/>
              <w:spacing w:after="0"/>
              <w:rPr>
                <w:sz w:val="20"/>
                <w:szCs w:val="20"/>
                <w:color w:val="auto"/>
              </w:rPr>
            </w:pPr>
            <w:r>
              <w:rPr>
                <w:rFonts w:ascii="Arial" w:cs="Arial" w:eastAsia="Arial" w:hAnsi="Arial"/>
                <w:sz w:val="19"/>
                <w:szCs w:val="19"/>
                <w:i w:val="1"/>
                <w:iCs w:val="1"/>
                <w:color w:val="auto"/>
                <w:w w:val="93"/>
              </w:rPr>
              <w:t>Payments Generally; Pro Rata Treatment; Sharing of Setoffs</w:t>
            </w:r>
          </w:p>
        </w:tc>
        <w:tc>
          <w:tcPr>
            <w:tcW w:w="1080" w:type="dxa"/>
            <w:vAlign w:val="bottom"/>
          </w:tcPr>
          <w:p>
            <w:pPr>
              <w:jc w:val="right"/>
              <w:ind w:right="744"/>
              <w:spacing w:after="0"/>
              <w:rPr>
                <w:sz w:val="20"/>
                <w:szCs w:val="20"/>
                <w:color w:val="auto"/>
              </w:rPr>
            </w:pPr>
            <w:r>
              <w:rPr>
                <w:rFonts w:ascii="Arial" w:cs="Arial" w:eastAsia="Arial" w:hAnsi="Arial"/>
                <w:sz w:val="19"/>
                <w:szCs w:val="19"/>
                <w:i w:val="1"/>
                <w:iCs w:val="1"/>
                <w:color w:val="auto"/>
              </w:rPr>
              <w:t>95</w:t>
            </w: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2.17.</w:t>
            </w:r>
          </w:p>
        </w:tc>
        <w:tc>
          <w:tcPr>
            <w:tcW w:w="4100" w:type="dxa"/>
            <w:vAlign w:val="bottom"/>
            <w:gridSpan w:val="12"/>
          </w:tcPr>
          <w:p>
            <w:pPr>
              <w:ind w:left="180"/>
              <w:spacing w:after="0"/>
              <w:rPr>
                <w:sz w:val="20"/>
                <w:szCs w:val="20"/>
                <w:color w:val="auto"/>
              </w:rPr>
            </w:pPr>
            <w:r>
              <w:rPr>
                <w:rFonts w:ascii="Arial" w:cs="Arial" w:eastAsia="Arial" w:hAnsi="Arial"/>
                <w:sz w:val="19"/>
                <w:szCs w:val="19"/>
                <w:i w:val="1"/>
                <w:iCs w:val="1"/>
                <w:color w:val="auto"/>
                <w:w w:val="97"/>
              </w:rPr>
              <w:t>Mitigation Obligations; Replacement of Lenders</w:t>
            </w:r>
          </w:p>
        </w:tc>
        <w:tc>
          <w:tcPr>
            <w:tcW w:w="880" w:type="dxa"/>
            <w:vAlign w:val="bottom"/>
          </w:tcPr>
          <w:p>
            <w:pPr>
              <w:jc w:val="right"/>
              <w:ind w:right="584"/>
              <w:spacing w:after="0"/>
              <w:rPr>
                <w:sz w:val="20"/>
                <w:szCs w:val="20"/>
                <w:color w:val="auto"/>
              </w:rPr>
            </w:pPr>
            <w:r>
              <w:rPr>
                <w:rFonts w:ascii="Arial" w:cs="Arial" w:eastAsia="Arial" w:hAnsi="Arial"/>
                <w:sz w:val="19"/>
                <w:szCs w:val="19"/>
                <w:i w:val="1"/>
                <w:iCs w:val="1"/>
                <w:color w:val="auto"/>
                <w:w w:val="84"/>
              </w:rPr>
              <w:t>97</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2.18.</w:t>
            </w:r>
          </w:p>
        </w:tc>
        <w:tc>
          <w:tcPr>
            <w:tcW w:w="2540" w:type="dxa"/>
            <w:vAlign w:val="bottom"/>
            <w:gridSpan w:val="8"/>
          </w:tcPr>
          <w:p>
            <w:pPr>
              <w:ind w:left="180"/>
              <w:spacing w:after="0"/>
              <w:rPr>
                <w:sz w:val="20"/>
                <w:szCs w:val="20"/>
                <w:color w:val="auto"/>
              </w:rPr>
            </w:pPr>
            <w:r>
              <w:rPr>
                <w:rFonts w:ascii="Arial" w:cs="Arial" w:eastAsia="Arial" w:hAnsi="Arial"/>
                <w:sz w:val="19"/>
                <w:szCs w:val="19"/>
                <w:i w:val="1"/>
                <w:iCs w:val="1"/>
                <w:color w:val="auto"/>
                <w:w w:val="92"/>
              </w:rPr>
              <w:t>Incremental Credit Extensions</w:t>
            </w:r>
          </w:p>
        </w:tc>
        <w:tc>
          <w:tcPr>
            <w:tcW w:w="740" w:type="dxa"/>
            <w:vAlign w:val="bottom"/>
            <w:gridSpan w:val="2"/>
          </w:tcPr>
          <w:p>
            <w:pPr>
              <w:jc w:val="right"/>
              <w:ind w:right="284"/>
              <w:spacing w:after="0"/>
              <w:rPr>
                <w:sz w:val="20"/>
                <w:szCs w:val="20"/>
                <w:color w:val="auto"/>
              </w:rPr>
            </w:pPr>
            <w:r>
              <w:rPr>
                <w:rFonts w:ascii="Arial" w:cs="Arial" w:eastAsia="Arial" w:hAnsi="Arial"/>
                <w:sz w:val="19"/>
                <w:szCs w:val="19"/>
                <w:i w:val="1"/>
                <w:iCs w:val="1"/>
                <w:color w:val="auto"/>
              </w:rPr>
              <w:t>98</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2.19.</w:t>
            </w:r>
          </w:p>
        </w:tc>
        <w:tc>
          <w:tcPr>
            <w:tcW w:w="3760" w:type="dxa"/>
            <w:vAlign w:val="bottom"/>
            <w:gridSpan w:val="11"/>
          </w:tcPr>
          <w:p>
            <w:pPr>
              <w:ind w:left="180"/>
              <w:spacing w:after="0"/>
              <w:rPr>
                <w:sz w:val="20"/>
                <w:szCs w:val="20"/>
                <w:color w:val="auto"/>
              </w:rPr>
            </w:pPr>
            <w:r>
              <w:rPr>
                <w:rFonts w:ascii="Arial" w:cs="Arial" w:eastAsia="Arial" w:hAnsi="Arial"/>
                <w:sz w:val="19"/>
                <w:szCs w:val="19"/>
                <w:i w:val="1"/>
                <w:iCs w:val="1"/>
                <w:color w:val="auto"/>
                <w:w w:val="92"/>
              </w:rPr>
              <w:t>Refinancing Amendments; Maturity Extension</w:t>
            </w:r>
          </w:p>
        </w:tc>
        <w:tc>
          <w:tcPr>
            <w:tcW w:w="1220" w:type="dxa"/>
            <w:vAlign w:val="bottom"/>
            <w:gridSpan w:val="2"/>
          </w:tcPr>
          <w:p>
            <w:pPr>
              <w:jc w:val="right"/>
              <w:ind w:right="684"/>
              <w:spacing w:after="0"/>
              <w:rPr>
                <w:sz w:val="20"/>
                <w:szCs w:val="20"/>
                <w:color w:val="auto"/>
              </w:rPr>
            </w:pPr>
            <w:r>
              <w:rPr>
                <w:rFonts w:ascii="Arial" w:cs="Arial" w:eastAsia="Arial" w:hAnsi="Arial"/>
                <w:sz w:val="19"/>
                <w:szCs w:val="19"/>
                <w:i w:val="1"/>
                <w:iCs w:val="1"/>
                <w:color w:val="auto"/>
              </w:rPr>
              <w:t>103</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2.20.</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rPr>
              <w:t>Illegality</w:t>
            </w:r>
          </w:p>
        </w:tc>
        <w:tc>
          <w:tcPr>
            <w:tcW w:w="520" w:type="dxa"/>
            <w:vAlign w:val="bottom"/>
            <w:gridSpan w:val="2"/>
          </w:tcPr>
          <w:p>
            <w:pPr>
              <w:jc w:val="right"/>
              <w:ind w:right="124"/>
              <w:spacing w:after="0"/>
              <w:rPr>
                <w:sz w:val="20"/>
                <w:szCs w:val="20"/>
                <w:color w:val="auto"/>
              </w:rPr>
            </w:pPr>
            <w:r>
              <w:rPr>
                <w:rFonts w:ascii="Arial" w:cs="Arial" w:eastAsia="Arial" w:hAnsi="Arial"/>
                <w:sz w:val="19"/>
                <w:szCs w:val="19"/>
                <w:i w:val="1"/>
                <w:iCs w:val="1"/>
                <w:color w:val="auto"/>
                <w:w w:val="88"/>
              </w:rPr>
              <w:t>105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2.21.</w:t>
            </w:r>
          </w:p>
        </w:tc>
        <w:tc>
          <w:tcPr>
            <w:tcW w:w="1720" w:type="dxa"/>
            <w:vAlign w:val="bottom"/>
            <w:gridSpan w:val="5"/>
          </w:tcPr>
          <w:p>
            <w:pPr>
              <w:ind w:left="180"/>
              <w:spacing w:after="0"/>
              <w:rPr>
                <w:sz w:val="20"/>
                <w:szCs w:val="20"/>
                <w:color w:val="auto"/>
              </w:rPr>
            </w:pPr>
            <w:r>
              <w:rPr>
                <w:rFonts w:ascii="Arial" w:cs="Arial" w:eastAsia="Arial" w:hAnsi="Arial"/>
                <w:sz w:val="19"/>
                <w:szCs w:val="19"/>
                <w:i w:val="1"/>
                <w:iCs w:val="1"/>
                <w:color w:val="auto"/>
                <w:w w:val="95"/>
              </w:rPr>
              <w:t>Defaulting Lenders</w:t>
            </w:r>
          </w:p>
        </w:tc>
        <w:tc>
          <w:tcPr>
            <w:tcW w:w="680" w:type="dxa"/>
            <w:vAlign w:val="bottom"/>
            <w:gridSpan w:val="2"/>
          </w:tcPr>
          <w:p>
            <w:pPr>
              <w:jc w:val="right"/>
              <w:ind w:right="164"/>
              <w:spacing w:after="0"/>
              <w:rPr>
                <w:sz w:val="20"/>
                <w:szCs w:val="20"/>
                <w:color w:val="auto"/>
              </w:rPr>
            </w:pPr>
            <w:r>
              <w:rPr>
                <w:rFonts w:ascii="Arial" w:cs="Arial" w:eastAsia="Arial" w:hAnsi="Arial"/>
                <w:sz w:val="19"/>
                <w:szCs w:val="19"/>
                <w:i w:val="1"/>
                <w:iCs w:val="1"/>
                <w:color w:val="auto"/>
              </w:rPr>
              <w:t>106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2.22.</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w w:val="96"/>
              </w:rPr>
              <w:t>Letters of Credit.</w:t>
            </w:r>
          </w:p>
        </w:tc>
        <w:tc>
          <w:tcPr>
            <w:tcW w:w="500" w:type="dxa"/>
            <w:vAlign w:val="bottom"/>
            <w:gridSpan w:val="2"/>
          </w:tcPr>
          <w:p>
            <w:pPr>
              <w:jc w:val="right"/>
              <w:ind w:right="4"/>
              <w:spacing w:after="0"/>
              <w:rPr>
                <w:sz w:val="20"/>
                <w:szCs w:val="20"/>
                <w:color w:val="auto"/>
              </w:rPr>
            </w:pPr>
            <w:r>
              <w:rPr>
                <w:rFonts w:ascii="Arial" w:cs="Arial" w:eastAsia="Arial" w:hAnsi="Arial"/>
                <w:sz w:val="19"/>
                <w:szCs w:val="19"/>
                <w:i w:val="1"/>
                <w:iCs w:val="1"/>
                <w:color w:val="auto"/>
              </w:rPr>
              <w:t>108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2.23.</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w w:val="98"/>
              </w:rPr>
              <w:t>Swingline Loans</w:t>
            </w:r>
          </w:p>
        </w:tc>
        <w:tc>
          <w:tcPr>
            <w:tcW w:w="500" w:type="dxa"/>
            <w:vAlign w:val="bottom"/>
            <w:gridSpan w:val="2"/>
          </w:tcPr>
          <w:p>
            <w:pPr>
              <w:jc w:val="right"/>
              <w:ind w:right="44"/>
              <w:spacing w:after="0"/>
              <w:rPr>
                <w:sz w:val="20"/>
                <w:szCs w:val="20"/>
                <w:color w:val="auto"/>
              </w:rPr>
            </w:pPr>
            <w:r>
              <w:rPr>
                <w:rFonts w:ascii="Arial" w:cs="Arial" w:eastAsia="Arial" w:hAnsi="Arial"/>
                <w:sz w:val="19"/>
                <w:szCs w:val="19"/>
                <w:i w:val="1"/>
                <w:iCs w:val="1"/>
                <w:color w:val="auto"/>
              </w:rPr>
              <w:t>113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33"/>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80" w:type="dxa"/>
            <w:vAlign w:val="bottom"/>
            <w:gridSpan w:val="9"/>
          </w:tcPr>
          <w:p>
            <w:pPr>
              <w:ind w:left="20"/>
              <w:spacing w:after="0"/>
              <w:rPr>
                <w:sz w:val="20"/>
                <w:szCs w:val="20"/>
                <w:color w:val="auto"/>
              </w:rPr>
            </w:pPr>
            <w:r>
              <w:rPr>
                <w:rFonts w:ascii="Arial" w:cs="Arial" w:eastAsia="Arial" w:hAnsi="Arial"/>
                <w:sz w:val="19"/>
                <w:szCs w:val="19"/>
                <w:color w:val="auto"/>
                <w:w w:val="97"/>
              </w:rPr>
              <w:t>ARTICLE 3 REPRESENTATIONS AND WARRANTIES  115</w:t>
            </w: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3.01.</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rPr>
              <w:t>Organization; Powers</w:t>
            </w:r>
          </w:p>
        </w:tc>
        <w:tc>
          <w:tcPr>
            <w:tcW w:w="340" w:type="dxa"/>
            <w:vAlign w:val="bottom"/>
          </w:tcPr>
          <w:p>
            <w:pPr>
              <w:ind w:left="20"/>
              <w:spacing w:after="0"/>
              <w:rPr>
                <w:sz w:val="20"/>
                <w:szCs w:val="20"/>
                <w:color w:val="auto"/>
              </w:rPr>
            </w:pPr>
            <w:r>
              <w:rPr>
                <w:rFonts w:ascii="Arial" w:cs="Arial" w:eastAsia="Arial" w:hAnsi="Arial"/>
                <w:sz w:val="19"/>
                <w:szCs w:val="19"/>
                <w:i w:val="1"/>
                <w:iCs w:val="1"/>
                <w:color w:val="auto"/>
                <w:w w:val="94"/>
              </w:rPr>
              <w:t>116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3.02.</w:t>
            </w:r>
          </w:p>
        </w:tc>
        <w:tc>
          <w:tcPr>
            <w:tcW w:w="2540" w:type="dxa"/>
            <w:vAlign w:val="bottom"/>
            <w:gridSpan w:val="8"/>
          </w:tcPr>
          <w:p>
            <w:pPr>
              <w:ind w:left="180"/>
              <w:spacing w:after="0"/>
              <w:rPr>
                <w:sz w:val="20"/>
                <w:szCs w:val="20"/>
                <w:color w:val="auto"/>
              </w:rPr>
            </w:pPr>
            <w:r>
              <w:rPr>
                <w:rFonts w:ascii="Arial" w:cs="Arial" w:eastAsia="Arial" w:hAnsi="Arial"/>
                <w:sz w:val="19"/>
                <w:szCs w:val="19"/>
                <w:i w:val="1"/>
                <w:iCs w:val="1"/>
                <w:color w:val="auto"/>
                <w:w w:val="99"/>
              </w:rPr>
              <w:t>Authorization; Enforceability</w:t>
            </w:r>
          </w:p>
        </w:tc>
        <w:tc>
          <w:tcPr>
            <w:tcW w:w="740" w:type="dxa"/>
            <w:vAlign w:val="bottom"/>
            <w:gridSpan w:val="2"/>
          </w:tcPr>
          <w:p>
            <w:pPr>
              <w:jc w:val="right"/>
              <w:ind w:right="284"/>
              <w:spacing w:after="0"/>
              <w:rPr>
                <w:sz w:val="20"/>
                <w:szCs w:val="20"/>
                <w:color w:val="auto"/>
              </w:rPr>
            </w:pPr>
            <w:r>
              <w:rPr>
                <w:rFonts w:ascii="Arial" w:cs="Arial" w:eastAsia="Arial" w:hAnsi="Arial"/>
                <w:sz w:val="19"/>
                <w:szCs w:val="19"/>
                <w:i w:val="1"/>
                <w:iCs w:val="1"/>
                <w:color w:val="auto"/>
              </w:rPr>
              <w:t>116</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3.03.</w:t>
            </w:r>
          </w:p>
        </w:tc>
        <w:tc>
          <w:tcPr>
            <w:tcW w:w="3280" w:type="dxa"/>
            <w:vAlign w:val="bottom"/>
            <w:gridSpan w:val="10"/>
          </w:tcPr>
          <w:p>
            <w:pPr>
              <w:ind w:left="180"/>
              <w:spacing w:after="0"/>
              <w:rPr>
                <w:sz w:val="20"/>
                <w:szCs w:val="20"/>
                <w:color w:val="auto"/>
              </w:rPr>
            </w:pPr>
            <w:r>
              <w:rPr>
                <w:rFonts w:ascii="Arial" w:cs="Arial" w:eastAsia="Arial" w:hAnsi="Arial"/>
                <w:sz w:val="19"/>
                <w:szCs w:val="19"/>
                <w:i w:val="1"/>
                <w:iCs w:val="1"/>
                <w:color w:val="auto"/>
                <w:w w:val="95"/>
              </w:rPr>
              <w:t>Governmental Approvals; No Conflicts</w:t>
            </w:r>
          </w:p>
        </w:tc>
        <w:tc>
          <w:tcPr>
            <w:tcW w:w="480" w:type="dxa"/>
            <w:vAlign w:val="bottom"/>
          </w:tcPr>
          <w:p>
            <w:pPr>
              <w:jc w:val="right"/>
              <w:ind w:right="24"/>
              <w:spacing w:after="0"/>
              <w:rPr>
                <w:sz w:val="20"/>
                <w:szCs w:val="20"/>
                <w:color w:val="auto"/>
              </w:rPr>
            </w:pPr>
            <w:r>
              <w:rPr>
                <w:rFonts w:ascii="Arial" w:cs="Arial" w:eastAsia="Arial" w:hAnsi="Arial"/>
                <w:sz w:val="19"/>
                <w:szCs w:val="19"/>
                <w:i w:val="1"/>
                <w:iCs w:val="1"/>
                <w:color w:val="auto"/>
              </w:rPr>
              <w:t>116</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3.04.</w:t>
            </w:r>
          </w:p>
        </w:tc>
        <w:tc>
          <w:tcPr>
            <w:tcW w:w="4100" w:type="dxa"/>
            <w:vAlign w:val="bottom"/>
            <w:gridSpan w:val="12"/>
          </w:tcPr>
          <w:p>
            <w:pPr>
              <w:ind w:left="180"/>
              <w:spacing w:after="0"/>
              <w:rPr>
                <w:sz w:val="20"/>
                <w:szCs w:val="20"/>
                <w:color w:val="auto"/>
              </w:rPr>
            </w:pPr>
            <w:r>
              <w:rPr>
                <w:rFonts w:ascii="Arial" w:cs="Arial" w:eastAsia="Arial" w:hAnsi="Arial"/>
                <w:sz w:val="19"/>
                <w:szCs w:val="19"/>
                <w:i w:val="1"/>
                <w:iCs w:val="1"/>
                <w:color w:val="auto"/>
                <w:w w:val="97"/>
              </w:rPr>
              <w:t>Financial Condition; No Material Adverse Effect</w:t>
            </w:r>
          </w:p>
        </w:tc>
        <w:tc>
          <w:tcPr>
            <w:tcW w:w="880" w:type="dxa"/>
            <w:vAlign w:val="bottom"/>
          </w:tcPr>
          <w:p>
            <w:pPr>
              <w:jc w:val="right"/>
              <w:ind w:right="464"/>
              <w:spacing w:after="0"/>
              <w:rPr>
                <w:sz w:val="20"/>
                <w:szCs w:val="20"/>
                <w:color w:val="auto"/>
              </w:rPr>
            </w:pPr>
            <w:r>
              <w:rPr>
                <w:rFonts w:ascii="Arial" w:cs="Arial" w:eastAsia="Arial" w:hAnsi="Arial"/>
                <w:sz w:val="19"/>
                <w:szCs w:val="19"/>
                <w:i w:val="1"/>
                <w:iCs w:val="1"/>
                <w:color w:val="auto"/>
                <w:w w:val="94"/>
              </w:rPr>
              <w:t>116</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3.05.</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w w:val="96"/>
              </w:rPr>
              <w:t>Properties</w:t>
            </w:r>
          </w:p>
        </w:tc>
        <w:tc>
          <w:tcPr>
            <w:tcW w:w="520" w:type="dxa"/>
            <w:vAlign w:val="bottom"/>
            <w:gridSpan w:val="2"/>
          </w:tcPr>
          <w:p>
            <w:pPr>
              <w:jc w:val="right"/>
              <w:ind w:right="24"/>
              <w:spacing w:after="0"/>
              <w:rPr>
                <w:sz w:val="20"/>
                <w:szCs w:val="20"/>
                <w:color w:val="auto"/>
              </w:rPr>
            </w:pPr>
            <w:r>
              <w:rPr>
                <w:rFonts w:ascii="Arial" w:cs="Arial" w:eastAsia="Arial" w:hAnsi="Arial"/>
                <w:sz w:val="19"/>
                <w:szCs w:val="19"/>
                <w:i w:val="1"/>
                <w:iCs w:val="1"/>
                <w:color w:val="auto"/>
              </w:rPr>
              <w:t>117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3.06.</w:t>
            </w:r>
          </w:p>
        </w:tc>
        <w:tc>
          <w:tcPr>
            <w:tcW w:w="3280" w:type="dxa"/>
            <w:vAlign w:val="bottom"/>
            <w:gridSpan w:val="10"/>
          </w:tcPr>
          <w:p>
            <w:pPr>
              <w:ind w:left="180"/>
              <w:spacing w:after="0"/>
              <w:rPr>
                <w:sz w:val="20"/>
                <w:szCs w:val="20"/>
                <w:color w:val="auto"/>
              </w:rPr>
            </w:pPr>
            <w:r>
              <w:rPr>
                <w:rFonts w:ascii="Arial" w:cs="Arial" w:eastAsia="Arial" w:hAnsi="Arial"/>
                <w:sz w:val="19"/>
                <w:szCs w:val="19"/>
                <w:i w:val="1"/>
                <w:iCs w:val="1"/>
                <w:color w:val="auto"/>
                <w:w w:val="99"/>
              </w:rPr>
              <w:t>Litigation and Environmental Matters</w:t>
            </w:r>
          </w:p>
        </w:tc>
        <w:tc>
          <w:tcPr>
            <w:tcW w:w="480" w:type="dxa"/>
            <w:vAlign w:val="bottom"/>
          </w:tcPr>
          <w:p>
            <w:pPr>
              <w:jc w:val="right"/>
              <w:ind w:right="104"/>
              <w:spacing w:after="0"/>
              <w:rPr>
                <w:sz w:val="20"/>
                <w:szCs w:val="20"/>
                <w:color w:val="auto"/>
              </w:rPr>
            </w:pPr>
            <w:r>
              <w:rPr>
                <w:rFonts w:ascii="Arial" w:cs="Arial" w:eastAsia="Arial" w:hAnsi="Arial"/>
                <w:sz w:val="19"/>
                <w:szCs w:val="19"/>
                <w:i w:val="1"/>
                <w:iCs w:val="1"/>
                <w:color w:val="auto"/>
                <w:w w:val="81"/>
              </w:rPr>
              <w:t>117</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3.07.</w:t>
            </w:r>
          </w:p>
        </w:tc>
        <w:tc>
          <w:tcPr>
            <w:tcW w:w="3280" w:type="dxa"/>
            <w:vAlign w:val="bottom"/>
            <w:gridSpan w:val="10"/>
          </w:tcPr>
          <w:p>
            <w:pPr>
              <w:ind w:left="180"/>
              <w:spacing w:after="0"/>
              <w:rPr>
                <w:sz w:val="20"/>
                <w:szCs w:val="20"/>
                <w:color w:val="auto"/>
              </w:rPr>
            </w:pPr>
            <w:r>
              <w:rPr>
                <w:rFonts w:ascii="Arial" w:cs="Arial" w:eastAsia="Arial" w:hAnsi="Arial"/>
                <w:sz w:val="19"/>
                <w:szCs w:val="19"/>
                <w:i w:val="1"/>
                <w:iCs w:val="1"/>
                <w:color w:val="auto"/>
                <w:w w:val="92"/>
              </w:rPr>
              <w:t>Compliance with Laws and Agreements</w:t>
            </w:r>
          </w:p>
        </w:tc>
        <w:tc>
          <w:tcPr>
            <w:tcW w:w="480" w:type="dxa"/>
            <w:vAlign w:val="bottom"/>
          </w:tcPr>
          <w:p>
            <w:pPr>
              <w:ind w:left="140"/>
              <w:spacing w:after="0"/>
              <w:rPr>
                <w:sz w:val="20"/>
                <w:szCs w:val="20"/>
                <w:color w:val="auto"/>
              </w:rPr>
            </w:pPr>
            <w:r>
              <w:rPr>
                <w:rFonts w:ascii="Arial" w:cs="Arial" w:eastAsia="Arial" w:hAnsi="Arial"/>
                <w:sz w:val="19"/>
                <w:szCs w:val="19"/>
                <w:i w:val="1"/>
                <w:iCs w:val="1"/>
                <w:color w:val="auto"/>
              </w:rPr>
              <w:t>117</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3.08.</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2"/>
              </w:rPr>
              <w:t>Investment Company Status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rPr>
              <w:t>118</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3.09.</w:t>
            </w:r>
          </w:p>
        </w:tc>
        <w:tc>
          <w:tcPr>
            <w:tcW w:w="740" w:type="dxa"/>
            <w:vAlign w:val="bottom"/>
          </w:tcPr>
          <w:p>
            <w:pPr>
              <w:ind w:left="180"/>
              <w:spacing w:after="0"/>
              <w:rPr>
                <w:sz w:val="20"/>
                <w:szCs w:val="20"/>
                <w:color w:val="auto"/>
              </w:rPr>
            </w:pPr>
            <w:r>
              <w:rPr>
                <w:rFonts w:ascii="Arial" w:cs="Arial" w:eastAsia="Arial" w:hAnsi="Arial"/>
                <w:sz w:val="19"/>
                <w:szCs w:val="19"/>
                <w:i w:val="1"/>
                <w:iCs w:val="1"/>
                <w:color w:val="auto"/>
              </w:rPr>
              <w:t>Taxes</w:t>
            </w:r>
          </w:p>
        </w:tc>
        <w:tc>
          <w:tcPr>
            <w:tcW w:w="460" w:type="dxa"/>
            <w:vAlign w:val="bottom"/>
            <w:gridSpan w:val="2"/>
          </w:tcPr>
          <w:p>
            <w:pPr>
              <w:jc w:val="right"/>
              <w:ind w:right="44"/>
              <w:spacing w:after="0"/>
              <w:rPr>
                <w:sz w:val="20"/>
                <w:szCs w:val="20"/>
                <w:color w:val="auto"/>
              </w:rPr>
            </w:pPr>
            <w:r>
              <w:rPr>
                <w:rFonts w:ascii="Arial" w:cs="Arial" w:eastAsia="Arial" w:hAnsi="Arial"/>
                <w:sz w:val="19"/>
                <w:szCs w:val="19"/>
                <w:i w:val="1"/>
                <w:iCs w:val="1"/>
                <w:color w:val="auto"/>
                <w:w w:val="94"/>
              </w:rPr>
              <w:t>118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3.10.</w:t>
            </w:r>
          </w:p>
        </w:tc>
        <w:tc>
          <w:tcPr>
            <w:tcW w:w="740" w:type="dxa"/>
            <w:vAlign w:val="bottom"/>
          </w:tcPr>
          <w:p>
            <w:pPr>
              <w:ind w:left="180"/>
              <w:spacing w:after="0"/>
              <w:rPr>
                <w:sz w:val="20"/>
                <w:szCs w:val="20"/>
                <w:color w:val="auto"/>
              </w:rPr>
            </w:pPr>
            <w:r>
              <w:rPr>
                <w:rFonts w:ascii="Arial" w:cs="Arial" w:eastAsia="Arial" w:hAnsi="Arial"/>
                <w:sz w:val="19"/>
                <w:szCs w:val="19"/>
                <w:i w:val="1"/>
                <w:iCs w:val="1"/>
                <w:color w:val="auto"/>
                <w:w w:val="94"/>
              </w:rPr>
              <w:t>ERISA</w:t>
            </w:r>
          </w:p>
        </w:tc>
        <w:tc>
          <w:tcPr>
            <w:tcW w:w="460" w:type="dxa"/>
            <w:vAlign w:val="bottom"/>
            <w:gridSpan w:val="2"/>
          </w:tcPr>
          <w:p>
            <w:pPr>
              <w:jc w:val="right"/>
              <w:spacing w:after="0"/>
              <w:rPr>
                <w:sz w:val="20"/>
                <w:szCs w:val="20"/>
                <w:color w:val="auto"/>
              </w:rPr>
            </w:pPr>
            <w:r>
              <w:rPr>
                <w:rFonts w:ascii="Arial" w:cs="Arial" w:eastAsia="Arial" w:hAnsi="Arial"/>
                <w:sz w:val="19"/>
                <w:szCs w:val="19"/>
                <w:i w:val="1"/>
                <w:iCs w:val="1"/>
                <w:color w:val="auto"/>
              </w:rPr>
              <w:t>118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3.11.</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w w:val="94"/>
              </w:rPr>
              <w:t>Disclosure</w:t>
            </w:r>
          </w:p>
        </w:tc>
        <w:tc>
          <w:tcPr>
            <w:tcW w:w="160" w:type="dxa"/>
            <w:vAlign w:val="bottom"/>
          </w:tcPr>
          <w:p>
            <w:pPr>
              <w:spacing w:after="0"/>
              <w:rPr>
                <w:sz w:val="19"/>
                <w:szCs w:val="19"/>
                <w:color w:val="auto"/>
              </w:rPr>
            </w:pPr>
          </w:p>
        </w:tc>
        <w:tc>
          <w:tcPr>
            <w:tcW w:w="360" w:type="dxa"/>
            <w:vAlign w:val="bottom"/>
          </w:tcPr>
          <w:p>
            <w:pPr>
              <w:jc w:val="right"/>
              <w:ind w:right="4"/>
              <w:spacing w:after="0"/>
              <w:rPr>
                <w:sz w:val="20"/>
                <w:szCs w:val="20"/>
                <w:color w:val="auto"/>
              </w:rPr>
            </w:pPr>
            <w:r>
              <w:rPr>
                <w:rFonts w:ascii="Arial" w:cs="Arial" w:eastAsia="Arial" w:hAnsi="Arial"/>
                <w:sz w:val="19"/>
                <w:szCs w:val="19"/>
                <w:i w:val="1"/>
                <w:iCs w:val="1"/>
                <w:color w:val="auto"/>
                <w:w w:val="75"/>
              </w:rPr>
              <w:t>118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3.12.</w:t>
            </w:r>
          </w:p>
        </w:tc>
        <w:tc>
          <w:tcPr>
            <w:tcW w:w="1200" w:type="dxa"/>
            <w:vAlign w:val="bottom"/>
            <w:gridSpan w:val="3"/>
          </w:tcPr>
          <w:p>
            <w:pPr>
              <w:ind w:left="180"/>
              <w:spacing w:after="0"/>
              <w:rPr>
                <w:sz w:val="20"/>
                <w:szCs w:val="20"/>
                <w:color w:val="auto"/>
              </w:rPr>
            </w:pPr>
            <w:r>
              <w:rPr>
                <w:rFonts w:ascii="Arial" w:cs="Arial" w:eastAsia="Arial" w:hAnsi="Arial"/>
                <w:sz w:val="19"/>
                <w:szCs w:val="19"/>
                <w:i w:val="1"/>
                <w:iCs w:val="1"/>
                <w:color w:val="auto"/>
                <w:w w:val="96"/>
              </w:rPr>
              <w:t>Subsidiaries</w:t>
            </w:r>
          </w:p>
        </w:tc>
        <w:tc>
          <w:tcPr>
            <w:tcW w:w="520" w:type="dxa"/>
            <w:vAlign w:val="bottom"/>
            <w:gridSpan w:val="2"/>
          </w:tcPr>
          <w:p>
            <w:pPr>
              <w:jc w:val="right"/>
              <w:ind w:right="44"/>
              <w:spacing w:after="0"/>
              <w:rPr>
                <w:sz w:val="20"/>
                <w:szCs w:val="20"/>
                <w:color w:val="auto"/>
              </w:rPr>
            </w:pPr>
            <w:r>
              <w:rPr>
                <w:rFonts w:ascii="Arial" w:cs="Arial" w:eastAsia="Arial" w:hAnsi="Arial"/>
                <w:sz w:val="19"/>
                <w:szCs w:val="19"/>
                <w:i w:val="1"/>
                <w:iCs w:val="1"/>
                <w:color w:val="auto"/>
              </w:rPr>
              <w:t>119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3.13.</w:t>
            </w:r>
          </w:p>
        </w:tc>
        <w:tc>
          <w:tcPr>
            <w:tcW w:w="3760" w:type="dxa"/>
            <w:vAlign w:val="bottom"/>
            <w:gridSpan w:val="11"/>
          </w:tcPr>
          <w:p>
            <w:pPr>
              <w:ind w:left="180"/>
              <w:spacing w:after="0"/>
              <w:rPr>
                <w:sz w:val="20"/>
                <w:szCs w:val="20"/>
                <w:color w:val="auto"/>
              </w:rPr>
            </w:pPr>
            <w:r>
              <w:rPr>
                <w:rFonts w:ascii="Arial" w:cs="Arial" w:eastAsia="Arial" w:hAnsi="Arial"/>
                <w:sz w:val="19"/>
                <w:szCs w:val="19"/>
                <w:i w:val="1"/>
                <w:iCs w:val="1"/>
                <w:color w:val="auto"/>
              </w:rPr>
              <w:t>Intellectual Property; Licenses, Etc.  119</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3.14.</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rPr>
              <w:t>Solvency</w:t>
            </w:r>
          </w:p>
        </w:tc>
        <w:tc>
          <w:tcPr>
            <w:tcW w:w="520" w:type="dxa"/>
            <w:vAlign w:val="bottom"/>
            <w:gridSpan w:val="2"/>
          </w:tcPr>
          <w:p>
            <w:pPr>
              <w:jc w:val="right"/>
              <w:ind w:right="144"/>
              <w:spacing w:after="0"/>
              <w:rPr>
                <w:sz w:val="20"/>
                <w:szCs w:val="20"/>
                <w:color w:val="auto"/>
              </w:rPr>
            </w:pPr>
            <w:r>
              <w:rPr>
                <w:rFonts w:ascii="Arial" w:cs="Arial" w:eastAsia="Arial" w:hAnsi="Arial"/>
                <w:sz w:val="19"/>
                <w:szCs w:val="19"/>
                <w:i w:val="1"/>
                <w:iCs w:val="1"/>
                <w:color w:val="auto"/>
                <w:w w:val="81"/>
              </w:rPr>
              <w:t>119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3.15.</w:t>
            </w:r>
          </w:p>
        </w:tc>
        <w:tc>
          <w:tcPr>
            <w:tcW w:w="1720" w:type="dxa"/>
            <w:vAlign w:val="bottom"/>
            <w:gridSpan w:val="5"/>
          </w:tcPr>
          <w:p>
            <w:pPr>
              <w:ind w:left="180"/>
              <w:spacing w:after="0"/>
              <w:rPr>
                <w:sz w:val="20"/>
                <w:szCs w:val="20"/>
                <w:color w:val="auto"/>
              </w:rPr>
            </w:pPr>
            <w:r>
              <w:rPr>
                <w:rFonts w:ascii="Arial" w:cs="Arial" w:eastAsia="Arial" w:hAnsi="Arial"/>
                <w:sz w:val="19"/>
                <w:szCs w:val="19"/>
                <w:i w:val="1"/>
                <w:iCs w:val="1"/>
                <w:color w:val="auto"/>
                <w:w w:val="87"/>
              </w:rPr>
              <w:t>Senior Indebtedness</w:t>
            </w:r>
          </w:p>
        </w:tc>
        <w:tc>
          <w:tcPr>
            <w:tcW w:w="680" w:type="dxa"/>
            <w:vAlign w:val="bottom"/>
            <w:gridSpan w:val="2"/>
          </w:tcPr>
          <w:p>
            <w:pPr>
              <w:jc w:val="right"/>
              <w:ind w:right="104"/>
              <w:spacing w:after="0"/>
              <w:rPr>
                <w:sz w:val="20"/>
                <w:szCs w:val="20"/>
                <w:color w:val="auto"/>
              </w:rPr>
            </w:pPr>
            <w:r>
              <w:rPr>
                <w:rFonts w:ascii="Arial" w:cs="Arial" w:eastAsia="Arial" w:hAnsi="Arial"/>
                <w:sz w:val="19"/>
                <w:szCs w:val="19"/>
                <w:i w:val="1"/>
                <w:iCs w:val="1"/>
                <w:color w:val="auto"/>
              </w:rPr>
              <w:t>119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3.16.</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89"/>
              </w:rPr>
              <w:t>Federal Reserve Regulations</w:t>
            </w:r>
          </w:p>
        </w:tc>
        <w:tc>
          <w:tcPr>
            <w:tcW w:w="140" w:type="dxa"/>
            <w:vAlign w:val="bottom"/>
          </w:tcPr>
          <w:p>
            <w:pPr>
              <w:spacing w:after="0"/>
              <w:rPr>
                <w:sz w:val="19"/>
                <w:szCs w:val="19"/>
                <w:color w:val="auto"/>
              </w:rPr>
            </w:pPr>
          </w:p>
        </w:tc>
        <w:tc>
          <w:tcPr>
            <w:tcW w:w="740" w:type="dxa"/>
            <w:vAlign w:val="bottom"/>
            <w:gridSpan w:val="2"/>
          </w:tcPr>
          <w:p>
            <w:pPr>
              <w:jc w:val="right"/>
              <w:ind w:right="324"/>
              <w:spacing w:after="0"/>
              <w:rPr>
                <w:sz w:val="20"/>
                <w:szCs w:val="20"/>
                <w:color w:val="auto"/>
              </w:rPr>
            </w:pPr>
            <w:r>
              <w:rPr>
                <w:rFonts w:ascii="Arial" w:cs="Arial" w:eastAsia="Arial" w:hAnsi="Arial"/>
                <w:sz w:val="19"/>
                <w:szCs w:val="19"/>
                <w:i w:val="1"/>
                <w:iCs w:val="1"/>
                <w:color w:val="auto"/>
                <w:w w:val="94"/>
              </w:rPr>
              <w:t>119</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3.17.</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w w:val="96"/>
              </w:rPr>
              <w:t>Use of Proceeds</w:t>
            </w:r>
          </w:p>
        </w:tc>
        <w:tc>
          <w:tcPr>
            <w:tcW w:w="500" w:type="dxa"/>
            <w:vAlign w:val="bottom"/>
            <w:gridSpan w:val="2"/>
          </w:tcPr>
          <w:p>
            <w:pPr>
              <w:ind w:left="60"/>
              <w:spacing w:after="0"/>
              <w:rPr>
                <w:sz w:val="20"/>
                <w:szCs w:val="20"/>
                <w:color w:val="auto"/>
              </w:rPr>
            </w:pPr>
            <w:r>
              <w:rPr>
                <w:rFonts w:ascii="Arial" w:cs="Arial" w:eastAsia="Arial" w:hAnsi="Arial"/>
                <w:sz w:val="19"/>
                <w:szCs w:val="19"/>
                <w:i w:val="1"/>
                <w:iCs w:val="1"/>
                <w:color w:val="auto"/>
              </w:rPr>
              <w:t>119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3.18.</w:t>
            </w:r>
          </w:p>
        </w:tc>
        <w:tc>
          <w:tcPr>
            <w:tcW w:w="4100" w:type="dxa"/>
            <w:vAlign w:val="bottom"/>
            <w:gridSpan w:val="12"/>
          </w:tcPr>
          <w:p>
            <w:pPr>
              <w:ind w:left="180"/>
              <w:spacing w:after="0"/>
              <w:rPr>
                <w:sz w:val="20"/>
                <w:szCs w:val="20"/>
                <w:color w:val="auto"/>
              </w:rPr>
            </w:pPr>
            <w:r>
              <w:rPr>
                <w:rFonts w:ascii="Arial" w:cs="Arial" w:eastAsia="Arial" w:hAnsi="Arial"/>
                <w:sz w:val="19"/>
                <w:szCs w:val="19"/>
                <w:i w:val="1"/>
                <w:iCs w:val="1"/>
                <w:color w:val="auto"/>
                <w:w w:val="99"/>
              </w:rPr>
              <w:t>Regulatory Status and Memberships Held  120</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3.19.</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5"/>
              </w:rPr>
              <w:t>PATRIOT Act, OFAC and FCPA</w:t>
            </w:r>
          </w:p>
        </w:tc>
        <w:tc>
          <w:tcPr>
            <w:tcW w:w="500" w:type="dxa"/>
            <w:vAlign w:val="bottom"/>
          </w:tcPr>
          <w:p>
            <w:pPr>
              <w:jc w:val="right"/>
              <w:ind w:right="84"/>
              <w:spacing w:after="0"/>
              <w:rPr>
                <w:sz w:val="20"/>
                <w:szCs w:val="20"/>
                <w:color w:val="auto"/>
              </w:rPr>
            </w:pPr>
            <w:r>
              <w:rPr>
                <w:rFonts w:ascii="Arial" w:cs="Arial" w:eastAsia="Arial" w:hAnsi="Arial"/>
                <w:sz w:val="19"/>
                <w:szCs w:val="19"/>
                <w:i w:val="1"/>
                <w:iCs w:val="1"/>
                <w:color w:val="auto"/>
                <w:w w:val="94"/>
              </w:rPr>
              <w:t>120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3.20.</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rPr>
              <w:t>EEA Financial Institutions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w w:val="94"/>
              </w:rPr>
              <w:t>121</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33"/>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5"/>
          </w:tcPr>
          <w:p>
            <w:pPr>
              <w:ind w:left="440"/>
              <w:spacing w:after="0"/>
              <w:rPr>
                <w:sz w:val="20"/>
                <w:szCs w:val="20"/>
                <w:color w:val="auto"/>
              </w:rPr>
            </w:pPr>
            <w:r>
              <w:rPr>
                <w:rFonts w:ascii="Arial" w:cs="Arial" w:eastAsia="Arial" w:hAnsi="Arial"/>
                <w:sz w:val="19"/>
                <w:szCs w:val="19"/>
                <w:color w:val="auto"/>
              </w:rPr>
              <w:t>ARTICLE 4 CONDITIONS  121</w:t>
            </w:r>
          </w:p>
        </w:tc>
        <w:tc>
          <w:tcPr>
            <w:tcW w:w="980" w:type="dxa"/>
            <w:vAlign w:val="bottom"/>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4.01.</w:t>
            </w:r>
          </w:p>
        </w:tc>
        <w:tc>
          <w:tcPr>
            <w:tcW w:w="1200" w:type="dxa"/>
            <w:vAlign w:val="bottom"/>
            <w:gridSpan w:val="3"/>
          </w:tcPr>
          <w:p>
            <w:pPr>
              <w:ind w:left="180"/>
              <w:spacing w:after="0"/>
              <w:rPr>
                <w:sz w:val="20"/>
                <w:szCs w:val="20"/>
                <w:color w:val="auto"/>
              </w:rPr>
            </w:pPr>
            <w:r>
              <w:rPr>
                <w:rFonts w:ascii="Arial" w:cs="Arial" w:eastAsia="Arial" w:hAnsi="Arial"/>
                <w:sz w:val="19"/>
                <w:szCs w:val="19"/>
                <w:i w:val="1"/>
                <w:iCs w:val="1"/>
                <w:color w:val="auto"/>
                <w:w w:val="91"/>
              </w:rPr>
              <w:t>Closing Date</w:t>
            </w:r>
          </w:p>
        </w:tc>
        <w:tc>
          <w:tcPr>
            <w:tcW w:w="520" w:type="dxa"/>
            <w:vAlign w:val="bottom"/>
            <w:gridSpan w:val="2"/>
          </w:tcPr>
          <w:p>
            <w:pPr>
              <w:jc w:val="right"/>
              <w:spacing w:after="0"/>
              <w:rPr>
                <w:sz w:val="20"/>
                <w:szCs w:val="20"/>
                <w:color w:val="auto"/>
              </w:rPr>
            </w:pPr>
            <w:r>
              <w:rPr>
                <w:rFonts w:ascii="Arial" w:cs="Arial" w:eastAsia="Arial" w:hAnsi="Arial"/>
                <w:sz w:val="19"/>
                <w:szCs w:val="19"/>
                <w:i w:val="1"/>
                <w:iCs w:val="1"/>
                <w:color w:val="auto"/>
              </w:rPr>
              <w:t>121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4.02.</w:t>
            </w:r>
          </w:p>
        </w:tc>
        <w:tc>
          <w:tcPr>
            <w:tcW w:w="1720" w:type="dxa"/>
            <w:vAlign w:val="bottom"/>
            <w:gridSpan w:val="5"/>
          </w:tcPr>
          <w:p>
            <w:pPr>
              <w:ind w:left="180"/>
              <w:spacing w:after="0"/>
              <w:rPr>
                <w:sz w:val="20"/>
                <w:szCs w:val="20"/>
                <w:color w:val="auto"/>
              </w:rPr>
            </w:pPr>
            <w:r>
              <w:rPr>
                <w:rFonts w:ascii="Arial" w:cs="Arial" w:eastAsia="Arial" w:hAnsi="Arial"/>
                <w:sz w:val="19"/>
                <w:szCs w:val="19"/>
                <w:i w:val="1"/>
                <w:iCs w:val="1"/>
                <w:color w:val="auto"/>
                <w:w w:val="99"/>
              </w:rPr>
              <w:t>Each Credit Event</w:t>
            </w:r>
          </w:p>
        </w:tc>
        <w:tc>
          <w:tcPr>
            <w:tcW w:w="340" w:type="dxa"/>
            <w:vAlign w:val="bottom"/>
          </w:tcPr>
          <w:p>
            <w:pPr>
              <w:jc w:val="right"/>
              <w:spacing w:after="0"/>
              <w:rPr>
                <w:sz w:val="20"/>
                <w:szCs w:val="20"/>
                <w:color w:val="auto"/>
              </w:rPr>
            </w:pPr>
            <w:r>
              <w:rPr>
                <w:rFonts w:ascii="Arial" w:cs="Arial" w:eastAsia="Arial" w:hAnsi="Arial"/>
                <w:sz w:val="19"/>
                <w:szCs w:val="19"/>
                <w:i w:val="1"/>
                <w:iCs w:val="1"/>
                <w:color w:val="auto"/>
              </w:rPr>
              <w:t>124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33"/>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6"/>
          </w:tcPr>
          <w:p>
            <w:pPr>
              <w:jc w:val="center"/>
              <w:spacing w:after="0"/>
              <w:rPr>
                <w:sz w:val="20"/>
                <w:szCs w:val="20"/>
                <w:color w:val="auto"/>
              </w:rPr>
            </w:pPr>
            <w:r>
              <w:rPr>
                <w:rFonts w:ascii="Arial" w:cs="Arial" w:eastAsia="Arial" w:hAnsi="Arial"/>
                <w:sz w:val="19"/>
                <w:szCs w:val="19"/>
                <w:color w:val="auto"/>
                <w:w w:val="99"/>
              </w:rPr>
              <w:t>ARTICLE 5 AFFIRMATIVE COVENANTS</w:t>
            </w:r>
          </w:p>
        </w:tc>
        <w:tc>
          <w:tcPr>
            <w:tcW w:w="980" w:type="dxa"/>
            <w:vAlign w:val="bottom"/>
          </w:tcPr>
          <w:p>
            <w:pPr>
              <w:jc w:val="right"/>
              <w:ind w:right="404"/>
              <w:spacing w:after="0"/>
              <w:rPr>
                <w:sz w:val="20"/>
                <w:szCs w:val="20"/>
                <w:color w:val="auto"/>
              </w:rPr>
            </w:pPr>
            <w:r>
              <w:rPr>
                <w:rFonts w:ascii="Arial" w:cs="Arial" w:eastAsia="Arial" w:hAnsi="Arial"/>
                <w:sz w:val="19"/>
                <w:szCs w:val="19"/>
                <w:color w:val="auto"/>
              </w:rPr>
              <w:t>125</w:t>
            </w: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5.01.</w:t>
            </w:r>
          </w:p>
        </w:tc>
        <w:tc>
          <w:tcPr>
            <w:tcW w:w="3760" w:type="dxa"/>
            <w:vAlign w:val="bottom"/>
            <w:gridSpan w:val="11"/>
          </w:tcPr>
          <w:p>
            <w:pPr>
              <w:ind w:left="180"/>
              <w:spacing w:after="0"/>
              <w:rPr>
                <w:sz w:val="20"/>
                <w:szCs w:val="20"/>
                <w:color w:val="auto"/>
              </w:rPr>
            </w:pPr>
            <w:r>
              <w:rPr>
                <w:rFonts w:ascii="Arial" w:cs="Arial" w:eastAsia="Arial" w:hAnsi="Arial"/>
                <w:sz w:val="19"/>
                <w:szCs w:val="19"/>
                <w:i w:val="1"/>
                <w:iCs w:val="1"/>
                <w:color w:val="auto"/>
                <w:w w:val="96"/>
              </w:rPr>
              <w:t>Financial Statements and Other Information</w:t>
            </w:r>
          </w:p>
        </w:tc>
        <w:tc>
          <w:tcPr>
            <w:tcW w:w="340" w:type="dxa"/>
            <w:vAlign w:val="bottom"/>
          </w:tcPr>
          <w:p>
            <w:pPr>
              <w:jc w:val="right"/>
              <w:spacing w:after="0"/>
              <w:rPr>
                <w:sz w:val="20"/>
                <w:szCs w:val="20"/>
                <w:color w:val="auto"/>
              </w:rPr>
            </w:pPr>
            <w:r>
              <w:rPr>
                <w:rFonts w:ascii="Arial" w:cs="Arial" w:eastAsia="Arial" w:hAnsi="Arial"/>
                <w:sz w:val="19"/>
                <w:szCs w:val="19"/>
                <w:i w:val="1"/>
                <w:iCs w:val="1"/>
                <w:color w:val="auto"/>
                <w:w w:val="94"/>
              </w:rPr>
              <w:t>125</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5.02.</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9"/>
              </w:rPr>
              <w:t>Notices of Material Events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w w:val="88"/>
              </w:rPr>
              <w:t>129</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5.03.</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4"/>
              </w:rPr>
              <w:t>Information Regarding Collateral</w:t>
            </w:r>
          </w:p>
        </w:tc>
        <w:tc>
          <w:tcPr>
            <w:tcW w:w="500" w:type="dxa"/>
            <w:vAlign w:val="bottom"/>
          </w:tcPr>
          <w:p>
            <w:pPr>
              <w:jc w:val="right"/>
              <w:spacing w:after="0"/>
              <w:rPr>
                <w:sz w:val="20"/>
                <w:szCs w:val="20"/>
                <w:color w:val="auto"/>
              </w:rPr>
            </w:pPr>
            <w:r>
              <w:rPr>
                <w:rFonts w:ascii="Arial" w:cs="Arial" w:eastAsia="Arial" w:hAnsi="Arial"/>
                <w:sz w:val="19"/>
                <w:szCs w:val="19"/>
                <w:i w:val="1"/>
                <w:iCs w:val="1"/>
                <w:color w:val="auto"/>
              </w:rPr>
              <w:t>129</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5.04.</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6"/>
              </w:rPr>
              <w:t>Existence; Conduct of Business</w:t>
            </w:r>
          </w:p>
        </w:tc>
        <w:tc>
          <w:tcPr>
            <w:tcW w:w="500" w:type="dxa"/>
            <w:vAlign w:val="bottom"/>
          </w:tcPr>
          <w:p>
            <w:pPr>
              <w:jc w:val="right"/>
              <w:ind w:right="104"/>
              <w:spacing w:after="0"/>
              <w:rPr>
                <w:sz w:val="20"/>
                <w:szCs w:val="20"/>
                <w:color w:val="auto"/>
              </w:rPr>
            </w:pPr>
            <w:r>
              <w:rPr>
                <w:rFonts w:ascii="Arial" w:cs="Arial" w:eastAsia="Arial" w:hAnsi="Arial"/>
                <w:sz w:val="19"/>
                <w:szCs w:val="19"/>
                <w:i w:val="1"/>
                <w:iCs w:val="1"/>
                <w:color w:val="auto"/>
                <w:w w:val="88"/>
              </w:rPr>
              <w:t>130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5.05.</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4"/>
              </w:rPr>
              <w:t>Payment of Taxes, Etc.</w:t>
            </w:r>
          </w:p>
        </w:tc>
        <w:tc>
          <w:tcPr>
            <w:tcW w:w="340" w:type="dxa"/>
            <w:vAlign w:val="bottom"/>
          </w:tcPr>
          <w:p>
            <w:pPr>
              <w:jc w:val="right"/>
              <w:spacing w:after="0"/>
              <w:rPr>
                <w:sz w:val="20"/>
                <w:szCs w:val="20"/>
                <w:color w:val="auto"/>
              </w:rPr>
            </w:pPr>
            <w:r>
              <w:rPr>
                <w:rFonts w:ascii="Arial" w:cs="Arial" w:eastAsia="Arial" w:hAnsi="Arial"/>
                <w:sz w:val="19"/>
                <w:szCs w:val="19"/>
                <w:i w:val="1"/>
                <w:iCs w:val="1"/>
                <w:color w:val="auto"/>
              </w:rPr>
              <w:t>130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5.06.</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9"/>
              </w:rPr>
              <w:t>Maintenance of Properties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w w:val="88"/>
              </w:rPr>
              <w:t>130</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5.07.</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rPr>
              <w:t>Insurance</w:t>
            </w:r>
          </w:p>
        </w:tc>
        <w:tc>
          <w:tcPr>
            <w:tcW w:w="520" w:type="dxa"/>
            <w:vAlign w:val="bottom"/>
            <w:gridSpan w:val="2"/>
          </w:tcPr>
          <w:p>
            <w:pPr>
              <w:jc w:val="right"/>
              <w:ind w:right="44"/>
              <w:spacing w:after="0"/>
              <w:rPr>
                <w:sz w:val="20"/>
                <w:szCs w:val="20"/>
                <w:color w:val="auto"/>
              </w:rPr>
            </w:pPr>
            <w:r>
              <w:rPr>
                <w:rFonts w:ascii="Arial" w:cs="Arial" w:eastAsia="Arial" w:hAnsi="Arial"/>
                <w:sz w:val="19"/>
                <w:szCs w:val="19"/>
                <w:i w:val="1"/>
                <w:iCs w:val="1"/>
                <w:color w:val="auto"/>
              </w:rPr>
              <w:t>130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5.08.</w:t>
            </w:r>
          </w:p>
        </w:tc>
        <w:tc>
          <w:tcPr>
            <w:tcW w:w="6060" w:type="dxa"/>
            <w:vAlign w:val="bottom"/>
            <w:gridSpan w:val="14"/>
          </w:tcPr>
          <w:p>
            <w:pPr>
              <w:ind w:left="180"/>
              <w:spacing w:after="0"/>
              <w:rPr>
                <w:sz w:val="20"/>
                <w:szCs w:val="20"/>
                <w:color w:val="auto"/>
              </w:rPr>
            </w:pPr>
            <w:r>
              <w:rPr>
                <w:rFonts w:ascii="Arial" w:cs="Arial" w:eastAsia="Arial" w:hAnsi="Arial"/>
                <w:sz w:val="19"/>
                <w:szCs w:val="19"/>
                <w:i w:val="1"/>
                <w:iCs w:val="1"/>
                <w:color w:val="auto"/>
                <w:w w:val="91"/>
              </w:rPr>
              <w:t>Books and Records; Inspection and Audit Rights; Quarterly Teleconferences</w:t>
            </w:r>
          </w:p>
        </w:tc>
        <w:tc>
          <w:tcPr>
            <w:tcW w:w="980" w:type="dxa"/>
            <w:vAlign w:val="bottom"/>
          </w:tcPr>
          <w:p>
            <w:pPr>
              <w:jc w:val="right"/>
              <w:ind w:right="424"/>
              <w:spacing w:after="0"/>
              <w:rPr>
                <w:sz w:val="20"/>
                <w:szCs w:val="20"/>
                <w:color w:val="auto"/>
              </w:rPr>
            </w:pPr>
            <w:r>
              <w:rPr>
                <w:rFonts w:ascii="Arial" w:cs="Arial" w:eastAsia="Arial" w:hAnsi="Arial"/>
                <w:sz w:val="19"/>
                <w:szCs w:val="19"/>
                <w:i w:val="1"/>
                <w:iCs w:val="1"/>
                <w:color w:val="auto"/>
              </w:rPr>
              <w:t>131</w:t>
            </w: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5.09.</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8"/>
              </w:rPr>
              <w:t>Compliance with Laws</w:t>
            </w:r>
          </w:p>
        </w:tc>
        <w:tc>
          <w:tcPr>
            <w:tcW w:w="480" w:type="dxa"/>
            <w:vAlign w:val="bottom"/>
            <w:gridSpan w:val="2"/>
          </w:tcPr>
          <w:p>
            <w:pPr>
              <w:jc w:val="right"/>
              <w:ind w:right="24"/>
              <w:spacing w:after="0"/>
              <w:rPr>
                <w:sz w:val="20"/>
                <w:szCs w:val="20"/>
                <w:color w:val="auto"/>
              </w:rPr>
            </w:pPr>
            <w:r>
              <w:rPr>
                <w:rFonts w:ascii="Arial" w:cs="Arial" w:eastAsia="Arial" w:hAnsi="Arial"/>
                <w:sz w:val="19"/>
                <w:szCs w:val="19"/>
                <w:i w:val="1"/>
                <w:iCs w:val="1"/>
                <w:color w:val="auto"/>
              </w:rPr>
              <w:t>131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5.10.</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w w:val="96"/>
              </w:rPr>
              <w:t>Use of Proceeds</w:t>
            </w:r>
          </w:p>
        </w:tc>
        <w:tc>
          <w:tcPr>
            <w:tcW w:w="500" w:type="dxa"/>
            <w:vAlign w:val="bottom"/>
            <w:gridSpan w:val="2"/>
          </w:tcPr>
          <w:p>
            <w:pPr>
              <w:ind w:left="60"/>
              <w:spacing w:after="0"/>
              <w:rPr>
                <w:sz w:val="20"/>
                <w:szCs w:val="20"/>
                <w:color w:val="auto"/>
              </w:rPr>
            </w:pPr>
            <w:r>
              <w:rPr>
                <w:rFonts w:ascii="Arial" w:cs="Arial" w:eastAsia="Arial" w:hAnsi="Arial"/>
                <w:sz w:val="19"/>
                <w:szCs w:val="19"/>
                <w:i w:val="1"/>
                <w:iCs w:val="1"/>
                <w:color w:val="auto"/>
              </w:rPr>
              <w:t>132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5.11.</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6"/>
              </w:rPr>
              <w:t>Additional Subsidiaries</w:t>
            </w:r>
          </w:p>
        </w:tc>
        <w:tc>
          <w:tcPr>
            <w:tcW w:w="480" w:type="dxa"/>
            <w:vAlign w:val="bottom"/>
            <w:gridSpan w:val="2"/>
          </w:tcPr>
          <w:p>
            <w:pPr>
              <w:jc w:val="right"/>
              <w:spacing w:after="0"/>
              <w:rPr>
                <w:sz w:val="20"/>
                <w:szCs w:val="20"/>
                <w:color w:val="auto"/>
              </w:rPr>
            </w:pPr>
            <w:r>
              <w:rPr>
                <w:rFonts w:ascii="Arial" w:cs="Arial" w:eastAsia="Arial" w:hAnsi="Arial"/>
                <w:sz w:val="19"/>
                <w:szCs w:val="19"/>
                <w:i w:val="1"/>
                <w:iCs w:val="1"/>
                <w:color w:val="auto"/>
              </w:rPr>
              <w:t>132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5.12.</w:t>
            </w:r>
          </w:p>
        </w:tc>
        <w:tc>
          <w:tcPr>
            <w:tcW w:w="1720" w:type="dxa"/>
            <w:vAlign w:val="bottom"/>
            <w:gridSpan w:val="5"/>
          </w:tcPr>
          <w:p>
            <w:pPr>
              <w:ind w:left="180"/>
              <w:spacing w:after="0"/>
              <w:rPr>
                <w:sz w:val="20"/>
                <w:szCs w:val="20"/>
                <w:color w:val="auto"/>
              </w:rPr>
            </w:pPr>
            <w:r>
              <w:rPr>
                <w:rFonts w:ascii="Arial" w:cs="Arial" w:eastAsia="Arial" w:hAnsi="Arial"/>
                <w:sz w:val="19"/>
                <w:szCs w:val="19"/>
                <w:i w:val="1"/>
                <w:iCs w:val="1"/>
                <w:color w:val="auto"/>
                <w:w w:val="91"/>
              </w:rPr>
              <w:t>Further Assurances</w:t>
            </w:r>
          </w:p>
        </w:tc>
        <w:tc>
          <w:tcPr>
            <w:tcW w:w="680" w:type="dxa"/>
            <w:vAlign w:val="bottom"/>
            <w:gridSpan w:val="2"/>
          </w:tcPr>
          <w:p>
            <w:pPr>
              <w:jc w:val="right"/>
              <w:ind w:right="124"/>
              <w:spacing w:after="0"/>
              <w:rPr>
                <w:sz w:val="20"/>
                <w:szCs w:val="20"/>
                <w:color w:val="auto"/>
              </w:rPr>
            </w:pPr>
            <w:r>
              <w:rPr>
                <w:rFonts w:ascii="Arial" w:cs="Arial" w:eastAsia="Arial" w:hAnsi="Arial"/>
                <w:sz w:val="19"/>
                <w:szCs w:val="19"/>
                <w:i w:val="1"/>
                <w:iCs w:val="1"/>
                <w:color w:val="auto"/>
              </w:rPr>
              <w:t>132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5.13.</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5"/>
              </w:rPr>
              <w:t>Designation of Subsidiaries</w:t>
            </w:r>
          </w:p>
        </w:tc>
        <w:tc>
          <w:tcPr>
            <w:tcW w:w="880" w:type="dxa"/>
            <w:vAlign w:val="bottom"/>
            <w:gridSpan w:val="3"/>
          </w:tcPr>
          <w:p>
            <w:pPr>
              <w:jc w:val="right"/>
              <w:ind w:right="404"/>
              <w:spacing w:after="0"/>
              <w:rPr>
                <w:sz w:val="20"/>
                <w:szCs w:val="20"/>
                <w:color w:val="auto"/>
              </w:rPr>
            </w:pPr>
            <w:r>
              <w:rPr>
                <w:rFonts w:ascii="Arial" w:cs="Arial" w:eastAsia="Arial" w:hAnsi="Arial"/>
                <w:sz w:val="19"/>
                <w:szCs w:val="19"/>
                <w:i w:val="1"/>
                <w:iCs w:val="1"/>
                <w:color w:val="auto"/>
              </w:rPr>
              <w:t>133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5.14.</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3"/>
              </w:rPr>
              <w:t>Maintenance of Ratings</w:t>
            </w:r>
          </w:p>
        </w:tc>
        <w:tc>
          <w:tcPr>
            <w:tcW w:w="480" w:type="dxa"/>
            <w:vAlign w:val="bottom"/>
            <w:gridSpan w:val="2"/>
          </w:tcPr>
          <w:p>
            <w:pPr>
              <w:jc w:val="right"/>
              <w:spacing w:after="0"/>
              <w:rPr>
                <w:sz w:val="20"/>
                <w:szCs w:val="20"/>
                <w:color w:val="auto"/>
              </w:rPr>
            </w:pPr>
            <w:r>
              <w:rPr>
                <w:rFonts w:ascii="Arial" w:cs="Arial" w:eastAsia="Arial" w:hAnsi="Arial"/>
                <w:sz w:val="19"/>
                <w:szCs w:val="19"/>
                <w:i w:val="1"/>
                <w:iCs w:val="1"/>
                <w:color w:val="auto"/>
              </w:rPr>
              <w:t>133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5.15.</w:t>
            </w:r>
          </w:p>
        </w:tc>
        <w:tc>
          <w:tcPr>
            <w:tcW w:w="1720" w:type="dxa"/>
            <w:vAlign w:val="bottom"/>
            <w:gridSpan w:val="5"/>
          </w:tcPr>
          <w:p>
            <w:pPr>
              <w:ind w:left="180"/>
              <w:spacing w:after="0"/>
              <w:rPr>
                <w:sz w:val="20"/>
                <w:szCs w:val="20"/>
                <w:color w:val="auto"/>
              </w:rPr>
            </w:pPr>
            <w:r>
              <w:rPr>
                <w:rFonts w:ascii="Arial" w:cs="Arial" w:eastAsia="Arial" w:hAnsi="Arial"/>
                <w:sz w:val="19"/>
                <w:szCs w:val="19"/>
                <w:i w:val="1"/>
                <w:iCs w:val="1"/>
                <w:color w:val="auto"/>
                <w:w w:val="94"/>
              </w:rPr>
              <w:t>Regulatory Matters</w:t>
            </w:r>
          </w:p>
        </w:tc>
        <w:tc>
          <w:tcPr>
            <w:tcW w:w="680" w:type="dxa"/>
            <w:vAlign w:val="bottom"/>
            <w:gridSpan w:val="2"/>
          </w:tcPr>
          <w:p>
            <w:pPr>
              <w:jc w:val="right"/>
              <w:ind w:right="144"/>
              <w:spacing w:after="0"/>
              <w:rPr>
                <w:sz w:val="20"/>
                <w:szCs w:val="20"/>
                <w:color w:val="auto"/>
              </w:rPr>
            </w:pPr>
            <w:r>
              <w:rPr>
                <w:rFonts w:ascii="Arial" w:cs="Arial" w:eastAsia="Arial" w:hAnsi="Arial"/>
                <w:sz w:val="19"/>
                <w:szCs w:val="19"/>
                <w:i w:val="1"/>
                <w:iCs w:val="1"/>
                <w:color w:val="auto"/>
              </w:rPr>
              <w:t>133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5.16.</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3"/>
              </w:rPr>
              <w:t>Certain Post-Closing Obligations</w:t>
            </w:r>
          </w:p>
        </w:tc>
        <w:tc>
          <w:tcPr>
            <w:tcW w:w="500" w:type="dxa"/>
            <w:vAlign w:val="bottom"/>
          </w:tcPr>
          <w:p>
            <w:pPr>
              <w:jc w:val="right"/>
              <w:spacing w:after="0"/>
              <w:rPr>
                <w:sz w:val="20"/>
                <w:szCs w:val="20"/>
                <w:color w:val="auto"/>
              </w:rPr>
            </w:pPr>
            <w:r>
              <w:rPr>
                <w:rFonts w:ascii="Arial" w:cs="Arial" w:eastAsia="Arial" w:hAnsi="Arial"/>
                <w:sz w:val="19"/>
                <w:szCs w:val="19"/>
                <w:i w:val="1"/>
                <w:iCs w:val="1"/>
                <w:color w:val="auto"/>
              </w:rPr>
              <w:t>134</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33"/>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6"/>
          </w:tcPr>
          <w:p>
            <w:pPr>
              <w:jc w:val="center"/>
              <w:spacing w:after="0"/>
              <w:rPr>
                <w:sz w:val="20"/>
                <w:szCs w:val="20"/>
                <w:color w:val="auto"/>
              </w:rPr>
            </w:pPr>
            <w:r>
              <w:rPr>
                <w:rFonts w:ascii="Arial" w:cs="Arial" w:eastAsia="Arial" w:hAnsi="Arial"/>
                <w:sz w:val="19"/>
                <w:szCs w:val="19"/>
                <w:color w:val="auto"/>
                <w:w w:val="98"/>
              </w:rPr>
              <w:t>ARTICLE 6 NEGATIVE COVENANTS</w:t>
            </w:r>
          </w:p>
        </w:tc>
        <w:tc>
          <w:tcPr>
            <w:tcW w:w="980" w:type="dxa"/>
            <w:vAlign w:val="bottom"/>
          </w:tcPr>
          <w:p>
            <w:pPr>
              <w:jc w:val="right"/>
              <w:ind w:right="564"/>
              <w:spacing w:after="0"/>
              <w:rPr>
                <w:sz w:val="20"/>
                <w:szCs w:val="20"/>
                <w:color w:val="auto"/>
              </w:rPr>
            </w:pPr>
            <w:r>
              <w:rPr>
                <w:rFonts w:ascii="Arial" w:cs="Arial" w:eastAsia="Arial" w:hAnsi="Arial"/>
                <w:sz w:val="19"/>
                <w:szCs w:val="19"/>
                <w:color w:val="auto"/>
                <w:w w:val="94"/>
              </w:rPr>
              <w:t>134</w:t>
            </w:r>
          </w:p>
        </w:tc>
      </w:tr>
      <w:tr>
        <w:trPr>
          <w:trHeight w:val="411"/>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6.01.</w:t>
            </w:r>
          </w:p>
        </w:tc>
        <w:tc>
          <w:tcPr>
            <w:tcW w:w="3280" w:type="dxa"/>
            <w:vAlign w:val="bottom"/>
            <w:gridSpan w:val="10"/>
          </w:tcPr>
          <w:p>
            <w:pPr>
              <w:ind w:left="180"/>
              <w:spacing w:after="0"/>
              <w:rPr>
                <w:sz w:val="20"/>
                <w:szCs w:val="20"/>
                <w:color w:val="auto"/>
              </w:rPr>
            </w:pPr>
            <w:r>
              <w:rPr>
                <w:rFonts w:ascii="Arial" w:cs="Arial" w:eastAsia="Arial" w:hAnsi="Arial"/>
                <w:sz w:val="19"/>
                <w:szCs w:val="19"/>
                <w:i w:val="1"/>
                <w:iCs w:val="1"/>
                <w:color w:val="auto"/>
                <w:w w:val="92"/>
              </w:rPr>
              <w:t>Indebtedness; Certain Equity Securities</w:t>
            </w:r>
          </w:p>
        </w:tc>
        <w:tc>
          <w:tcPr>
            <w:tcW w:w="480" w:type="dxa"/>
            <w:vAlign w:val="bottom"/>
          </w:tcPr>
          <w:p>
            <w:pPr>
              <w:ind w:left="140"/>
              <w:spacing w:after="0"/>
              <w:rPr>
                <w:sz w:val="20"/>
                <w:szCs w:val="20"/>
                <w:color w:val="auto"/>
              </w:rPr>
            </w:pPr>
            <w:r>
              <w:rPr>
                <w:rFonts w:ascii="Arial" w:cs="Arial" w:eastAsia="Arial" w:hAnsi="Arial"/>
                <w:sz w:val="19"/>
                <w:szCs w:val="19"/>
                <w:i w:val="1"/>
                <w:iCs w:val="1"/>
                <w:color w:val="auto"/>
              </w:rPr>
              <w:t>134</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6.02.</w:t>
            </w:r>
          </w:p>
        </w:tc>
        <w:tc>
          <w:tcPr>
            <w:tcW w:w="740" w:type="dxa"/>
            <w:vAlign w:val="bottom"/>
          </w:tcPr>
          <w:p>
            <w:pPr>
              <w:ind w:left="180"/>
              <w:spacing w:after="0"/>
              <w:rPr>
                <w:sz w:val="20"/>
                <w:szCs w:val="20"/>
                <w:color w:val="auto"/>
              </w:rPr>
            </w:pPr>
            <w:r>
              <w:rPr>
                <w:rFonts w:ascii="Arial" w:cs="Arial" w:eastAsia="Arial" w:hAnsi="Arial"/>
                <w:sz w:val="19"/>
                <w:szCs w:val="19"/>
                <w:i w:val="1"/>
                <w:iCs w:val="1"/>
                <w:color w:val="auto"/>
              </w:rPr>
              <w:t>Liens</w:t>
            </w:r>
          </w:p>
        </w:tc>
        <w:tc>
          <w:tcPr>
            <w:tcW w:w="460" w:type="dxa"/>
            <w:vAlign w:val="bottom"/>
            <w:gridSpan w:val="2"/>
          </w:tcPr>
          <w:p>
            <w:pPr>
              <w:jc w:val="right"/>
              <w:ind w:right="44"/>
              <w:spacing w:after="0"/>
              <w:rPr>
                <w:sz w:val="20"/>
                <w:szCs w:val="20"/>
                <w:color w:val="auto"/>
              </w:rPr>
            </w:pPr>
            <w:r>
              <w:rPr>
                <w:rFonts w:ascii="Arial" w:cs="Arial" w:eastAsia="Arial" w:hAnsi="Arial"/>
                <w:sz w:val="19"/>
                <w:szCs w:val="19"/>
                <w:i w:val="1"/>
                <w:iCs w:val="1"/>
                <w:color w:val="auto"/>
                <w:w w:val="94"/>
              </w:rPr>
              <w:t>141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6.03.</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6"/>
              </w:rPr>
              <w:t>Fundamental Changes</w:t>
            </w:r>
          </w:p>
        </w:tc>
        <w:tc>
          <w:tcPr>
            <w:tcW w:w="340" w:type="dxa"/>
            <w:vAlign w:val="bottom"/>
          </w:tcPr>
          <w:p>
            <w:pPr>
              <w:jc w:val="right"/>
              <w:spacing w:after="0"/>
              <w:rPr>
                <w:sz w:val="20"/>
                <w:szCs w:val="20"/>
                <w:color w:val="auto"/>
              </w:rPr>
            </w:pPr>
            <w:r>
              <w:rPr>
                <w:rFonts w:ascii="Arial" w:cs="Arial" w:eastAsia="Arial" w:hAnsi="Arial"/>
                <w:sz w:val="19"/>
                <w:szCs w:val="19"/>
                <w:i w:val="1"/>
                <w:iCs w:val="1"/>
                <w:color w:val="auto"/>
              </w:rPr>
              <w:t>145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6.04.</w:t>
            </w:r>
          </w:p>
        </w:tc>
        <w:tc>
          <w:tcPr>
            <w:tcW w:w="4980" w:type="dxa"/>
            <w:vAlign w:val="bottom"/>
            <w:gridSpan w:val="13"/>
          </w:tcPr>
          <w:p>
            <w:pPr>
              <w:ind w:left="180"/>
              <w:spacing w:after="0"/>
              <w:rPr>
                <w:sz w:val="20"/>
                <w:szCs w:val="20"/>
                <w:color w:val="auto"/>
              </w:rPr>
            </w:pPr>
            <w:r>
              <w:rPr>
                <w:rFonts w:ascii="Arial" w:cs="Arial" w:eastAsia="Arial" w:hAnsi="Arial"/>
                <w:sz w:val="19"/>
                <w:szCs w:val="19"/>
                <w:i w:val="1"/>
                <w:iCs w:val="1"/>
                <w:color w:val="auto"/>
                <w:w w:val="93"/>
              </w:rPr>
              <w:t>Investments, Loans, Advances, Guarantees and Acquisitions</w:t>
            </w:r>
          </w:p>
        </w:tc>
        <w:tc>
          <w:tcPr>
            <w:tcW w:w="1080" w:type="dxa"/>
            <w:vAlign w:val="bottom"/>
          </w:tcPr>
          <w:p>
            <w:pPr>
              <w:jc w:val="right"/>
              <w:ind w:right="684"/>
              <w:spacing w:after="0"/>
              <w:rPr>
                <w:sz w:val="20"/>
                <w:szCs w:val="20"/>
                <w:color w:val="auto"/>
              </w:rPr>
            </w:pPr>
            <w:r>
              <w:rPr>
                <w:rFonts w:ascii="Arial" w:cs="Arial" w:eastAsia="Arial" w:hAnsi="Arial"/>
                <w:sz w:val="19"/>
                <w:szCs w:val="19"/>
                <w:i w:val="1"/>
                <w:iCs w:val="1"/>
                <w:color w:val="auto"/>
                <w:w w:val="88"/>
              </w:rPr>
              <w:t>148</w:t>
            </w: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6.05.</w:t>
            </w:r>
          </w:p>
        </w:tc>
        <w:tc>
          <w:tcPr>
            <w:tcW w:w="1040" w:type="dxa"/>
            <w:vAlign w:val="bottom"/>
            <w:gridSpan w:val="2"/>
          </w:tcPr>
          <w:p>
            <w:pPr>
              <w:ind w:left="180"/>
              <w:spacing w:after="0"/>
              <w:rPr>
                <w:sz w:val="20"/>
                <w:szCs w:val="20"/>
                <w:color w:val="auto"/>
              </w:rPr>
            </w:pPr>
            <w:r>
              <w:rPr>
                <w:rFonts w:ascii="Arial" w:cs="Arial" w:eastAsia="Arial" w:hAnsi="Arial"/>
                <w:sz w:val="19"/>
                <w:szCs w:val="19"/>
                <w:i w:val="1"/>
                <w:iCs w:val="1"/>
                <w:color w:val="auto"/>
                <w:w w:val="83"/>
              </w:rPr>
              <w:t>Asset Sales</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9"/>
                <w:szCs w:val="19"/>
                <w:i w:val="1"/>
                <w:iCs w:val="1"/>
                <w:color w:val="auto"/>
                <w:w w:val="94"/>
              </w:rPr>
              <w:t>151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6.06.</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0"/>
              </w:rPr>
              <w:t>Sale and Leaseback Transactions</w:t>
            </w:r>
          </w:p>
        </w:tc>
        <w:tc>
          <w:tcPr>
            <w:tcW w:w="500" w:type="dxa"/>
            <w:vAlign w:val="bottom"/>
          </w:tcPr>
          <w:p>
            <w:pPr>
              <w:jc w:val="right"/>
              <w:spacing w:after="0"/>
              <w:rPr>
                <w:sz w:val="20"/>
                <w:szCs w:val="20"/>
                <w:color w:val="auto"/>
              </w:rPr>
            </w:pPr>
            <w:r>
              <w:rPr>
                <w:rFonts w:ascii="Arial" w:cs="Arial" w:eastAsia="Arial" w:hAnsi="Arial"/>
                <w:sz w:val="19"/>
                <w:szCs w:val="19"/>
                <w:i w:val="1"/>
                <w:iCs w:val="1"/>
                <w:color w:val="auto"/>
              </w:rPr>
              <w:t>153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6.07.</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w w:val="87"/>
              </w:rPr>
              <w:t>Swap Agreements</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9"/>
                <w:szCs w:val="19"/>
                <w:i w:val="1"/>
                <w:iCs w:val="1"/>
                <w:color w:val="auto"/>
                <w:w w:val="88"/>
              </w:rPr>
              <w:t>153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6.08.</w:t>
            </w:r>
          </w:p>
        </w:tc>
        <w:tc>
          <w:tcPr>
            <w:tcW w:w="4980" w:type="dxa"/>
            <w:vAlign w:val="bottom"/>
            <w:gridSpan w:val="13"/>
          </w:tcPr>
          <w:p>
            <w:pPr>
              <w:ind w:left="180"/>
              <w:spacing w:after="0"/>
              <w:rPr>
                <w:sz w:val="20"/>
                <w:szCs w:val="20"/>
                <w:color w:val="auto"/>
              </w:rPr>
            </w:pPr>
            <w:r>
              <w:rPr>
                <w:rFonts w:ascii="Arial" w:cs="Arial" w:eastAsia="Arial" w:hAnsi="Arial"/>
                <w:sz w:val="19"/>
                <w:szCs w:val="19"/>
                <w:i w:val="1"/>
                <w:iCs w:val="1"/>
                <w:color w:val="auto"/>
                <w:w w:val="91"/>
              </w:rPr>
              <w:t>Restricted Payments; Certain Payments of Indebtedness  154</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6.09.</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7"/>
              </w:rPr>
              <w:t>Transactions with Affiliates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rPr>
              <w:t>158</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6.10.</w:t>
            </w:r>
          </w:p>
        </w:tc>
        <w:tc>
          <w:tcPr>
            <w:tcW w:w="2060" w:type="dxa"/>
            <w:vAlign w:val="bottom"/>
            <w:gridSpan w:val="6"/>
          </w:tcPr>
          <w:p>
            <w:pPr>
              <w:ind w:left="180"/>
              <w:spacing w:after="0"/>
              <w:rPr>
                <w:sz w:val="20"/>
                <w:szCs w:val="20"/>
                <w:color w:val="auto"/>
              </w:rPr>
            </w:pPr>
            <w:r>
              <w:rPr>
                <w:rFonts w:ascii="Arial" w:cs="Arial" w:eastAsia="Arial" w:hAnsi="Arial"/>
                <w:sz w:val="19"/>
                <w:szCs w:val="19"/>
                <w:i w:val="1"/>
                <w:iCs w:val="1"/>
                <w:color w:val="auto"/>
                <w:w w:val="94"/>
              </w:rPr>
              <w:t>Restrictive Agreements</w:t>
            </w:r>
          </w:p>
        </w:tc>
        <w:tc>
          <w:tcPr>
            <w:tcW w:w="480" w:type="dxa"/>
            <w:vAlign w:val="bottom"/>
            <w:gridSpan w:val="2"/>
          </w:tcPr>
          <w:p>
            <w:pPr>
              <w:jc w:val="right"/>
              <w:ind w:right="24"/>
              <w:spacing w:after="0"/>
              <w:rPr>
                <w:sz w:val="20"/>
                <w:szCs w:val="20"/>
                <w:color w:val="auto"/>
              </w:rPr>
            </w:pPr>
            <w:r>
              <w:rPr>
                <w:rFonts w:ascii="Arial" w:cs="Arial" w:eastAsia="Arial" w:hAnsi="Arial"/>
                <w:sz w:val="19"/>
                <w:szCs w:val="19"/>
                <w:i w:val="1"/>
                <w:iCs w:val="1"/>
                <w:color w:val="auto"/>
              </w:rPr>
              <w:t>158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6.11.</w:t>
            </w:r>
          </w:p>
        </w:tc>
        <w:tc>
          <w:tcPr>
            <w:tcW w:w="2780" w:type="dxa"/>
            <w:vAlign w:val="bottom"/>
            <w:gridSpan w:val="9"/>
          </w:tcPr>
          <w:p>
            <w:pPr>
              <w:ind w:left="180"/>
              <w:spacing w:after="0"/>
              <w:rPr>
                <w:sz w:val="20"/>
                <w:szCs w:val="20"/>
                <w:color w:val="auto"/>
              </w:rPr>
            </w:pPr>
            <w:r>
              <w:rPr>
                <w:rFonts w:ascii="Arial" w:cs="Arial" w:eastAsia="Arial" w:hAnsi="Arial"/>
                <w:sz w:val="19"/>
                <w:szCs w:val="19"/>
                <w:i w:val="1"/>
                <w:iCs w:val="1"/>
                <w:color w:val="auto"/>
                <w:w w:val="96"/>
              </w:rPr>
              <w:t>Amendment of Junior Financing</w:t>
            </w:r>
          </w:p>
        </w:tc>
        <w:tc>
          <w:tcPr>
            <w:tcW w:w="500" w:type="dxa"/>
            <w:vAlign w:val="bottom"/>
          </w:tcPr>
          <w:p>
            <w:pPr>
              <w:jc w:val="right"/>
              <w:ind w:right="44"/>
              <w:spacing w:after="0"/>
              <w:rPr>
                <w:sz w:val="20"/>
                <w:szCs w:val="20"/>
                <w:color w:val="auto"/>
              </w:rPr>
            </w:pPr>
            <w:r>
              <w:rPr>
                <w:rFonts w:ascii="Arial" w:cs="Arial" w:eastAsia="Arial" w:hAnsi="Arial"/>
                <w:sz w:val="19"/>
                <w:szCs w:val="19"/>
                <w:i w:val="1"/>
                <w:iCs w:val="1"/>
                <w:color w:val="auto"/>
              </w:rPr>
              <w:t>159</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6.12.</w:t>
            </w:r>
          </w:p>
        </w:tc>
        <w:tc>
          <w:tcPr>
            <w:tcW w:w="2540" w:type="dxa"/>
            <w:vAlign w:val="bottom"/>
            <w:gridSpan w:val="8"/>
          </w:tcPr>
          <w:p>
            <w:pPr>
              <w:ind w:left="180"/>
              <w:spacing w:after="0"/>
              <w:rPr>
                <w:sz w:val="20"/>
                <w:szCs w:val="20"/>
                <w:color w:val="auto"/>
              </w:rPr>
            </w:pPr>
            <w:r>
              <w:rPr>
                <w:rFonts w:ascii="Arial" w:cs="Arial" w:eastAsia="Arial" w:hAnsi="Arial"/>
                <w:sz w:val="19"/>
                <w:szCs w:val="19"/>
                <w:i w:val="1"/>
                <w:iCs w:val="1"/>
                <w:color w:val="auto"/>
                <w:w w:val="94"/>
              </w:rPr>
              <w:t>Net First Lien Leverage Ratio</w:t>
            </w:r>
          </w:p>
        </w:tc>
        <w:tc>
          <w:tcPr>
            <w:tcW w:w="740" w:type="dxa"/>
            <w:vAlign w:val="bottom"/>
            <w:gridSpan w:val="2"/>
          </w:tcPr>
          <w:p>
            <w:pPr>
              <w:jc w:val="right"/>
              <w:ind w:right="224"/>
              <w:spacing w:after="0"/>
              <w:rPr>
                <w:sz w:val="20"/>
                <w:szCs w:val="20"/>
                <w:color w:val="auto"/>
              </w:rPr>
            </w:pPr>
            <w:r>
              <w:rPr>
                <w:rFonts w:ascii="Arial" w:cs="Arial" w:eastAsia="Arial" w:hAnsi="Arial"/>
                <w:sz w:val="19"/>
                <w:szCs w:val="19"/>
                <w:i w:val="1"/>
                <w:iCs w:val="1"/>
                <w:color w:val="auto"/>
              </w:rPr>
              <w:t>160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6.13.</w:t>
            </w:r>
          </w:p>
        </w:tc>
        <w:tc>
          <w:tcPr>
            <w:tcW w:w="1560" w:type="dxa"/>
            <w:vAlign w:val="bottom"/>
            <w:gridSpan w:val="4"/>
          </w:tcPr>
          <w:p>
            <w:pPr>
              <w:ind w:left="180"/>
              <w:spacing w:after="0"/>
              <w:rPr>
                <w:sz w:val="20"/>
                <w:szCs w:val="20"/>
                <w:color w:val="auto"/>
              </w:rPr>
            </w:pPr>
            <w:r>
              <w:rPr>
                <w:rFonts w:ascii="Arial" w:cs="Arial" w:eastAsia="Arial" w:hAnsi="Arial"/>
                <w:sz w:val="19"/>
                <w:szCs w:val="19"/>
                <w:i w:val="1"/>
                <w:iCs w:val="1"/>
                <w:color w:val="auto"/>
              </w:rPr>
              <w:t>Equity Interests</w:t>
            </w:r>
          </w:p>
        </w:tc>
        <w:tc>
          <w:tcPr>
            <w:tcW w:w="500" w:type="dxa"/>
            <w:vAlign w:val="bottom"/>
            <w:gridSpan w:val="2"/>
          </w:tcPr>
          <w:p>
            <w:pPr>
              <w:jc w:val="right"/>
              <w:ind w:right="104"/>
              <w:spacing w:after="0"/>
              <w:rPr>
                <w:sz w:val="20"/>
                <w:szCs w:val="20"/>
                <w:color w:val="auto"/>
              </w:rPr>
            </w:pPr>
            <w:r>
              <w:rPr>
                <w:rFonts w:ascii="Arial" w:cs="Arial" w:eastAsia="Arial" w:hAnsi="Arial"/>
                <w:sz w:val="19"/>
                <w:szCs w:val="19"/>
                <w:i w:val="1"/>
                <w:iCs w:val="1"/>
                <w:color w:val="auto"/>
                <w:w w:val="88"/>
              </w:rPr>
              <w:t>160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1160" w:type="dxa"/>
            <w:vAlign w:val="bottom"/>
          </w:tcPr>
          <w:p>
            <w:pPr>
              <w:spacing w:after="0"/>
              <w:rPr>
                <w:sz w:val="20"/>
                <w:szCs w:val="20"/>
                <w:color w:val="auto"/>
              </w:rPr>
            </w:pPr>
            <w:r>
              <w:rPr>
                <w:rFonts w:ascii="Arial" w:cs="Arial" w:eastAsia="Arial" w:hAnsi="Arial"/>
                <w:sz w:val="19"/>
                <w:szCs w:val="19"/>
                <w:i w:val="1"/>
                <w:iCs w:val="1"/>
                <w:color w:val="auto"/>
              </w:rPr>
              <w:t>Section 6.14.</w:t>
            </w:r>
          </w:p>
        </w:tc>
        <w:tc>
          <w:tcPr>
            <w:tcW w:w="2400" w:type="dxa"/>
            <w:vAlign w:val="bottom"/>
            <w:gridSpan w:val="7"/>
          </w:tcPr>
          <w:p>
            <w:pPr>
              <w:ind w:left="180"/>
              <w:spacing w:after="0"/>
              <w:rPr>
                <w:sz w:val="20"/>
                <w:szCs w:val="20"/>
                <w:color w:val="auto"/>
              </w:rPr>
            </w:pPr>
            <w:r>
              <w:rPr>
                <w:rFonts w:ascii="Arial" w:cs="Arial" w:eastAsia="Arial" w:hAnsi="Arial"/>
                <w:sz w:val="19"/>
                <w:szCs w:val="19"/>
                <w:i w:val="1"/>
                <w:iCs w:val="1"/>
                <w:color w:val="auto"/>
                <w:w w:val="99"/>
              </w:rPr>
              <w:t>Changes in Fiscal Periods</w:t>
            </w:r>
          </w:p>
        </w:tc>
        <w:tc>
          <w:tcPr>
            <w:tcW w:w="380" w:type="dxa"/>
            <w:vAlign w:val="bottom"/>
            <w:gridSpan w:val="2"/>
          </w:tcPr>
          <w:p>
            <w:pPr>
              <w:jc w:val="right"/>
              <w:spacing w:after="0"/>
              <w:rPr>
                <w:sz w:val="20"/>
                <w:szCs w:val="20"/>
                <w:color w:val="auto"/>
              </w:rPr>
            </w:pPr>
            <w:r>
              <w:rPr>
                <w:rFonts w:ascii="Arial" w:cs="Arial" w:eastAsia="Arial" w:hAnsi="Arial"/>
                <w:sz w:val="19"/>
                <w:szCs w:val="19"/>
                <w:i w:val="1"/>
                <w:iCs w:val="1"/>
                <w:color w:val="auto"/>
                <w:w w:val="88"/>
              </w:rPr>
              <w:t>161</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ectPr>
          <w:pgSz w:w="11900" w:h="16838" w:orient="portrait"/>
          <w:cols w:equalWidth="0" w:num="1">
            <w:col w:w="10219"/>
          </w:cols>
          <w:pgMar w:left="240" w:top="121" w:right="1440"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80" w:type="dxa"/>
            <w:vAlign w:val="bottom"/>
            <w:gridSpan w:val="3"/>
          </w:tcPr>
          <w:p>
            <w:pPr>
              <w:jc w:val="center"/>
              <w:spacing w:after="0"/>
              <w:rPr>
                <w:sz w:val="20"/>
                <w:szCs w:val="20"/>
                <w:color w:val="auto"/>
              </w:rPr>
            </w:pPr>
            <w:r>
              <w:rPr>
                <w:rFonts w:ascii="Arial" w:cs="Arial" w:eastAsia="Arial" w:hAnsi="Arial"/>
                <w:sz w:val="19"/>
                <w:szCs w:val="19"/>
                <w:color w:val="auto"/>
                <w:w w:val="97"/>
              </w:rPr>
              <w:t>ARTICLE 7 EVENTS OF DEFAULT</w:t>
            </w:r>
          </w:p>
        </w:tc>
        <w:tc>
          <w:tcPr>
            <w:tcW w:w="4000" w:type="dxa"/>
            <w:vAlign w:val="bottom"/>
          </w:tcPr>
          <w:p>
            <w:pPr>
              <w:jc w:val="right"/>
              <w:ind w:right="3424"/>
              <w:spacing w:after="0"/>
              <w:rPr>
                <w:sz w:val="20"/>
                <w:szCs w:val="20"/>
                <w:color w:val="auto"/>
              </w:rPr>
            </w:pPr>
            <w:r>
              <w:rPr>
                <w:rFonts w:ascii="Arial" w:cs="Arial" w:eastAsia="Arial" w:hAnsi="Arial"/>
                <w:sz w:val="19"/>
                <w:szCs w:val="19"/>
                <w:color w:val="auto"/>
              </w:rPr>
              <w:t>161</w:t>
            </w:r>
          </w:p>
        </w:tc>
      </w:tr>
      <w:tr>
        <w:trPr>
          <w:trHeight w:val="411"/>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7.01.</w:t>
            </w:r>
          </w:p>
        </w:tc>
        <w:tc>
          <w:tcPr>
            <w:tcW w:w="240" w:type="dxa"/>
            <w:vAlign w:val="bottom"/>
          </w:tcPr>
          <w:p>
            <w:pPr>
              <w:spacing w:after="0"/>
              <w:rPr>
                <w:sz w:val="24"/>
                <w:szCs w:val="24"/>
                <w:color w:val="auto"/>
              </w:rPr>
            </w:pPr>
          </w:p>
        </w:tc>
        <w:tc>
          <w:tcPr>
            <w:tcW w:w="2020" w:type="dxa"/>
            <w:vAlign w:val="bottom"/>
            <w:gridSpan w:val="6"/>
          </w:tcPr>
          <w:p>
            <w:pPr>
              <w:ind w:left="60"/>
              <w:spacing w:after="0"/>
              <w:rPr>
                <w:sz w:val="20"/>
                <w:szCs w:val="20"/>
                <w:color w:val="auto"/>
              </w:rPr>
            </w:pPr>
            <w:r>
              <w:rPr>
                <w:rFonts w:ascii="Arial" w:cs="Arial" w:eastAsia="Arial" w:hAnsi="Arial"/>
                <w:sz w:val="19"/>
                <w:szCs w:val="19"/>
                <w:i w:val="1"/>
                <w:iCs w:val="1"/>
                <w:color w:val="auto"/>
              </w:rPr>
              <w:t>Events of Default  161</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5"/>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7.02.</w:t>
            </w:r>
          </w:p>
        </w:tc>
        <w:tc>
          <w:tcPr>
            <w:tcW w:w="240" w:type="dxa"/>
            <w:vAlign w:val="bottom"/>
          </w:tcPr>
          <w:p>
            <w:pPr>
              <w:spacing w:after="0"/>
              <w:rPr>
                <w:sz w:val="21"/>
                <w:szCs w:val="21"/>
                <w:color w:val="auto"/>
              </w:rPr>
            </w:pPr>
          </w:p>
        </w:tc>
        <w:tc>
          <w:tcPr>
            <w:tcW w:w="1160" w:type="dxa"/>
            <w:vAlign w:val="bottom"/>
            <w:gridSpan w:val="3"/>
          </w:tcPr>
          <w:p>
            <w:pPr>
              <w:ind w:left="60"/>
              <w:spacing w:after="0"/>
              <w:rPr>
                <w:sz w:val="20"/>
                <w:szCs w:val="20"/>
                <w:color w:val="auto"/>
              </w:rPr>
            </w:pPr>
            <w:r>
              <w:rPr>
                <w:rFonts w:ascii="Arial" w:cs="Arial" w:eastAsia="Arial" w:hAnsi="Arial"/>
                <w:sz w:val="19"/>
                <w:szCs w:val="19"/>
                <w:i w:val="1"/>
                <w:iCs w:val="1"/>
                <w:color w:val="auto"/>
                <w:w w:val="96"/>
              </w:rPr>
              <w:t>Right to Cure</w:t>
            </w:r>
          </w:p>
        </w:tc>
        <w:tc>
          <w:tcPr>
            <w:tcW w:w="620" w:type="dxa"/>
            <w:vAlign w:val="bottom"/>
            <w:gridSpan w:val="2"/>
          </w:tcPr>
          <w:p>
            <w:pPr>
              <w:jc w:val="right"/>
              <w:ind w:right="104"/>
              <w:spacing w:after="0"/>
              <w:rPr>
                <w:sz w:val="20"/>
                <w:szCs w:val="20"/>
                <w:color w:val="auto"/>
              </w:rPr>
            </w:pPr>
            <w:r>
              <w:rPr>
                <w:rFonts w:ascii="Arial" w:cs="Arial" w:eastAsia="Arial" w:hAnsi="Arial"/>
                <w:sz w:val="19"/>
                <w:szCs w:val="19"/>
                <w:i w:val="1"/>
                <w:iCs w:val="1"/>
                <w:color w:val="auto"/>
              </w:rPr>
              <w:t>165</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33"/>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60" w:type="dxa"/>
            <w:vAlign w:val="bottom"/>
            <w:gridSpan w:val="7"/>
          </w:tcPr>
          <w:p>
            <w:pPr>
              <w:jc w:val="right"/>
              <w:ind w:right="2004"/>
              <w:spacing w:after="0"/>
              <w:rPr>
                <w:sz w:val="20"/>
                <w:szCs w:val="20"/>
                <w:color w:val="auto"/>
              </w:rPr>
            </w:pPr>
            <w:r>
              <w:rPr>
                <w:rFonts w:ascii="Arial" w:cs="Arial" w:eastAsia="Arial" w:hAnsi="Arial"/>
                <w:sz w:val="19"/>
                <w:szCs w:val="19"/>
                <w:color w:val="auto"/>
              </w:rPr>
              <w:t>ARTICLE 8 ADMINISTRATIVE AGENT AND COLLATERAL AGENT  166</w:t>
            </w:r>
          </w:p>
        </w:tc>
      </w:tr>
      <w:tr>
        <w:trPr>
          <w:trHeight w:val="411"/>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8.01.</w:t>
            </w:r>
          </w:p>
        </w:tc>
        <w:tc>
          <w:tcPr>
            <w:tcW w:w="24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9"/>
                <w:szCs w:val="19"/>
                <w:i w:val="1"/>
                <w:iCs w:val="1"/>
                <w:color w:val="auto"/>
              </w:rPr>
              <w:t>General</w:t>
            </w:r>
          </w:p>
        </w:tc>
        <w:tc>
          <w:tcPr>
            <w:tcW w:w="360" w:type="dxa"/>
            <w:vAlign w:val="bottom"/>
          </w:tcPr>
          <w:p>
            <w:pPr>
              <w:jc w:val="right"/>
              <w:spacing w:after="0"/>
              <w:rPr>
                <w:sz w:val="20"/>
                <w:szCs w:val="20"/>
                <w:color w:val="auto"/>
              </w:rPr>
            </w:pPr>
            <w:r>
              <w:rPr>
                <w:rFonts w:ascii="Arial" w:cs="Arial" w:eastAsia="Arial" w:hAnsi="Arial"/>
                <w:sz w:val="19"/>
                <w:szCs w:val="19"/>
                <w:i w:val="1"/>
                <w:iCs w:val="1"/>
                <w:color w:val="auto"/>
              </w:rPr>
              <w:t>166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5"/>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8.02.</w:t>
            </w:r>
          </w:p>
        </w:tc>
        <w:tc>
          <w:tcPr>
            <w:tcW w:w="240" w:type="dxa"/>
            <w:vAlign w:val="bottom"/>
          </w:tcPr>
          <w:p>
            <w:pPr>
              <w:spacing w:after="0"/>
              <w:rPr>
                <w:sz w:val="21"/>
                <w:szCs w:val="21"/>
                <w:color w:val="auto"/>
              </w:rPr>
            </w:pPr>
          </w:p>
        </w:tc>
        <w:tc>
          <w:tcPr>
            <w:tcW w:w="2020" w:type="dxa"/>
            <w:vAlign w:val="bottom"/>
            <w:gridSpan w:val="6"/>
          </w:tcPr>
          <w:p>
            <w:pPr>
              <w:ind w:left="60"/>
              <w:spacing w:after="0"/>
              <w:rPr>
                <w:sz w:val="20"/>
                <w:szCs w:val="20"/>
                <w:color w:val="auto"/>
              </w:rPr>
            </w:pPr>
            <w:r>
              <w:rPr>
                <w:rFonts w:ascii="Arial" w:cs="Arial" w:eastAsia="Arial" w:hAnsi="Arial"/>
                <w:sz w:val="19"/>
                <w:szCs w:val="19"/>
                <w:i w:val="1"/>
                <w:iCs w:val="1"/>
                <w:color w:val="auto"/>
              </w:rPr>
              <w:t>Certain ERISA Matters</w:t>
            </w:r>
          </w:p>
        </w:tc>
        <w:tc>
          <w:tcPr>
            <w:tcW w:w="660" w:type="dxa"/>
            <w:vAlign w:val="bottom"/>
          </w:tcPr>
          <w:p>
            <w:pPr>
              <w:jc w:val="right"/>
              <w:ind w:right="264"/>
              <w:spacing w:after="0"/>
              <w:rPr>
                <w:sz w:val="20"/>
                <w:szCs w:val="20"/>
                <w:color w:val="auto"/>
              </w:rPr>
            </w:pPr>
            <w:r>
              <w:rPr>
                <w:rFonts w:ascii="Arial" w:cs="Arial" w:eastAsia="Arial" w:hAnsi="Arial"/>
                <w:sz w:val="19"/>
                <w:szCs w:val="19"/>
                <w:i w:val="1"/>
                <w:iCs w:val="1"/>
                <w:color w:val="auto"/>
                <w:w w:val="88"/>
              </w:rPr>
              <w:t>171</w:t>
            </w: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33"/>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gridSpan w:val="3"/>
          </w:tcPr>
          <w:p>
            <w:pPr>
              <w:jc w:val="center"/>
              <w:spacing w:after="0"/>
              <w:rPr>
                <w:sz w:val="20"/>
                <w:szCs w:val="20"/>
                <w:color w:val="auto"/>
              </w:rPr>
            </w:pPr>
            <w:r>
              <w:rPr>
                <w:rFonts w:ascii="Arial" w:cs="Arial" w:eastAsia="Arial" w:hAnsi="Arial"/>
                <w:sz w:val="19"/>
                <w:szCs w:val="19"/>
                <w:color w:val="auto"/>
                <w:w w:val="98"/>
              </w:rPr>
              <w:t>ARTICLE 9 MISCELLANEOUS</w:t>
            </w:r>
          </w:p>
        </w:tc>
        <w:tc>
          <w:tcPr>
            <w:tcW w:w="4000" w:type="dxa"/>
            <w:vAlign w:val="bottom"/>
          </w:tcPr>
          <w:p>
            <w:pPr>
              <w:jc w:val="right"/>
              <w:ind w:right="3584"/>
              <w:spacing w:after="0"/>
              <w:rPr>
                <w:sz w:val="20"/>
                <w:szCs w:val="20"/>
                <w:color w:val="auto"/>
              </w:rPr>
            </w:pPr>
            <w:r>
              <w:rPr>
                <w:rFonts w:ascii="Arial" w:cs="Arial" w:eastAsia="Arial" w:hAnsi="Arial"/>
                <w:sz w:val="19"/>
                <w:szCs w:val="19"/>
                <w:color w:val="auto"/>
                <w:w w:val="94"/>
              </w:rPr>
              <w:t>172</w:t>
            </w:r>
          </w:p>
        </w:tc>
      </w:tr>
      <w:tr>
        <w:trPr>
          <w:trHeight w:val="411"/>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9.01.</w:t>
            </w:r>
          </w:p>
        </w:tc>
        <w:tc>
          <w:tcPr>
            <w:tcW w:w="24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9"/>
                <w:szCs w:val="19"/>
                <w:i w:val="1"/>
                <w:iCs w:val="1"/>
                <w:color w:val="auto"/>
              </w:rPr>
              <w:t>Notices</w:t>
            </w:r>
          </w:p>
        </w:tc>
        <w:tc>
          <w:tcPr>
            <w:tcW w:w="360" w:type="dxa"/>
            <w:vAlign w:val="bottom"/>
          </w:tcPr>
          <w:p>
            <w:pPr>
              <w:jc w:val="right"/>
              <w:spacing w:after="0"/>
              <w:rPr>
                <w:sz w:val="20"/>
                <w:szCs w:val="20"/>
                <w:color w:val="auto"/>
              </w:rPr>
            </w:pPr>
            <w:r>
              <w:rPr>
                <w:rFonts w:ascii="Arial" w:cs="Arial" w:eastAsia="Arial" w:hAnsi="Arial"/>
                <w:sz w:val="19"/>
                <w:szCs w:val="19"/>
                <w:i w:val="1"/>
                <w:iCs w:val="1"/>
                <w:color w:val="auto"/>
                <w:w w:val="88"/>
              </w:rPr>
              <w:t>172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9.02.</w:t>
            </w:r>
          </w:p>
        </w:tc>
        <w:tc>
          <w:tcPr>
            <w:tcW w:w="240" w:type="dxa"/>
            <w:vAlign w:val="bottom"/>
          </w:tcPr>
          <w:p>
            <w:pPr>
              <w:spacing w:after="0"/>
              <w:rPr>
                <w:sz w:val="19"/>
                <w:szCs w:val="19"/>
                <w:color w:val="auto"/>
              </w:rPr>
            </w:pPr>
          </w:p>
        </w:tc>
        <w:tc>
          <w:tcPr>
            <w:tcW w:w="1780" w:type="dxa"/>
            <w:vAlign w:val="bottom"/>
            <w:gridSpan w:val="5"/>
          </w:tcPr>
          <w:p>
            <w:pPr>
              <w:ind w:left="60"/>
              <w:spacing w:after="0"/>
              <w:rPr>
                <w:sz w:val="20"/>
                <w:szCs w:val="20"/>
                <w:color w:val="auto"/>
              </w:rPr>
            </w:pPr>
            <w:r>
              <w:rPr>
                <w:rFonts w:ascii="Arial" w:cs="Arial" w:eastAsia="Arial" w:hAnsi="Arial"/>
                <w:sz w:val="19"/>
                <w:szCs w:val="19"/>
                <w:i w:val="1"/>
                <w:iCs w:val="1"/>
                <w:color w:val="auto"/>
                <w:w w:val="88"/>
              </w:rPr>
              <w:t>Waivers; Amendments</w:t>
            </w:r>
          </w:p>
        </w:tc>
        <w:tc>
          <w:tcPr>
            <w:tcW w:w="900" w:type="dxa"/>
            <w:vAlign w:val="bottom"/>
            <w:gridSpan w:val="2"/>
          </w:tcPr>
          <w:p>
            <w:pPr>
              <w:jc w:val="right"/>
              <w:ind w:right="344"/>
              <w:spacing w:after="0"/>
              <w:rPr>
                <w:sz w:val="20"/>
                <w:szCs w:val="20"/>
                <w:color w:val="auto"/>
              </w:rPr>
            </w:pPr>
            <w:r>
              <w:rPr>
                <w:rFonts w:ascii="Arial" w:cs="Arial" w:eastAsia="Arial" w:hAnsi="Arial"/>
                <w:sz w:val="19"/>
                <w:szCs w:val="19"/>
                <w:i w:val="1"/>
                <w:iCs w:val="1"/>
                <w:color w:val="auto"/>
              </w:rPr>
              <w:t>174</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9.03.</w:t>
            </w:r>
          </w:p>
        </w:tc>
        <w:tc>
          <w:tcPr>
            <w:tcW w:w="240" w:type="dxa"/>
            <w:vAlign w:val="bottom"/>
          </w:tcPr>
          <w:p>
            <w:pPr>
              <w:spacing w:after="0"/>
              <w:rPr>
                <w:sz w:val="19"/>
                <w:szCs w:val="19"/>
                <w:color w:val="auto"/>
              </w:rPr>
            </w:pPr>
          </w:p>
        </w:tc>
        <w:tc>
          <w:tcPr>
            <w:tcW w:w="3180" w:type="dxa"/>
            <w:vAlign w:val="bottom"/>
            <w:gridSpan w:val="8"/>
          </w:tcPr>
          <w:p>
            <w:pPr>
              <w:ind w:left="60"/>
              <w:spacing w:after="0"/>
              <w:rPr>
                <w:sz w:val="20"/>
                <w:szCs w:val="20"/>
                <w:color w:val="auto"/>
              </w:rPr>
            </w:pPr>
            <w:r>
              <w:rPr>
                <w:rFonts w:ascii="Arial" w:cs="Arial" w:eastAsia="Arial" w:hAnsi="Arial"/>
                <w:sz w:val="19"/>
                <w:szCs w:val="19"/>
                <w:i w:val="1"/>
                <w:iCs w:val="1"/>
                <w:color w:val="auto"/>
                <w:w w:val="95"/>
              </w:rPr>
              <w:t>Expenses; Indemnity; Damage Waiver</w:t>
            </w:r>
          </w:p>
        </w:tc>
        <w:tc>
          <w:tcPr>
            <w:tcW w:w="1600" w:type="dxa"/>
            <w:vAlign w:val="bottom"/>
          </w:tcPr>
          <w:p>
            <w:pPr>
              <w:jc w:val="right"/>
              <w:ind w:right="1204"/>
              <w:spacing w:after="0"/>
              <w:rPr>
                <w:sz w:val="20"/>
                <w:szCs w:val="20"/>
                <w:color w:val="auto"/>
              </w:rPr>
            </w:pPr>
            <w:r>
              <w:rPr>
                <w:rFonts w:ascii="Arial" w:cs="Arial" w:eastAsia="Arial" w:hAnsi="Arial"/>
                <w:sz w:val="19"/>
                <w:szCs w:val="19"/>
                <w:i w:val="1"/>
                <w:iCs w:val="1"/>
                <w:color w:val="auto"/>
                <w:w w:val="88"/>
              </w:rPr>
              <w:t>178</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9.04.</w:t>
            </w:r>
          </w:p>
        </w:tc>
        <w:tc>
          <w:tcPr>
            <w:tcW w:w="240" w:type="dxa"/>
            <w:vAlign w:val="bottom"/>
          </w:tcPr>
          <w:p>
            <w:pPr>
              <w:spacing w:after="0"/>
              <w:rPr>
                <w:sz w:val="19"/>
                <w:szCs w:val="19"/>
                <w:color w:val="auto"/>
              </w:rPr>
            </w:pPr>
          </w:p>
        </w:tc>
        <w:tc>
          <w:tcPr>
            <w:tcW w:w="2020" w:type="dxa"/>
            <w:vAlign w:val="bottom"/>
            <w:gridSpan w:val="6"/>
          </w:tcPr>
          <w:p>
            <w:pPr>
              <w:ind w:left="60"/>
              <w:spacing w:after="0"/>
              <w:rPr>
                <w:sz w:val="20"/>
                <w:szCs w:val="20"/>
                <w:color w:val="auto"/>
              </w:rPr>
            </w:pPr>
            <w:r>
              <w:rPr>
                <w:rFonts w:ascii="Arial" w:cs="Arial" w:eastAsia="Arial" w:hAnsi="Arial"/>
                <w:sz w:val="19"/>
                <w:szCs w:val="19"/>
                <w:i w:val="1"/>
                <w:iCs w:val="1"/>
                <w:color w:val="auto"/>
                <w:w w:val="93"/>
              </w:rPr>
              <w:t>Successors and Assigns</w:t>
            </w:r>
          </w:p>
        </w:tc>
        <w:tc>
          <w:tcPr>
            <w:tcW w:w="660" w:type="dxa"/>
            <w:vAlign w:val="bottom"/>
          </w:tcPr>
          <w:p>
            <w:pPr>
              <w:jc w:val="right"/>
              <w:ind w:right="244"/>
              <w:spacing w:after="0"/>
              <w:rPr>
                <w:sz w:val="20"/>
                <w:szCs w:val="20"/>
                <w:color w:val="auto"/>
              </w:rPr>
            </w:pPr>
            <w:r>
              <w:rPr>
                <w:rFonts w:ascii="Arial" w:cs="Arial" w:eastAsia="Arial" w:hAnsi="Arial"/>
                <w:sz w:val="19"/>
                <w:szCs w:val="19"/>
                <w:i w:val="1"/>
                <w:iCs w:val="1"/>
                <w:color w:val="auto"/>
                <w:w w:val="94"/>
              </w:rPr>
              <w:t>180</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9.05.</w:t>
            </w:r>
          </w:p>
        </w:tc>
        <w:tc>
          <w:tcPr>
            <w:tcW w:w="24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9"/>
                <w:szCs w:val="19"/>
                <w:i w:val="1"/>
                <w:iCs w:val="1"/>
                <w:color w:val="auto"/>
              </w:rPr>
              <w:t>Survival</w:t>
            </w:r>
          </w:p>
        </w:tc>
        <w:tc>
          <w:tcPr>
            <w:tcW w:w="500" w:type="dxa"/>
            <w:vAlign w:val="bottom"/>
            <w:gridSpan w:val="2"/>
          </w:tcPr>
          <w:p>
            <w:pPr>
              <w:jc w:val="right"/>
              <w:ind w:right="24"/>
              <w:spacing w:after="0"/>
              <w:rPr>
                <w:sz w:val="20"/>
                <w:szCs w:val="20"/>
                <w:color w:val="auto"/>
              </w:rPr>
            </w:pPr>
            <w:r>
              <w:rPr>
                <w:rFonts w:ascii="Arial" w:cs="Arial" w:eastAsia="Arial" w:hAnsi="Arial"/>
                <w:sz w:val="19"/>
                <w:szCs w:val="19"/>
                <w:i w:val="1"/>
                <w:iCs w:val="1"/>
                <w:color w:val="auto"/>
              </w:rPr>
              <w:t>185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9.06.</w:t>
            </w:r>
          </w:p>
        </w:tc>
        <w:tc>
          <w:tcPr>
            <w:tcW w:w="240" w:type="dxa"/>
            <w:vAlign w:val="bottom"/>
          </w:tcPr>
          <w:p>
            <w:pPr>
              <w:spacing w:after="0"/>
              <w:rPr>
                <w:sz w:val="19"/>
                <w:szCs w:val="19"/>
                <w:color w:val="auto"/>
              </w:rPr>
            </w:pPr>
          </w:p>
        </w:tc>
        <w:tc>
          <w:tcPr>
            <w:tcW w:w="3180" w:type="dxa"/>
            <w:vAlign w:val="bottom"/>
            <w:gridSpan w:val="8"/>
          </w:tcPr>
          <w:p>
            <w:pPr>
              <w:ind w:left="60"/>
              <w:spacing w:after="0"/>
              <w:rPr>
                <w:sz w:val="20"/>
                <w:szCs w:val="20"/>
                <w:color w:val="auto"/>
              </w:rPr>
            </w:pPr>
            <w:r>
              <w:rPr>
                <w:rFonts w:ascii="Arial" w:cs="Arial" w:eastAsia="Arial" w:hAnsi="Arial"/>
                <w:sz w:val="19"/>
                <w:szCs w:val="19"/>
                <w:i w:val="1"/>
                <w:iCs w:val="1"/>
                <w:color w:val="auto"/>
                <w:w w:val="92"/>
              </w:rPr>
              <w:t>Counterparts; Integration; Effectiveness</w:t>
            </w:r>
          </w:p>
        </w:tc>
        <w:tc>
          <w:tcPr>
            <w:tcW w:w="1600" w:type="dxa"/>
            <w:vAlign w:val="bottom"/>
          </w:tcPr>
          <w:p>
            <w:pPr>
              <w:jc w:val="right"/>
              <w:ind w:right="1024"/>
              <w:spacing w:after="0"/>
              <w:rPr>
                <w:sz w:val="20"/>
                <w:szCs w:val="20"/>
                <w:color w:val="auto"/>
              </w:rPr>
            </w:pPr>
            <w:r>
              <w:rPr>
                <w:rFonts w:ascii="Arial" w:cs="Arial" w:eastAsia="Arial" w:hAnsi="Arial"/>
                <w:sz w:val="19"/>
                <w:szCs w:val="19"/>
                <w:i w:val="1"/>
                <w:iCs w:val="1"/>
                <w:color w:val="auto"/>
              </w:rPr>
              <w:t>185</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9.07.</w:t>
            </w:r>
          </w:p>
        </w:tc>
        <w:tc>
          <w:tcPr>
            <w:tcW w:w="24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9"/>
                <w:szCs w:val="19"/>
                <w:i w:val="1"/>
                <w:iCs w:val="1"/>
                <w:color w:val="auto"/>
              </w:rPr>
              <w:t>Severability</w:t>
            </w:r>
          </w:p>
        </w:tc>
        <w:tc>
          <w:tcPr>
            <w:tcW w:w="620" w:type="dxa"/>
            <w:vAlign w:val="bottom"/>
            <w:gridSpan w:val="2"/>
          </w:tcPr>
          <w:p>
            <w:pPr>
              <w:jc w:val="right"/>
              <w:ind w:right="224"/>
              <w:spacing w:after="0"/>
              <w:rPr>
                <w:sz w:val="20"/>
                <w:szCs w:val="20"/>
                <w:color w:val="auto"/>
              </w:rPr>
            </w:pPr>
            <w:r>
              <w:rPr>
                <w:rFonts w:ascii="Arial" w:cs="Arial" w:eastAsia="Arial" w:hAnsi="Arial"/>
                <w:sz w:val="19"/>
                <w:szCs w:val="19"/>
                <w:i w:val="1"/>
                <w:iCs w:val="1"/>
                <w:color w:val="auto"/>
                <w:w w:val="88"/>
              </w:rPr>
              <w:t>186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9.08.</w:t>
            </w:r>
          </w:p>
        </w:tc>
        <w:tc>
          <w:tcPr>
            <w:tcW w:w="24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9"/>
                <w:szCs w:val="19"/>
                <w:i w:val="1"/>
                <w:iCs w:val="1"/>
                <w:color w:val="auto"/>
                <w:w w:val="89"/>
              </w:rPr>
              <w:t>Right of Setoff</w:t>
            </w:r>
          </w:p>
        </w:tc>
        <w:tc>
          <w:tcPr>
            <w:tcW w:w="140" w:type="dxa"/>
            <w:vAlign w:val="bottom"/>
          </w:tcPr>
          <w:p>
            <w:pPr>
              <w:spacing w:after="0"/>
              <w:rPr>
                <w:sz w:val="19"/>
                <w:szCs w:val="19"/>
                <w:color w:val="auto"/>
              </w:rPr>
            </w:pPr>
          </w:p>
        </w:tc>
        <w:tc>
          <w:tcPr>
            <w:tcW w:w="480" w:type="dxa"/>
            <w:vAlign w:val="bottom"/>
          </w:tcPr>
          <w:p>
            <w:pPr>
              <w:jc w:val="right"/>
              <w:ind w:right="44"/>
              <w:spacing w:after="0"/>
              <w:rPr>
                <w:sz w:val="20"/>
                <w:szCs w:val="20"/>
                <w:color w:val="auto"/>
              </w:rPr>
            </w:pPr>
            <w:r>
              <w:rPr>
                <w:rFonts w:ascii="Arial" w:cs="Arial" w:eastAsia="Arial" w:hAnsi="Arial"/>
                <w:sz w:val="19"/>
                <w:szCs w:val="19"/>
                <w:i w:val="1"/>
                <w:iCs w:val="1"/>
                <w:color w:val="auto"/>
              </w:rPr>
              <w:t>186</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9.09.</w:t>
            </w:r>
          </w:p>
        </w:tc>
        <w:tc>
          <w:tcPr>
            <w:tcW w:w="240" w:type="dxa"/>
            <w:vAlign w:val="bottom"/>
          </w:tcPr>
          <w:p>
            <w:pPr>
              <w:spacing w:after="0"/>
              <w:rPr>
                <w:sz w:val="19"/>
                <w:szCs w:val="19"/>
                <w:color w:val="auto"/>
              </w:rPr>
            </w:pPr>
          </w:p>
        </w:tc>
        <w:tc>
          <w:tcPr>
            <w:tcW w:w="4780" w:type="dxa"/>
            <w:vAlign w:val="bottom"/>
            <w:gridSpan w:val="9"/>
          </w:tcPr>
          <w:p>
            <w:pPr>
              <w:ind w:left="60"/>
              <w:spacing w:after="0"/>
              <w:rPr>
                <w:sz w:val="20"/>
                <w:szCs w:val="20"/>
                <w:color w:val="auto"/>
              </w:rPr>
            </w:pPr>
            <w:r>
              <w:rPr>
                <w:rFonts w:ascii="Arial" w:cs="Arial" w:eastAsia="Arial" w:hAnsi="Arial"/>
                <w:sz w:val="19"/>
                <w:szCs w:val="19"/>
                <w:i w:val="1"/>
                <w:iCs w:val="1"/>
                <w:color w:val="auto"/>
                <w:w w:val="94"/>
              </w:rPr>
              <w:t>Governing Law; Jurisdiction; Consent to Service of Process</w:t>
            </w:r>
          </w:p>
        </w:tc>
        <w:tc>
          <w:tcPr>
            <w:tcW w:w="880" w:type="dxa"/>
            <w:vAlign w:val="bottom"/>
          </w:tcPr>
          <w:p>
            <w:pPr>
              <w:jc w:val="right"/>
              <w:ind w:right="404"/>
              <w:spacing w:after="0"/>
              <w:rPr>
                <w:sz w:val="20"/>
                <w:szCs w:val="20"/>
                <w:color w:val="auto"/>
              </w:rPr>
            </w:pPr>
            <w:r>
              <w:rPr>
                <w:rFonts w:ascii="Arial" w:cs="Arial" w:eastAsia="Arial" w:hAnsi="Arial"/>
                <w:sz w:val="19"/>
                <w:szCs w:val="19"/>
                <w:i w:val="1"/>
                <w:iCs w:val="1"/>
                <w:color w:val="auto"/>
              </w:rPr>
              <w:t>187</w:t>
            </w: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9.10.</w:t>
            </w:r>
          </w:p>
        </w:tc>
        <w:tc>
          <w:tcPr>
            <w:tcW w:w="240" w:type="dxa"/>
            <w:vAlign w:val="bottom"/>
          </w:tcPr>
          <w:p>
            <w:pPr>
              <w:spacing w:after="0"/>
              <w:rPr>
                <w:sz w:val="19"/>
                <w:szCs w:val="19"/>
                <w:color w:val="auto"/>
              </w:rPr>
            </w:pPr>
          </w:p>
        </w:tc>
        <w:tc>
          <w:tcPr>
            <w:tcW w:w="1780" w:type="dxa"/>
            <w:vAlign w:val="bottom"/>
            <w:gridSpan w:val="5"/>
          </w:tcPr>
          <w:p>
            <w:pPr>
              <w:ind w:left="60"/>
              <w:spacing w:after="0"/>
              <w:rPr>
                <w:sz w:val="20"/>
                <w:szCs w:val="20"/>
                <w:color w:val="auto"/>
              </w:rPr>
            </w:pPr>
            <w:r>
              <w:rPr>
                <w:rFonts w:ascii="Arial" w:cs="Arial" w:eastAsia="Arial" w:hAnsi="Arial"/>
                <w:sz w:val="19"/>
                <w:szCs w:val="19"/>
                <w:i w:val="1"/>
                <w:iCs w:val="1"/>
                <w:color w:val="auto"/>
              </w:rPr>
              <w:t>Waiver of Jury Trial</w:t>
            </w:r>
          </w:p>
        </w:tc>
        <w:tc>
          <w:tcPr>
            <w:tcW w:w="900" w:type="dxa"/>
            <w:vAlign w:val="bottom"/>
            <w:gridSpan w:val="2"/>
          </w:tcPr>
          <w:p>
            <w:pPr>
              <w:jc w:val="right"/>
              <w:ind w:right="504"/>
              <w:spacing w:after="0"/>
              <w:rPr>
                <w:sz w:val="20"/>
                <w:szCs w:val="20"/>
                <w:color w:val="auto"/>
              </w:rPr>
            </w:pPr>
            <w:r>
              <w:rPr>
                <w:rFonts w:ascii="Arial" w:cs="Arial" w:eastAsia="Arial" w:hAnsi="Arial"/>
                <w:sz w:val="19"/>
                <w:szCs w:val="19"/>
                <w:i w:val="1"/>
                <w:iCs w:val="1"/>
                <w:color w:val="auto"/>
                <w:w w:val="88"/>
              </w:rPr>
              <w:t>187</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9.11.</w:t>
            </w:r>
          </w:p>
        </w:tc>
        <w:tc>
          <w:tcPr>
            <w:tcW w:w="24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9"/>
                <w:szCs w:val="19"/>
                <w:i w:val="1"/>
                <w:iCs w:val="1"/>
                <w:color w:val="auto"/>
                <w:w w:val="89"/>
              </w:rPr>
              <w:t>Headings</w:t>
            </w:r>
          </w:p>
        </w:tc>
        <w:tc>
          <w:tcPr>
            <w:tcW w:w="500" w:type="dxa"/>
            <w:vAlign w:val="bottom"/>
            <w:gridSpan w:val="2"/>
          </w:tcPr>
          <w:p>
            <w:pPr>
              <w:jc w:val="right"/>
              <w:spacing w:after="0"/>
              <w:rPr>
                <w:sz w:val="20"/>
                <w:szCs w:val="20"/>
                <w:color w:val="auto"/>
              </w:rPr>
            </w:pPr>
            <w:r>
              <w:rPr>
                <w:rFonts w:ascii="Arial" w:cs="Arial" w:eastAsia="Arial" w:hAnsi="Arial"/>
                <w:sz w:val="19"/>
                <w:szCs w:val="19"/>
                <w:i w:val="1"/>
                <w:iCs w:val="1"/>
                <w:color w:val="auto"/>
              </w:rPr>
              <w:t>188</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9.12.</w:t>
            </w:r>
          </w:p>
        </w:tc>
        <w:tc>
          <w:tcPr>
            <w:tcW w:w="240" w:type="dxa"/>
            <w:vAlign w:val="bottom"/>
          </w:tcPr>
          <w:p>
            <w:pPr>
              <w:spacing w:after="0"/>
              <w:rPr>
                <w:sz w:val="19"/>
                <w:szCs w:val="19"/>
                <w:color w:val="auto"/>
              </w:rPr>
            </w:pPr>
          </w:p>
        </w:tc>
        <w:tc>
          <w:tcPr>
            <w:tcW w:w="1300" w:type="dxa"/>
            <w:vAlign w:val="bottom"/>
            <w:gridSpan w:val="4"/>
          </w:tcPr>
          <w:p>
            <w:pPr>
              <w:ind w:left="60"/>
              <w:spacing w:after="0"/>
              <w:rPr>
                <w:sz w:val="20"/>
                <w:szCs w:val="20"/>
                <w:color w:val="auto"/>
              </w:rPr>
            </w:pPr>
            <w:r>
              <w:rPr>
                <w:rFonts w:ascii="Arial" w:cs="Arial" w:eastAsia="Arial" w:hAnsi="Arial"/>
                <w:sz w:val="19"/>
                <w:szCs w:val="19"/>
                <w:i w:val="1"/>
                <w:iCs w:val="1"/>
                <w:color w:val="auto"/>
              </w:rPr>
              <w:t>Confidentiality</w:t>
            </w:r>
          </w:p>
        </w:tc>
        <w:tc>
          <w:tcPr>
            <w:tcW w:w="480" w:type="dxa"/>
            <w:vAlign w:val="bottom"/>
          </w:tcPr>
          <w:p>
            <w:pPr>
              <w:jc w:val="right"/>
              <w:ind w:right="4"/>
              <w:spacing w:after="0"/>
              <w:rPr>
                <w:sz w:val="20"/>
                <w:szCs w:val="20"/>
                <w:color w:val="auto"/>
              </w:rPr>
            </w:pPr>
            <w:r>
              <w:rPr>
                <w:rFonts w:ascii="Arial" w:cs="Arial" w:eastAsia="Arial" w:hAnsi="Arial"/>
                <w:sz w:val="19"/>
                <w:szCs w:val="19"/>
                <w:i w:val="1"/>
                <w:iCs w:val="1"/>
                <w:color w:val="auto"/>
              </w:rPr>
              <w:t>188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9.13.</w:t>
            </w:r>
          </w:p>
        </w:tc>
        <w:tc>
          <w:tcPr>
            <w:tcW w:w="240" w:type="dxa"/>
            <w:vAlign w:val="bottom"/>
          </w:tcPr>
          <w:p>
            <w:pPr>
              <w:spacing w:after="0"/>
              <w:rPr>
                <w:sz w:val="19"/>
                <w:szCs w:val="19"/>
                <w:color w:val="auto"/>
              </w:rPr>
            </w:pPr>
          </w:p>
        </w:tc>
        <w:tc>
          <w:tcPr>
            <w:tcW w:w="1300" w:type="dxa"/>
            <w:vAlign w:val="bottom"/>
            <w:gridSpan w:val="4"/>
          </w:tcPr>
          <w:p>
            <w:pPr>
              <w:ind w:left="60"/>
              <w:spacing w:after="0"/>
              <w:rPr>
                <w:sz w:val="20"/>
                <w:szCs w:val="20"/>
                <w:color w:val="auto"/>
              </w:rPr>
            </w:pPr>
            <w:r>
              <w:rPr>
                <w:rFonts w:ascii="Arial" w:cs="Arial" w:eastAsia="Arial" w:hAnsi="Arial"/>
                <w:sz w:val="19"/>
                <w:szCs w:val="19"/>
                <w:i w:val="1"/>
                <w:iCs w:val="1"/>
                <w:color w:val="auto"/>
                <w:w w:val="92"/>
              </w:rPr>
              <w:t>USA Patriot Act</w:t>
            </w:r>
          </w:p>
        </w:tc>
        <w:tc>
          <w:tcPr>
            <w:tcW w:w="480" w:type="dxa"/>
            <w:vAlign w:val="bottom"/>
          </w:tcPr>
          <w:p>
            <w:pPr>
              <w:jc w:val="right"/>
              <w:spacing w:after="0"/>
              <w:rPr>
                <w:sz w:val="20"/>
                <w:szCs w:val="20"/>
                <w:color w:val="auto"/>
              </w:rPr>
            </w:pPr>
            <w:r>
              <w:rPr>
                <w:rFonts w:ascii="Arial" w:cs="Arial" w:eastAsia="Arial" w:hAnsi="Arial"/>
                <w:sz w:val="19"/>
                <w:szCs w:val="19"/>
                <w:i w:val="1"/>
                <w:iCs w:val="1"/>
                <w:color w:val="auto"/>
              </w:rPr>
              <w:t>189</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9.14.</w:t>
            </w:r>
          </w:p>
        </w:tc>
        <w:tc>
          <w:tcPr>
            <w:tcW w:w="240" w:type="dxa"/>
            <w:vAlign w:val="bottom"/>
          </w:tcPr>
          <w:p>
            <w:pPr>
              <w:spacing w:after="0"/>
              <w:rPr>
                <w:sz w:val="19"/>
                <w:szCs w:val="19"/>
                <w:color w:val="auto"/>
              </w:rPr>
            </w:pPr>
          </w:p>
        </w:tc>
        <w:tc>
          <w:tcPr>
            <w:tcW w:w="2680" w:type="dxa"/>
            <w:vAlign w:val="bottom"/>
            <w:gridSpan w:val="7"/>
          </w:tcPr>
          <w:p>
            <w:pPr>
              <w:ind w:left="60"/>
              <w:spacing w:after="0"/>
              <w:rPr>
                <w:sz w:val="20"/>
                <w:szCs w:val="20"/>
                <w:color w:val="auto"/>
              </w:rPr>
            </w:pPr>
            <w:r>
              <w:rPr>
                <w:rFonts w:ascii="Arial" w:cs="Arial" w:eastAsia="Arial" w:hAnsi="Arial"/>
                <w:sz w:val="19"/>
                <w:szCs w:val="19"/>
                <w:i w:val="1"/>
                <w:iCs w:val="1"/>
                <w:color w:val="auto"/>
                <w:w w:val="91"/>
              </w:rPr>
              <w:t>Release of Liens and Guarantees</w:t>
            </w:r>
          </w:p>
        </w:tc>
        <w:tc>
          <w:tcPr>
            <w:tcW w:w="500" w:type="dxa"/>
            <w:vAlign w:val="bottom"/>
          </w:tcPr>
          <w:p>
            <w:pPr>
              <w:jc w:val="right"/>
              <w:ind w:right="4"/>
              <w:spacing w:after="0"/>
              <w:rPr>
                <w:sz w:val="20"/>
                <w:szCs w:val="20"/>
                <w:color w:val="auto"/>
              </w:rPr>
            </w:pPr>
            <w:r>
              <w:rPr>
                <w:rFonts w:ascii="Arial" w:cs="Arial" w:eastAsia="Arial" w:hAnsi="Arial"/>
                <w:sz w:val="19"/>
                <w:szCs w:val="19"/>
                <w:i w:val="1"/>
                <w:iCs w:val="1"/>
                <w:color w:val="auto"/>
              </w:rPr>
              <w:t>190</w:t>
            </w: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9.15.</w:t>
            </w:r>
          </w:p>
        </w:tc>
        <w:tc>
          <w:tcPr>
            <w:tcW w:w="240" w:type="dxa"/>
            <w:vAlign w:val="bottom"/>
          </w:tcPr>
          <w:p>
            <w:pPr>
              <w:spacing w:after="0"/>
              <w:rPr>
                <w:sz w:val="19"/>
                <w:szCs w:val="19"/>
                <w:color w:val="auto"/>
              </w:rPr>
            </w:pPr>
          </w:p>
        </w:tc>
        <w:tc>
          <w:tcPr>
            <w:tcW w:w="3180" w:type="dxa"/>
            <w:vAlign w:val="bottom"/>
            <w:gridSpan w:val="8"/>
          </w:tcPr>
          <w:p>
            <w:pPr>
              <w:ind w:left="60"/>
              <w:spacing w:after="0"/>
              <w:rPr>
                <w:sz w:val="20"/>
                <w:szCs w:val="20"/>
                <w:color w:val="auto"/>
              </w:rPr>
            </w:pPr>
            <w:r>
              <w:rPr>
                <w:rFonts w:ascii="Arial" w:cs="Arial" w:eastAsia="Arial" w:hAnsi="Arial"/>
                <w:sz w:val="19"/>
                <w:szCs w:val="19"/>
                <w:i w:val="1"/>
                <w:iCs w:val="1"/>
                <w:color w:val="auto"/>
                <w:w w:val="94"/>
              </w:rPr>
              <w:t>No Advisory or Fiduciary Responsibility</w:t>
            </w:r>
          </w:p>
        </w:tc>
        <w:tc>
          <w:tcPr>
            <w:tcW w:w="1600" w:type="dxa"/>
            <w:vAlign w:val="bottom"/>
          </w:tcPr>
          <w:p>
            <w:pPr>
              <w:jc w:val="right"/>
              <w:ind w:right="1024"/>
              <w:spacing w:after="0"/>
              <w:rPr>
                <w:sz w:val="20"/>
                <w:szCs w:val="20"/>
                <w:color w:val="auto"/>
              </w:rPr>
            </w:pPr>
            <w:r>
              <w:rPr>
                <w:rFonts w:ascii="Arial" w:cs="Arial" w:eastAsia="Arial" w:hAnsi="Arial"/>
                <w:sz w:val="19"/>
                <w:szCs w:val="19"/>
                <w:i w:val="1"/>
                <w:iCs w:val="1"/>
                <w:color w:val="auto"/>
              </w:rPr>
              <w:t>191</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9.16.</w:t>
            </w:r>
          </w:p>
        </w:tc>
        <w:tc>
          <w:tcPr>
            <w:tcW w:w="240" w:type="dxa"/>
            <w:vAlign w:val="bottom"/>
          </w:tcPr>
          <w:p>
            <w:pPr>
              <w:spacing w:after="0"/>
              <w:rPr>
                <w:sz w:val="19"/>
                <w:szCs w:val="19"/>
                <w:color w:val="auto"/>
              </w:rPr>
            </w:pPr>
          </w:p>
        </w:tc>
        <w:tc>
          <w:tcPr>
            <w:tcW w:w="2020" w:type="dxa"/>
            <w:vAlign w:val="bottom"/>
            <w:gridSpan w:val="6"/>
          </w:tcPr>
          <w:p>
            <w:pPr>
              <w:ind w:left="60"/>
              <w:spacing w:after="0"/>
              <w:rPr>
                <w:sz w:val="20"/>
                <w:szCs w:val="20"/>
                <w:color w:val="auto"/>
              </w:rPr>
            </w:pPr>
            <w:r>
              <w:rPr>
                <w:rFonts w:ascii="Arial" w:cs="Arial" w:eastAsia="Arial" w:hAnsi="Arial"/>
                <w:sz w:val="19"/>
                <w:szCs w:val="19"/>
                <w:i w:val="1"/>
                <w:iCs w:val="1"/>
                <w:color w:val="auto"/>
                <w:w w:val="99"/>
              </w:rPr>
              <w:t>Interest Rate Limitation</w:t>
            </w:r>
          </w:p>
        </w:tc>
        <w:tc>
          <w:tcPr>
            <w:tcW w:w="660" w:type="dxa"/>
            <w:vAlign w:val="bottom"/>
          </w:tcPr>
          <w:p>
            <w:pPr>
              <w:jc w:val="right"/>
              <w:ind w:right="224"/>
              <w:spacing w:after="0"/>
              <w:rPr>
                <w:sz w:val="20"/>
                <w:szCs w:val="20"/>
                <w:color w:val="auto"/>
              </w:rPr>
            </w:pPr>
            <w:r>
              <w:rPr>
                <w:rFonts w:ascii="Arial" w:cs="Arial" w:eastAsia="Arial" w:hAnsi="Arial"/>
                <w:sz w:val="19"/>
                <w:szCs w:val="19"/>
                <w:i w:val="1"/>
                <w:iCs w:val="1"/>
                <w:color w:val="auto"/>
              </w:rPr>
              <w:t>191</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9.17.</w:t>
            </w:r>
          </w:p>
        </w:tc>
        <w:tc>
          <w:tcPr>
            <w:tcW w:w="24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9"/>
                <w:szCs w:val="19"/>
                <w:i w:val="1"/>
                <w:iCs w:val="1"/>
                <w:color w:val="auto"/>
                <w:w w:val="92"/>
              </w:rPr>
              <w:t>Lender Action</w:t>
            </w:r>
          </w:p>
        </w:tc>
        <w:tc>
          <w:tcPr>
            <w:tcW w:w="140" w:type="dxa"/>
            <w:vAlign w:val="bottom"/>
          </w:tcPr>
          <w:p>
            <w:pPr>
              <w:spacing w:after="0"/>
              <w:rPr>
                <w:sz w:val="19"/>
                <w:szCs w:val="19"/>
                <w:color w:val="auto"/>
              </w:rPr>
            </w:pPr>
          </w:p>
        </w:tc>
        <w:tc>
          <w:tcPr>
            <w:tcW w:w="480" w:type="dxa"/>
            <w:vAlign w:val="bottom"/>
          </w:tcPr>
          <w:p>
            <w:pPr>
              <w:jc w:val="right"/>
              <w:ind w:right="64"/>
              <w:spacing w:after="0"/>
              <w:rPr>
                <w:sz w:val="20"/>
                <w:szCs w:val="20"/>
                <w:color w:val="auto"/>
              </w:rPr>
            </w:pPr>
            <w:r>
              <w:rPr>
                <w:rFonts w:ascii="Arial" w:cs="Arial" w:eastAsia="Arial" w:hAnsi="Arial"/>
                <w:sz w:val="19"/>
                <w:szCs w:val="19"/>
                <w:i w:val="1"/>
                <w:iCs w:val="1"/>
                <w:color w:val="auto"/>
                <w:w w:val="94"/>
              </w:rPr>
              <w:t>191</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9.18.</w:t>
            </w:r>
          </w:p>
        </w:tc>
        <w:tc>
          <w:tcPr>
            <w:tcW w:w="240" w:type="dxa"/>
            <w:vAlign w:val="bottom"/>
          </w:tcPr>
          <w:p>
            <w:pPr>
              <w:spacing w:after="0"/>
              <w:rPr>
                <w:sz w:val="19"/>
                <w:szCs w:val="19"/>
                <w:color w:val="auto"/>
              </w:rPr>
            </w:pPr>
          </w:p>
        </w:tc>
        <w:tc>
          <w:tcPr>
            <w:tcW w:w="2680" w:type="dxa"/>
            <w:vAlign w:val="bottom"/>
            <w:gridSpan w:val="7"/>
          </w:tcPr>
          <w:p>
            <w:pPr>
              <w:ind w:left="60"/>
              <w:spacing w:after="0"/>
              <w:rPr>
                <w:sz w:val="20"/>
                <w:szCs w:val="20"/>
                <w:color w:val="auto"/>
              </w:rPr>
            </w:pPr>
            <w:r>
              <w:rPr>
                <w:rFonts w:ascii="Arial" w:cs="Arial" w:eastAsia="Arial" w:hAnsi="Arial"/>
                <w:sz w:val="19"/>
                <w:szCs w:val="19"/>
                <w:i w:val="1"/>
                <w:iCs w:val="1"/>
                <w:color w:val="auto"/>
                <w:w w:val="93"/>
              </w:rPr>
              <w:t>Marshalling; Payments Set Aside</w:t>
            </w:r>
          </w:p>
        </w:tc>
        <w:tc>
          <w:tcPr>
            <w:tcW w:w="500" w:type="dxa"/>
            <w:vAlign w:val="bottom"/>
          </w:tcPr>
          <w:p>
            <w:pPr>
              <w:jc w:val="right"/>
              <w:spacing w:after="0"/>
              <w:rPr>
                <w:sz w:val="20"/>
                <w:szCs w:val="20"/>
                <w:color w:val="auto"/>
              </w:rPr>
            </w:pPr>
            <w:r>
              <w:rPr>
                <w:rFonts w:ascii="Arial" w:cs="Arial" w:eastAsia="Arial" w:hAnsi="Arial"/>
                <w:sz w:val="19"/>
                <w:szCs w:val="19"/>
                <w:i w:val="1"/>
                <w:iCs w:val="1"/>
                <w:color w:val="auto"/>
              </w:rPr>
              <w:t>192</w:t>
            </w: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9.19.</w:t>
            </w:r>
          </w:p>
        </w:tc>
        <w:tc>
          <w:tcPr>
            <w:tcW w:w="240" w:type="dxa"/>
            <w:vAlign w:val="bottom"/>
          </w:tcPr>
          <w:p>
            <w:pPr>
              <w:spacing w:after="0"/>
              <w:rPr>
                <w:sz w:val="19"/>
                <w:szCs w:val="19"/>
                <w:color w:val="auto"/>
              </w:rPr>
            </w:pPr>
          </w:p>
        </w:tc>
        <w:tc>
          <w:tcPr>
            <w:tcW w:w="2020" w:type="dxa"/>
            <w:vAlign w:val="bottom"/>
            <w:gridSpan w:val="6"/>
          </w:tcPr>
          <w:p>
            <w:pPr>
              <w:ind w:left="60"/>
              <w:spacing w:after="0"/>
              <w:rPr>
                <w:sz w:val="20"/>
                <w:szCs w:val="20"/>
                <w:color w:val="auto"/>
              </w:rPr>
            </w:pPr>
            <w:r>
              <w:rPr>
                <w:rFonts w:ascii="Arial" w:cs="Arial" w:eastAsia="Arial" w:hAnsi="Arial"/>
                <w:sz w:val="19"/>
                <w:szCs w:val="19"/>
                <w:i w:val="1"/>
                <w:iCs w:val="1"/>
                <w:color w:val="auto"/>
                <w:w w:val="96"/>
              </w:rPr>
              <w:t>Margin Stock; Collateral</w:t>
            </w:r>
          </w:p>
        </w:tc>
        <w:tc>
          <w:tcPr>
            <w:tcW w:w="660" w:type="dxa"/>
            <w:vAlign w:val="bottom"/>
          </w:tcPr>
          <w:p>
            <w:pPr>
              <w:jc w:val="right"/>
              <w:ind w:right="124"/>
              <w:spacing w:after="0"/>
              <w:rPr>
                <w:sz w:val="20"/>
                <w:szCs w:val="20"/>
                <w:color w:val="auto"/>
              </w:rPr>
            </w:pPr>
            <w:r>
              <w:rPr>
                <w:rFonts w:ascii="Arial" w:cs="Arial" w:eastAsia="Arial" w:hAnsi="Arial"/>
                <w:sz w:val="19"/>
                <w:szCs w:val="19"/>
                <w:i w:val="1"/>
                <w:iCs w:val="1"/>
                <w:color w:val="auto"/>
              </w:rPr>
              <w:t>192</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45"/>
        </w:trPr>
        <w:tc>
          <w:tcPr>
            <w:tcW w:w="1040" w:type="dxa"/>
            <w:vAlign w:val="bottom"/>
          </w:tcPr>
          <w:p>
            <w:pPr>
              <w:spacing w:after="0"/>
              <w:rPr>
                <w:sz w:val="20"/>
                <w:szCs w:val="20"/>
                <w:color w:val="auto"/>
              </w:rPr>
            </w:pPr>
            <w:r>
              <w:rPr>
                <w:rFonts w:ascii="Arial" w:cs="Arial" w:eastAsia="Arial" w:hAnsi="Arial"/>
                <w:sz w:val="19"/>
                <w:szCs w:val="19"/>
                <w:i w:val="1"/>
                <w:iCs w:val="1"/>
                <w:color w:val="auto"/>
                <w:w w:val="91"/>
              </w:rPr>
              <w:t>Section 9.20.</w:t>
            </w:r>
          </w:p>
        </w:tc>
        <w:tc>
          <w:tcPr>
            <w:tcW w:w="240" w:type="dxa"/>
            <w:vAlign w:val="bottom"/>
          </w:tcPr>
          <w:p>
            <w:pPr>
              <w:spacing w:after="0"/>
              <w:rPr>
                <w:sz w:val="21"/>
                <w:szCs w:val="21"/>
                <w:color w:val="auto"/>
              </w:rPr>
            </w:pPr>
          </w:p>
        </w:tc>
        <w:tc>
          <w:tcPr>
            <w:tcW w:w="5660" w:type="dxa"/>
            <w:vAlign w:val="bottom"/>
            <w:gridSpan w:val="10"/>
          </w:tcPr>
          <w:p>
            <w:pPr>
              <w:ind w:left="60"/>
              <w:spacing w:after="0"/>
              <w:rPr>
                <w:sz w:val="20"/>
                <w:szCs w:val="20"/>
                <w:color w:val="auto"/>
              </w:rPr>
            </w:pPr>
            <w:r>
              <w:rPr>
                <w:rFonts w:ascii="Arial" w:cs="Arial" w:eastAsia="Arial" w:hAnsi="Arial"/>
                <w:sz w:val="19"/>
                <w:szCs w:val="19"/>
                <w:i w:val="1"/>
                <w:iCs w:val="1"/>
                <w:color w:val="auto"/>
                <w:w w:val="94"/>
              </w:rPr>
              <w:t>Acknowledgement and Consent to Bail-in of EEA Financial Institutions</w:t>
            </w:r>
          </w:p>
        </w:tc>
        <w:tc>
          <w:tcPr>
            <w:tcW w:w="4000" w:type="dxa"/>
            <w:vAlign w:val="bottom"/>
          </w:tcPr>
          <w:p>
            <w:pPr>
              <w:jc w:val="right"/>
              <w:ind w:right="3524"/>
              <w:spacing w:after="0"/>
              <w:rPr>
                <w:sz w:val="20"/>
                <w:szCs w:val="20"/>
                <w:color w:val="auto"/>
              </w:rPr>
            </w:pPr>
            <w:r>
              <w:rPr>
                <w:rFonts w:ascii="Arial" w:cs="Arial" w:eastAsia="Arial" w:hAnsi="Arial"/>
                <w:sz w:val="19"/>
                <w:szCs w:val="19"/>
                <w:i w:val="1"/>
                <w:iCs w:val="1"/>
                <w:color w:val="auto"/>
              </w:rPr>
              <w:t>192</w:t>
            </w:r>
          </w:p>
        </w:tc>
      </w:tr>
      <w:tr>
        <w:trPr>
          <w:trHeight w:val="446"/>
        </w:trPr>
        <w:tc>
          <w:tcPr>
            <w:tcW w:w="1280" w:type="dxa"/>
            <w:vAlign w:val="bottom"/>
            <w:gridSpan w:val="2"/>
          </w:tcPr>
          <w:p>
            <w:pPr>
              <w:spacing w:after="0"/>
              <w:rPr>
                <w:sz w:val="20"/>
                <w:szCs w:val="20"/>
                <w:color w:val="auto"/>
              </w:rPr>
            </w:pPr>
            <w:r>
              <w:rPr>
                <w:rFonts w:ascii="Arial" w:cs="Arial" w:eastAsia="Arial" w:hAnsi="Arial"/>
                <w:sz w:val="19"/>
                <w:szCs w:val="19"/>
                <w:b w:val="1"/>
                <w:bCs w:val="1"/>
                <w:color w:val="auto"/>
              </w:rPr>
              <w:t>SCHEDULES: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11"/>
        </w:trPr>
        <w:tc>
          <w:tcPr>
            <w:tcW w:w="3960" w:type="dxa"/>
            <w:vAlign w:val="bottom"/>
            <w:gridSpan w:val="9"/>
          </w:tcPr>
          <w:p>
            <w:pPr>
              <w:spacing w:after="0"/>
              <w:rPr>
                <w:sz w:val="20"/>
                <w:szCs w:val="20"/>
                <w:color w:val="auto"/>
              </w:rPr>
            </w:pPr>
            <w:r>
              <w:rPr>
                <w:rFonts w:ascii="Arial" w:cs="Arial" w:eastAsia="Arial" w:hAnsi="Arial"/>
                <w:sz w:val="19"/>
                <w:szCs w:val="19"/>
                <w:color w:val="auto"/>
              </w:rPr>
              <w:t>Schedule 1.01(a)  —  Disqualified Lenders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Schedule 1.01(b)  —  Acquisition Term Loans; Refinancing Term Loans</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9"/>
                <w:szCs w:val="19"/>
                <w:color w:val="auto"/>
              </w:rPr>
              <w:t>Schedule 2.01</w:t>
            </w: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1380" w:type="dxa"/>
            <w:vAlign w:val="bottom"/>
            <w:gridSpan w:val="4"/>
          </w:tcPr>
          <w:p>
            <w:pPr>
              <w:spacing w:after="0"/>
              <w:rPr>
                <w:sz w:val="20"/>
                <w:szCs w:val="20"/>
                <w:color w:val="auto"/>
              </w:rPr>
            </w:pPr>
            <w:r>
              <w:rPr>
                <w:rFonts w:ascii="Arial" w:cs="Arial" w:eastAsia="Arial" w:hAnsi="Arial"/>
                <w:sz w:val="19"/>
                <w:szCs w:val="19"/>
                <w:color w:val="auto"/>
              </w:rPr>
              <w:t>Commitments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9"/>
                <w:szCs w:val="19"/>
                <w:color w:val="auto"/>
              </w:rPr>
              <w:t>Schedule 3.12</w:t>
            </w: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1380" w:type="dxa"/>
            <w:vAlign w:val="bottom"/>
            <w:gridSpan w:val="4"/>
          </w:tcPr>
          <w:p>
            <w:pPr>
              <w:spacing w:after="0"/>
              <w:rPr>
                <w:sz w:val="20"/>
                <w:szCs w:val="20"/>
                <w:color w:val="auto"/>
              </w:rPr>
            </w:pPr>
            <w:r>
              <w:rPr>
                <w:rFonts w:ascii="Arial" w:cs="Arial" w:eastAsia="Arial" w:hAnsi="Arial"/>
                <w:sz w:val="19"/>
                <w:szCs w:val="19"/>
                <w:color w:val="auto"/>
              </w:rPr>
              <w:t>Subsidiaries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Schedule 3.18  —  Regulatory Status and Memberships Held</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Schedule 5.16  —  Post-Closing Obligations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Schedule 6.01  —  Existing Indebtedness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060" w:type="dxa"/>
            <w:vAlign w:val="bottom"/>
            <w:gridSpan w:val="7"/>
          </w:tcPr>
          <w:p>
            <w:pPr>
              <w:spacing w:after="0"/>
              <w:rPr>
                <w:sz w:val="20"/>
                <w:szCs w:val="20"/>
                <w:color w:val="auto"/>
              </w:rPr>
            </w:pPr>
            <w:r>
              <w:rPr>
                <w:rFonts w:ascii="Arial" w:cs="Arial" w:eastAsia="Arial" w:hAnsi="Arial"/>
                <w:sz w:val="19"/>
                <w:szCs w:val="19"/>
                <w:color w:val="auto"/>
              </w:rPr>
              <w:t>Schedule 6.02  —  Existing Liens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Schedule 6.04(e)  —  Existing Investments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9"/>
                <w:szCs w:val="19"/>
                <w:color w:val="auto"/>
              </w:rPr>
              <w:t>Schedule 6.05</w:t>
            </w: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1380" w:type="dxa"/>
            <w:vAlign w:val="bottom"/>
            <w:gridSpan w:val="4"/>
          </w:tcPr>
          <w:p>
            <w:pPr>
              <w:spacing w:after="0"/>
              <w:rPr>
                <w:sz w:val="20"/>
                <w:szCs w:val="20"/>
                <w:color w:val="auto"/>
              </w:rPr>
            </w:pPr>
            <w:r>
              <w:rPr>
                <w:rFonts w:ascii="Arial" w:cs="Arial" w:eastAsia="Arial" w:hAnsi="Arial"/>
                <w:sz w:val="19"/>
                <w:szCs w:val="19"/>
                <w:color w:val="auto"/>
              </w:rPr>
              <w:t>Dispositions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4460" w:type="dxa"/>
            <w:vAlign w:val="bottom"/>
            <w:gridSpan w:val="10"/>
          </w:tcPr>
          <w:p>
            <w:pPr>
              <w:spacing w:after="0"/>
              <w:rPr>
                <w:sz w:val="20"/>
                <w:szCs w:val="20"/>
                <w:color w:val="auto"/>
              </w:rPr>
            </w:pPr>
            <w:r>
              <w:rPr>
                <w:rFonts w:ascii="Arial" w:cs="Arial" w:eastAsia="Arial" w:hAnsi="Arial"/>
                <w:sz w:val="19"/>
                <w:szCs w:val="19"/>
                <w:color w:val="auto"/>
              </w:rPr>
              <w:t>Schedule 6.09  —  Existing Affiliate Transactions</w:t>
            </w: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300" w:type="dxa"/>
            <w:vAlign w:val="bottom"/>
            <w:gridSpan w:val="8"/>
          </w:tcPr>
          <w:p>
            <w:pPr>
              <w:spacing w:after="0"/>
              <w:rPr>
                <w:sz w:val="20"/>
                <w:szCs w:val="20"/>
                <w:color w:val="auto"/>
              </w:rPr>
            </w:pPr>
            <w:r>
              <w:rPr>
                <w:rFonts w:ascii="Arial" w:cs="Arial" w:eastAsia="Arial" w:hAnsi="Arial"/>
                <w:sz w:val="19"/>
                <w:szCs w:val="19"/>
                <w:color w:val="auto"/>
                <w:w w:val="98"/>
              </w:rPr>
              <w:t>Schedule 6.10  —  Existing Restrictions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45"/>
        </w:trPr>
        <w:tc>
          <w:tcPr>
            <w:tcW w:w="1280" w:type="dxa"/>
            <w:vAlign w:val="bottom"/>
            <w:gridSpan w:val="2"/>
          </w:tcPr>
          <w:p>
            <w:pPr>
              <w:spacing w:after="0"/>
              <w:rPr>
                <w:sz w:val="20"/>
                <w:szCs w:val="20"/>
                <w:color w:val="auto"/>
              </w:rPr>
            </w:pPr>
            <w:r>
              <w:rPr>
                <w:rFonts w:ascii="Arial" w:cs="Arial" w:eastAsia="Arial" w:hAnsi="Arial"/>
                <w:sz w:val="19"/>
                <w:szCs w:val="19"/>
                <w:color w:val="auto"/>
              </w:rPr>
              <w:t>Schedule 9.01</w:t>
            </w:r>
          </w:p>
        </w:tc>
        <w:tc>
          <w:tcPr>
            <w:tcW w:w="400" w:type="dxa"/>
            <w:vAlign w:val="bottom"/>
          </w:tcPr>
          <w:p>
            <w:pPr>
              <w:spacing w:after="0"/>
              <w:rPr>
                <w:sz w:val="20"/>
                <w:szCs w:val="20"/>
                <w:color w:val="auto"/>
              </w:rPr>
            </w:pPr>
            <w:r>
              <w:rPr>
                <w:rFonts w:ascii="Arial" w:cs="Arial" w:eastAsia="Arial" w:hAnsi="Arial"/>
                <w:sz w:val="19"/>
                <w:szCs w:val="19"/>
                <w:color w:val="auto"/>
              </w:rPr>
              <w:t>—</w:t>
            </w:r>
          </w:p>
        </w:tc>
        <w:tc>
          <w:tcPr>
            <w:tcW w:w="760" w:type="dxa"/>
            <w:vAlign w:val="bottom"/>
            <w:gridSpan w:val="2"/>
          </w:tcPr>
          <w:p>
            <w:pPr>
              <w:spacing w:after="0"/>
              <w:rPr>
                <w:sz w:val="20"/>
                <w:szCs w:val="20"/>
                <w:color w:val="auto"/>
              </w:rPr>
            </w:pPr>
            <w:r>
              <w:rPr>
                <w:rFonts w:ascii="Arial" w:cs="Arial" w:eastAsia="Arial" w:hAnsi="Arial"/>
                <w:sz w:val="19"/>
                <w:szCs w:val="19"/>
                <w:color w:val="auto"/>
              </w:rPr>
              <w:t>Notices</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433"/>
        </w:trPr>
        <w:tc>
          <w:tcPr>
            <w:tcW w:w="1040" w:type="dxa"/>
            <w:vAlign w:val="bottom"/>
          </w:tcPr>
          <w:p>
            <w:pPr>
              <w:spacing w:after="0"/>
              <w:rPr>
                <w:sz w:val="20"/>
                <w:szCs w:val="20"/>
                <w:color w:val="auto"/>
              </w:rPr>
            </w:pPr>
            <w:r>
              <w:rPr>
                <w:rFonts w:ascii="Arial" w:cs="Arial" w:eastAsia="Arial" w:hAnsi="Arial"/>
                <w:sz w:val="19"/>
                <w:szCs w:val="19"/>
                <w:b w:val="1"/>
                <w:bCs w:val="1"/>
                <w:color w:val="auto"/>
              </w:rPr>
              <w:t>EXHIBITS: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11"/>
        </w:trPr>
        <w:tc>
          <w:tcPr>
            <w:tcW w:w="4460" w:type="dxa"/>
            <w:vAlign w:val="bottom"/>
            <w:gridSpan w:val="10"/>
          </w:tcPr>
          <w:p>
            <w:pPr>
              <w:spacing w:after="0"/>
              <w:rPr>
                <w:sz w:val="20"/>
                <w:szCs w:val="20"/>
                <w:color w:val="auto"/>
              </w:rPr>
            </w:pPr>
            <w:r>
              <w:rPr>
                <w:rFonts w:ascii="Arial" w:cs="Arial" w:eastAsia="Arial" w:hAnsi="Arial"/>
                <w:sz w:val="19"/>
                <w:szCs w:val="19"/>
                <w:color w:val="auto"/>
              </w:rPr>
              <w:t>Exhibit A-1  —  Form of Assignment and Assumption</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A-2  —  Form of Borrower Assignment and Assumption</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Exhibit B  —  Form of Guarantee Agreement</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Exhibit C  —  Form of Perfection Certificate</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Exhibit D  —  Form of Collateral Agreement</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2440" w:type="dxa"/>
            <w:vAlign w:val="bottom"/>
            <w:gridSpan w:val="5"/>
          </w:tcPr>
          <w:p>
            <w:pPr>
              <w:spacing w:after="0"/>
              <w:rPr>
                <w:sz w:val="20"/>
                <w:szCs w:val="20"/>
                <w:color w:val="auto"/>
              </w:rPr>
            </w:pPr>
            <w:r>
              <w:rPr>
                <w:rFonts w:ascii="Arial" w:cs="Arial" w:eastAsia="Arial" w:hAnsi="Arial"/>
                <w:sz w:val="19"/>
                <w:szCs w:val="19"/>
                <w:color w:val="auto"/>
              </w:rPr>
              <w:t>Exhibit E  —  Form of Note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F-1  —  Form of First Lien Intercreditor Agreement</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F-2  —  Form of Junior Lien Intercreditor Agreement</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Exhibit G  —  Form of Closing Date Certificate</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3960" w:type="dxa"/>
            <w:vAlign w:val="bottom"/>
            <w:gridSpan w:val="9"/>
          </w:tcPr>
          <w:p>
            <w:pPr>
              <w:spacing w:after="0"/>
              <w:rPr>
                <w:sz w:val="20"/>
                <w:szCs w:val="20"/>
                <w:color w:val="auto"/>
              </w:rPr>
            </w:pPr>
            <w:r>
              <w:rPr>
                <w:rFonts w:ascii="Arial" w:cs="Arial" w:eastAsia="Arial" w:hAnsi="Arial"/>
                <w:sz w:val="19"/>
                <w:szCs w:val="19"/>
                <w:color w:val="auto"/>
              </w:rPr>
              <w:t>Exhibit H  —  Form of Intercompany Note</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I  —  Form of Specified Discount Prepayment Notice</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J  —  Form of Specified Discount Prepayment Response</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K  —  Form of Discount Range Prepayment Notice</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L  —  Form of Discount Range Prepayment Offer</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M  —  Form of Solicited Discounted Prepayment Notice</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N  —  Form of Solicited Discounted Prepayment Offer</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6060" w:type="dxa"/>
            <w:vAlign w:val="bottom"/>
            <w:gridSpan w:val="11"/>
          </w:tcPr>
          <w:p>
            <w:pPr>
              <w:spacing w:after="0"/>
              <w:rPr>
                <w:sz w:val="20"/>
                <w:szCs w:val="20"/>
                <w:color w:val="auto"/>
              </w:rPr>
            </w:pPr>
            <w:r>
              <w:rPr>
                <w:rFonts w:ascii="Arial" w:cs="Arial" w:eastAsia="Arial" w:hAnsi="Arial"/>
                <w:sz w:val="19"/>
                <w:szCs w:val="19"/>
                <w:color w:val="auto"/>
              </w:rPr>
              <w:t>Exhibit O  —  Form of Acceptance and Prepayment Notice</w:t>
            </w: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color w:val="auto"/>
              </w:rPr>
              <w:t>Exhibit P-1</w:t>
            </w:r>
          </w:p>
        </w:tc>
        <w:tc>
          <w:tcPr>
            <w:tcW w:w="240" w:type="dxa"/>
            <w:vAlign w:val="bottom"/>
          </w:tcPr>
          <w:p>
            <w:pPr>
              <w:ind w:left="40"/>
              <w:spacing w:after="0"/>
              <w:rPr>
                <w:sz w:val="20"/>
                <w:szCs w:val="20"/>
                <w:color w:val="auto"/>
              </w:rPr>
            </w:pPr>
            <w:r>
              <w:rPr>
                <w:rFonts w:ascii="Arial" w:cs="Arial" w:eastAsia="Arial" w:hAnsi="Arial"/>
                <w:sz w:val="19"/>
                <w:szCs w:val="19"/>
                <w:color w:val="auto"/>
                <w:w w:val="94"/>
              </w:rPr>
              <w:t>—</w:t>
            </w:r>
          </w:p>
        </w:tc>
        <w:tc>
          <w:tcPr>
            <w:tcW w:w="4780" w:type="dxa"/>
            <w:vAlign w:val="bottom"/>
            <w:gridSpan w:val="9"/>
          </w:tcPr>
          <w:p>
            <w:pPr>
              <w:ind w:left="180"/>
              <w:spacing w:after="0"/>
              <w:rPr>
                <w:sz w:val="20"/>
                <w:szCs w:val="20"/>
                <w:color w:val="auto"/>
              </w:rPr>
            </w:pPr>
            <w:r>
              <w:rPr>
                <w:rFonts w:ascii="Arial" w:cs="Arial" w:eastAsia="Arial" w:hAnsi="Arial"/>
                <w:sz w:val="19"/>
                <w:szCs w:val="19"/>
                <w:color w:val="auto"/>
              </w:rPr>
              <w:t>Form of U.S. Tax Compliance Certificate (For Foreign</w:t>
            </w:r>
          </w:p>
        </w:tc>
        <w:tc>
          <w:tcPr>
            <w:tcW w:w="4880" w:type="dxa"/>
            <w:vAlign w:val="bottom"/>
            <w:gridSpan w:val="2"/>
          </w:tcPr>
          <w:p>
            <w:pPr>
              <w:ind w:left="240"/>
              <w:spacing w:after="0"/>
              <w:rPr>
                <w:sz w:val="20"/>
                <w:szCs w:val="20"/>
                <w:color w:val="auto"/>
              </w:rPr>
            </w:pPr>
            <w:r>
              <w:rPr>
                <w:rFonts w:ascii="Arial" w:cs="Arial" w:eastAsia="Arial" w:hAnsi="Arial"/>
                <w:sz w:val="19"/>
                <w:szCs w:val="19"/>
                <w:color w:val="auto"/>
                <w:w w:val="91"/>
              </w:rPr>
              <w:t>Lenders That Are Not Partnerships For U.S. Federal Income</w:t>
            </w:r>
          </w:p>
        </w:tc>
      </w:tr>
      <w:tr>
        <w:trPr>
          <w:trHeight w:val="223"/>
        </w:trPr>
        <w:tc>
          <w:tcPr>
            <w:tcW w:w="1680" w:type="dxa"/>
            <w:vAlign w:val="bottom"/>
            <w:gridSpan w:val="3"/>
          </w:tcPr>
          <w:p>
            <w:pPr>
              <w:ind w:left="580"/>
              <w:spacing w:after="0"/>
              <w:rPr>
                <w:sz w:val="20"/>
                <w:szCs w:val="20"/>
                <w:color w:val="auto"/>
              </w:rPr>
            </w:pPr>
            <w:r>
              <w:rPr>
                <w:rFonts w:ascii="Arial" w:cs="Arial" w:eastAsia="Arial" w:hAnsi="Arial"/>
                <w:sz w:val="19"/>
                <w:szCs w:val="19"/>
                <w:color w:val="auto"/>
                <w:w w:val="87"/>
              </w:rPr>
              <w:t>Tax Purposes)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9"/>
                <w:szCs w:val="19"/>
                <w:color w:val="auto"/>
              </w:rPr>
              <w:t>Exhibit P-2</w:t>
            </w:r>
          </w:p>
        </w:tc>
        <w:tc>
          <w:tcPr>
            <w:tcW w:w="240" w:type="dxa"/>
            <w:vAlign w:val="bottom"/>
          </w:tcPr>
          <w:p>
            <w:pPr>
              <w:ind w:left="40"/>
              <w:spacing w:after="0"/>
              <w:rPr>
                <w:sz w:val="20"/>
                <w:szCs w:val="20"/>
                <w:color w:val="auto"/>
              </w:rPr>
            </w:pPr>
            <w:r>
              <w:rPr>
                <w:rFonts w:ascii="Arial" w:cs="Arial" w:eastAsia="Arial" w:hAnsi="Arial"/>
                <w:sz w:val="19"/>
                <w:szCs w:val="19"/>
                <w:color w:val="auto"/>
                <w:w w:val="94"/>
              </w:rPr>
              <w:t>—</w:t>
            </w:r>
          </w:p>
        </w:tc>
        <w:tc>
          <w:tcPr>
            <w:tcW w:w="4780" w:type="dxa"/>
            <w:vAlign w:val="bottom"/>
            <w:gridSpan w:val="9"/>
          </w:tcPr>
          <w:p>
            <w:pPr>
              <w:ind w:left="180"/>
              <w:spacing w:after="0"/>
              <w:rPr>
                <w:sz w:val="20"/>
                <w:szCs w:val="20"/>
                <w:color w:val="auto"/>
              </w:rPr>
            </w:pPr>
            <w:r>
              <w:rPr>
                <w:rFonts w:ascii="Arial" w:cs="Arial" w:eastAsia="Arial" w:hAnsi="Arial"/>
                <w:sz w:val="19"/>
                <w:szCs w:val="19"/>
                <w:color w:val="auto"/>
              </w:rPr>
              <w:t>Form of U.S. Tax Compliance Certificate (For Foreign</w:t>
            </w:r>
          </w:p>
        </w:tc>
        <w:tc>
          <w:tcPr>
            <w:tcW w:w="4880" w:type="dxa"/>
            <w:vAlign w:val="bottom"/>
            <w:gridSpan w:val="2"/>
          </w:tcPr>
          <w:p>
            <w:pPr>
              <w:ind w:left="240"/>
              <w:spacing w:after="0"/>
              <w:rPr>
                <w:sz w:val="20"/>
                <w:szCs w:val="20"/>
                <w:color w:val="auto"/>
              </w:rPr>
            </w:pPr>
            <w:r>
              <w:rPr>
                <w:rFonts w:ascii="Arial" w:cs="Arial" w:eastAsia="Arial" w:hAnsi="Arial"/>
                <w:sz w:val="19"/>
                <w:szCs w:val="19"/>
                <w:color w:val="auto"/>
                <w:w w:val="97"/>
              </w:rPr>
              <w:t>Lenders That Are Partnerships For U.S. Federal Income</w:t>
            </w:r>
          </w:p>
        </w:tc>
      </w:tr>
      <w:tr>
        <w:trPr>
          <w:trHeight w:val="223"/>
        </w:trPr>
        <w:tc>
          <w:tcPr>
            <w:tcW w:w="1680" w:type="dxa"/>
            <w:vAlign w:val="bottom"/>
            <w:gridSpan w:val="3"/>
          </w:tcPr>
          <w:p>
            <w:pPr>
              <w:ind w:left="580"/>
              <w:spacing w:after="0"/>
              <w:rPr>
                <w:sz w:val="20"/>
                <w:szCs w:val="20"/>
                <w:color w:val="auto"/>
              </w:rPr>
            </w:pPr>
            <w:r>
              <w:rPr>
                <w:rFonts w:ascii="Arial" w:cs="Arial" w:eastAsia="Arial" w:hAnsi="Arial"/>
                <w:sz w:val="19"/>
                <w:szCs w:val="19"/>
                <w:color w:val="auto"/>
                <w:w w:val="87"/>
              </w:rPr>
              <w:t>Tax Purposes)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45"/>
        </w:trPr>
        <w:tc>
          <w:tcPr>
            <w:tcW w:w="1040" w:type="dxa"/>
            <w:vAlign w:val="bottom"/>
          </w:tcPr>
          <w:p>
            <w:pPr>
              <w:spacing w:after="0"/>
              <w:rPr>
                <w:sz w:val="20"/>
                <w:szCs w:val="20"/>
                <w:color w:val="auto"/>
              </w:rPr>
            </w:pPr>
            <w:r>
              <w:rPr>
                <w:rFonts w:ascii="Arial" w:cs="Arial" w:eastAsia="Arial" w:hAnsi="Arial"/>
                <w:sz w:val="19"/>
                <w:szCs w:val="19"/>
                <w:color w:val="auto"/>
              </w:rPr>
              <w:t>Exhibit P-3</w:t>
            </w:r>
          </w:p>
        </w:tc>
        <w:tc>
          <w:tcPr>
            <w:tcW w:w="240" w:type="dxa"/>
            <w:vAlign w:val="bottom"/>
          </w:tcPr>
          <w:p>
            <w:pPr>
              <w:ind w:left="40"/>
              <w:spacing w:after="0"/>
              <w:rPr>
                <w:sz w:val="20"/>
                <w:szCs w:val="20"/>
                <w:color w:val="auto"/>
              </w:rPr>
            </w:pPr>
            <w:r>
              <w:rPr>
                <w:rFonts w:ascii="Arial" w:cs="Arial" w:eastAsia="Arial" w:hAnsi="Arial"/>
                <w:sz w:val="19"/>
                <w:szCs w:val="19"/>
                <w:color w:val="auto"/>
                <w:w w:val="94"/>
              </w:rPr>
              <w:t>—</w:t>
            </w:r>
          </w:p>
        </w:tc>
        <w:tc>
          <w:tcPr>
            <w:tcW w:w="4780" w:type="dxa"/>
            <w:vAlign w:val="bottom"/>
            <w:gridSpan w:val="9"/>
          </w:tcPr>
          <w:p>
            <w:pPr>
              <w:ind w:left="180"/>
              <w:spacing w:after="0"/>
              <w:rPr>
                <w:sz w:val="20"/>
                <w:szCs w:val="20"/>
                <w:color w:val="auto"/>
              </w:rPr>
            </w:pPr>
            <w:r>
              <w:rPr>
                <w:rFonts w:ascii="Arial" w:cs="Arial" w:eastAsia="Arial" w:hAnsi="Arial"/>
                <w:sz w:val="19"/>
                <w:szCs w:val="19"/>
                <w:color w:val="auto"/>
                <w:w w:val="98"/>
              </w:rPr>
              <w:t>Form of U.S. Tax Compliance Certificate (For Non-U.S.</w:t>
            </w:r>
          </w:p>
        </w:tc>
        <w:tc>
          <w:tcPr>
            <w:tcW w:w="4880" w:type="dxa"/>
            <w:vAlign w:val="bottom"/>
            <w:gridSpan w:val="2"/>
          </w:tcPr>
          <w:p>
            <w:pPr>
              <w:jc w:val="right"/>
              <w:ind w:right="84"/>
              <w:spacing w:after="0"/>
              <w:rPr>
                <w:sz w:val="20"/>
                <w:szCs w:val="20"/>
                <w:color w:val="auto"/>
              </w:rPr>
            </w:pPr>
            <w:r>
              <w:rPr>
                <w:rFonts w:ascii="Arial" w:cs="Arial" w:eastAsia="Arial" w:hAnsi="Arial"/>
                <w:sz w:val="19"/>
                <w:szCs w:val="19"/>
                <w:color w:val="auto"/>
                <w:w w:val="99"/>
              </w:rPr>
              <w:t>Participants That Are Not Partnerships For U.S. Federal</w:t>
            </w:r>
          </w:p>
        </w:tc>
      </w:tr>
    </w:tbl>
    <w:p>
      <w:pPr>
        <w:sectPr>
          <w:pgSz w:w="11900" w:h="16838" w:orient="portrait"/>
          <w:cols w:equalWidth="0" w:num="1">
            <w:col w:w="10940"/>
          </w:cols>
          <w:pgMar w:left="240" w:top="333" w:right="719" w:bottom="0" w:gutter="0" w:footer="0" w:header="0"/>
        </w:sectPr>
      </w:pPr>
    </w:p>
    <w:bookmarkStart w:id="89" w:name="page90"/>
    <w:bookmarkEnd w:id="89"/>
    <w:p>
      <w:pPr>
        <w:ind w:left="580"/>
        <w:spacing w:after="0"/>
        <w:rPr>
          <w:sz w:val="20"/>
          <w:szCs w:val="20"/>
          <w:color w:val="auto"/>
        </w:rPr>
      </w:pPr>
      <w:r>
        <w:rPr>
          <w:rFonts w:ascii="Arial" w:cs="Arial" w:eastAsia="Arial" w:hAnsi="Arial"/>
          <w:sz w:val="19"/>
          <w:szCs w:val="19"/>
          <w:color w:val="auto"/>
        </w:rPr>
        <w:t>Income Tax Purposes)</w:t>
      </w:r>
    </w:p>
    <w:p>
      <w:pPr>
        <w:spacing w:after="0" w:line="22" w:lineRule="exact"/>
        <w:rPr>
          <w:sz w:val="20"/>
          <w:szCs w:val="20"/>
          <w:color w:val="auto"/>
        </w:rPr>
      </w:pPr>
    </w:p>
    <w:p>
      <w:pPr>
        <w:spacing w:after="0"/>
        <w:tabs>
          <w:tab w:leader="none" w:pos="1060" w:val="left"/>
          <w:tab w:leader="none" w:pos="1440" w:val="left"/>
        </w:tabs>
        <w:rPr>
          <w:sz w:val="20"/>
          <w:szCs w:val="20"/>
          <w:color w:val="auto"/>
        </w:rPr>
      </w:pPr>
      <w:r>
        <w:rPr>
          <w:rFonts w:ascii="Arial" w:cs="Arial" w:eastAsia="Arial" w:hAnsi="Arial"/>
          <w:sz w:val="19"/>
          <w:szCs w:val="19"/>
          <w:color w:val="auto"/>
        </w:rPr>
        <w:t>Exhibit P-4</w:t>
        <w:tab/>
        <w:t>—</w:t>
      </w:r>
      <w:r>
        <w:rPr>
          <w:sz w:val="20"/>
          <w:szCs w:val="20"/>
          <w:color w:val="auto"/>
        </w:rPr>
        <w:tab/>
      </w:r>
      <w:r>
        <w:rPr>
          <w:rFonts w:ascii="Arial" w:cs="Arial" w:eastAsia="Arial" w:hAnsi="Arial"/>
          <w:sz w:val="17"/>
          <w:szCs w:val="17"/>
          <w:color w:val="auto"/>
        </w:rPr>
        <w:t>Form of U.S. Tax Compliance Certificate (For Non-U.S.</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9"/>
          <w:szCs w:val="19"/>
          <w:color w:val="auto"/>
        </w:rPr>
        <w:t>Income Tax Purposes)</w:t>
      </w:r>
    </w:p>
    <w:p>
      <w:pPr>
        <w:spacing w:after="0" w:line="5"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9"/>
          <w:szCs w:val="19"/>
          <w:color w:val="auto"/>
        </w:rPr>
        <w:t>Exhibit Q</w:t>
        <w:tab/>
        <w:t>—</w:t>
      </w:r>
      <w:r>
        <w:rPr>
          <w:sz w:val="20"/>
          <w:szCs w:val="20"/>
          <w:color w:val="auto"/>
        </w:rPr>
        <w:tab/>
      </w:r>
      <w:r>
        <w:rPr>
          <w:rFonts w:ascii="Arial" w:cs="Arial" w:eastAsia="Arial" w:hAnsi="Arial"/>
          <w:sz w:val="17"/>
          <w:szCs w:val="17"/>
          <w:color w:val="auto"/>
        </w:rPr>
        <w:t>Form of Closing Certificate</w:t>
      </w:r>
    </w:p>
    <w:p>
      <w:pPr>
        <w:spacing w:after="0" w:line="5" w:lineRule="exact"/>
        <w:rPr>
          <w:sz w:val="20"/>
          <w:szCs w:val="20"/>
          <w:color w:val="auto"/>
        </w:rPr>
      </w:pPr>
    </w:p>
    <w:p>
      <w:pPr>
        <w:spacing w:after="0"/>
        <w:tabs>
          <w:tab w:leader="none" w:pos="920" w:val="left"/>
          <w:tab w:leader="none" w:pos="1300" w:val="left"/>
        </w:tabs>
        <w:rPr>
          <w:sz w:val="20"/>
          <w:szCs w:val="20"/>
          <w:color w:val="auto"/>
        </w:rPr>
      </w:pPr>
      <w:r>
        <w:rPr>
          <w:rFonts w:ascii="Arial" w:cs="Arial" w:eastAsia="Arial" w:hAnsi="Arial"/>
          <w:sz w:val="19"/>
          <w:szCs w:val="19"/>
          <w:color w:val="auto"/>
        </w:rPr>
        <w:t>Exhibit R</w:t>
        <w:tab/>
        <w:t>—</w:t>
      </w:r>
      <w:r>
        <w:rPr>
          <w:sz w:val="20"/>
          <w:szCs w:val="20"/>
          <w:color w:val="auto"/>
        </w:rPr>
        <w:tab/>
      </w:r>
      <w:r>
        <w:rPr>
          <w:rFonts w:ascii="Arial" w:cs="Arial" w:eastAsia="Arial" w:hAnsi="Arial"/>
          <w:sz w:val="17"/>
          <w:szCs w:val="17"/>
          <w:color w:val="auto"/>
        </w:rPr>
        <w:t>Form of Solvency Certificate</w:t>
      </w:r>
    </w:p>
    <w:p>
      <w:pPr>
        <w:spacing w:after="0" w:line="5"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9"/>
          <w:szCs w:val="19"/>
          <w:color w:val="auto"/>
        </w:rPr>
        <w:t>Exhibit S</w:t>
        <w:tab/>
        <w:t>—</w:t>
      </w:r>
      <w:r>
        <w:rPr>
          <w:sz w:val="20"/>
          <w:szCs w:val="20"/>
          <w:color w:val="auto"/>
        </w:rPr>
        <w:tab/>
      </w:r>
      <w:r>
        <w:rPr>
          <w:rFonts w:ascii="Arial" w:cs="Arial" w:eastAsia="Arial" w:hAnsi="Arial"/>
          <w:sz w:val="17"/>
          <w:szCs w:val="17"/>
          <w:color w:val="auto"/>
        </w:rPr>
        <w:t>Form of Compliance Certificate</w:t>
      </w:r>
    </w:p>
    <w:p>
      <w:pPr>
        <w:spacing w:after="0" w:line="5"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9"/>
          <w:szCs w:val="19"/>
          <w:color w:val="auto"/>
        </w:rPr>
        <w:t>Exhibit T</w:t>
        <w:tab/>
        <w:t>—</w:t>
      </w:r>
      <w:r>
        <w:rPr>
          <w:sz w:val="20"/>
          <w:szCs w:val="20"/>
          <w:color w:val="auto"/>
        </w:rPr>
        <w:tab/>
      </w:r>
      <w:r>
        <w:rPr>
          <w:rFonts w:ascii="Arial" w:cs="Arial" w:eastAsia="Arial" w:hAnsi="Arial"/>
          <w:sz w:val="18"/>
          <w:szCs w:val="18"/>
          <w:color w:val="auto"/>
        </w:rPr>
        <w:t>Form of Notice of Borrowing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Participants That Are Partnerships For U.S. Federal</w:t>
      </w:r>
    </w:p>
    <w:p>
      <w:pPr>
        <w:spacing w:after="0" w:line="1354" w:lineRule="exact"/>
        <w:rPr>
          <w:sz w:val="20"/>
          <w:szCs w:val="20"/>
          <w:color w:val="auto"/>
        </w:rPr>
      </w:pPr>
    </w:p>
    <w:p>
      <w:pPr>
        <w:sectPr>
          <w:pgSz w:w="11900" w:h="16838" w:orient="portrait"/>
          <w:cols w:equalWidth="0" w:num="2">
            <w:col w:w="5820" w:space="620"/>
            <w:col w:w="4980"/>
          </w:cols>
          <w:pgMar w:left="240" w:top="121" w:right="239" w:bottom="0" w:gutter="0" w:footer="0" w:header="0"/>
        </w:sectPr>
      </w:pPr>
    </w:p>
    <w:p>
      <w:pPr>
        <w:spacing w:after="0" w:line="229"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March 1, 2019 (this “</w:t>
      </w:r>
      <w:r>
        <w:rPr>
          <w:rFonts w:ascii="Arial" w:cs="Arial" w:eastAsia="Arial" w:hAnsi="Arial"/>
          <w:sz w:val="18"/>
          <w:szCs w:val="18"/>
          <w:b w:val="1"/>
          <w:bCs w:val="1"/>
          <w:color w:val="auto"/>
        </w:rPr>
        <w:t>Agreement</w:t>
      </w:r>
      <w:r>
        <w:rPr>
          <w:rFonts w:ascii="Arial" w:cs="Arial" w:eastAsia="Arial" w:hAnsi="Arial"/>
          <w:sz w:val="18"/>
          <w:szCs w:val="18"/>
          <w:color w:val="auto"/>
        </w:rPr>
        <w:t>”), among VIRTU FINANCIAL LLC,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Holdings</w:t>
      </w:r>
      <w:r>
        <w:rPr>
          <w:rFonts w:ascii="Arial" w:cs="Arial" w:eastAsia="Arial" w:hAnsi="Arial"/>
          <w:sz w:val="18"/>
          <w:szCs w:val="18"/>
          <w:color w:val="auto"/>
        </w:rPr>
        <w:t>”), IMPALA BORROWER LLC, a Delaware limited liability company (“</w:t>
      </w:r>
      <w:r>
        <w:rPr>
          <w:rFonts w:ascii="Arial" w:cs="Arial" w:eastAsia="Arial" w:hAnsi="Arial"/>
          <w:sz w:val="18"/>
          <w:szCs w:val="18"/>
          <w:b w:val="1"/>
          <w:bCs w:val="1"/>
          <w:color w:val="auto"/>
        </w:rPr>
        <w:t>Impala Borrower</w:t>
      </w:r>
      <w:r>
        <w:rPr>
          <w:rFonts w:ascii="Arial" w:cs="Arial" w:eastAsia="Arial" w:hAnsi="Arial"/>
          <w:sz w:val="18"/>
          <w:szCs w:val="18"/>
          <w:color w:val="auto"/>
        </w:rPr>
        <w:t>” or the “</w:t>
      </w:r>
      <w:r>
        <w:rPr>
          <w:rFonts w:ascii="Arial" w:cs="Arial" w:eastAsia="Arial" w:hAnsi="Arial"/>
          <w:sz w:val="18"/>
          <w:szCs w:val="18"/>
          <w:b w:val="1"/>
          <w:bCs w:val="1"/>
          <w:color w:val="auto"/>
        </w:rPr>
        <w:t>Acquisition</w:t>
      </w:r>
      <w:r>
        <w:rPr>
          <w:rFonts w:ascii="Arial" w:cs="Arial" w:eastAsia="Arial" w:hAnsi="Arial"/>
          <w:sz w:val="18"/>
          <w:szCs w:val="18"/>
          <w:color w:val="auto"/>
        </w:rPr>
        <w:t xml:space="preserve"> </w:t>
      </w:r>
      <w:r>
        <w:rPr>
          <w:rFonts w:ascii="Arial" w:cs="Arial" w:eastAsia="Arial" w:hAnsi="Arial"/>
          <w:sz w:val="18"/>
          <w:szCs w:val="18"/>
          <w:b w:val="1"/>
          <w:bCs w:val="1"/>
          <w:color w:val="auto"/>
        </w:rPr>
        <w:t>Borrower</w:t>
      </w:r>
      <w:r>
        <w:rPr>
          <w:rFonts w:ascii="Arial" w:cs="Arial" w:eastAsia="Arial" w:hAnsi="Arial"/>
          <w:sz w:val="18"/>
          <w:szCs w:val="18"/>
          <w:color w:val="auto"/>
        </w:rPr>
        <w:t>”), VFH PARENT LLC, a Delaware limited liability company (“</w:t>
      </w:r>
      <w:r>
        <w:rPr>
          <w:rFonts w:ascii="Arial" w:cs="Arial" w:eastAsia="Arial" w:hAnsi="Arial"/>
          <w:sz w:val="18"/>
          <w:szCs w:val="18"/>
          <w:b w:val="1"/>
          <w:bCs w:val="1"/>
          <w:color w:val="auto"/>
        </w:rPr>
        <w:t>Virtu</w:t>
      </w:r>
      <w:r>
        <w:rPr>
          <w:rFonts w:ascii="Arial" w:cs="Arial" w:eastAsia="Arial" w:hAnsi="Arial"/>
          <w:sz w:val="18"/>
          <w:szCs w:val="18"/>
          <w:color w:val="auto"/>
        </w:rPr>
        <w:t>” or the “</w:t>
      </w:r>
      <w:r>
        <w:rPr>
          <w:rFonts w:ascii="Arial" w:cs="Arial" w:eastAsia="Arial" w:hAnsi="Arial"/>
          <w:sz w:val="18"/>
          <w:szCs w:val="18"/>
          <w:b w:val="1"/>
          <w:bCs w:val="1"/>
          <w:color w:val="auto"/>
        </w:rPr>
        <w:t>Refinancing Borrower</w:t>
      </w:r>
      <w:r>
        <w:rPr>
          <w:rFonts w:ascii="Arial" w:cs="Arial" w:eastAsia="Arial" w:hAnsi="Arial"/>
          <w:sz w:val="18"/>
          <w:szCs w:val="18"/>
          <w:color w:val="auto"/>
        </w:rPr>
        <w:t>”, and,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Borrower, each individually, and collectively referred to herein, as the context may require, the “</w:t>
      </w:r>
      <w:r>
        <w:rPr>
          <w:rFonts w:ascii="Arial" w:cs="Arial" w:eastAsia="Arial" w:hAnsi="Arial"/>
          <w:sz w:val="18"/>
          <w:szCs w:val="18"/>
          <w:b w:val="1"/>
          <w:bCs w:val="1"/>
          <w:color w:val="auto"/>
        </w:rPr>
        <w:t>Borrower</w:t>
      </w:r>
      <w:r>
        <w:rPr>
          <w:rFonts w:ascii="Arial" w:cs="Arial" w:eastAsia="Arial" w:hAnsi="Arial"/>
          <w:sz w:val="18"/>
          <w:szCs w:val="18"/>
          <w:color w:val="auto"/>
        </w:rPr>
        <w:t>”), JEFFERIES FINANCE LLC, as administrative agent and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such capacities, including any successor thereto,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as an Issuing Bank, and as the Swingline Lender, each other Issuing Bank from time to time party hereto and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parties hereto agree as follows: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1</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DEFINITIONS</w:t>
      </w:r>
    </w:p>
    <w:p>
      <w:pPr>
        <w:spacing w:after="0" w:line="24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1.01.</w:t>
      </w:r>
      <w:r>
        <w:rPr>
          <w:sz w:val="20"/>
          <w:szCs w:val="20"/>
          <w:color w:val="auto"/>
        </w:rPr>
        <w:tab/>
      </w:r>
      <w:r>
        <w:rPr>
          <w:rFonts w:ascii="Arial" w:cs="Arial" w:eastAsia="Arial" w:hAnsi="Arial"/>
          <w:sz w:val="17"/>
          <w:szCs w:val="17"/>
          <w:i w:val="1"/>
          <w:iCs w:val="1"/>
          <w:color w:val="auto"/>
        </w:rPr>
        <w:t xml:space="preserve">Defined Terms. </w:t>
      </w:r>
      <w:r>
        <w:rPr>
          <w:rFonts w:ascii="Arial" w:cs="Arial" w:eastAsia="Arial" w:hAnsi="Arial"/>
          <w:sz w:val="17"/>
          <w:szCs w:val="17"/>
          <w:color w:val="auto"/>
        </w:rPr>
        <w:t>As used in this Agreement, the following terms have the meanings specified below:</w:t>
      </w:r>
    </w:p>
    <w:p>
      <w:pPr>
        <w:spacing w:after="0" w:line="20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Alternate Base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Acceptable Discount</w:t>
      </w:r>
      <w:r>
        <w:rPr>
          <w:rFonts w:ascii="Arial" w:cs="Arial" w:eastAsia="Arial" w:hAnsi="Arial"/>
          <w:sz w:val="19"/>
          <w:szCs w:val="19"/>
          <w:color w:val="auto"/>
        </w:rPr>
        <w:t>” has the meaning assigned to such term in Section 2.09(a)(ii)(D)(2).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Acceptable Prepayment Amount</w:t>
      </w:r>
      <w:r>
        <w:rPr>
          <w:rFonts w:ascii="Arial" w:cs="Arial" w:eastAsia="Arial" w:hAnsi="Arial"/>
          <w:sz w:val="19"/>
          <w:szCs w:val="19"/>
          <w:color w:val="auto"/>
        </w:rPr>
        <w:t>” has the meaning assigned to such term in Section 2.09(a)(ii)(D)(3).</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Acceptance and Prepayment Notice</w:t>
      </w:r>
      <w:r>
        <w:rPr>
          <w:rFonts w:ascii="Arial" w:cs="Arial" w:eastAsia="Arial" w:hAnsi="Arial"/>
          <w:sz w:val="19"/>
          <w:szCs w:val="19"/>
          <w:color w:val="auto"/>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Acceptance Date</w:t>
      </w:r>
      <w:r>
        <w:rPr>
          <w:rFonts w:ascii="Arial" w:cs="Arial" w:eastAsia="Arial" w:hAnsi="Arial"/>
          <w:sz w:val="19"/>
          <w:szCs w:val="19"/>
          <w:color w:val="auto"/>
        </w:rPr>
        <w:t>” has the meaning specified in Section 2.09(a)(ii)(D)(2).</w:t>
      </w:r>
    </w:p>
    <w:p>
      <w:pPr>
        <w:spacing w:after="0" w:line="215"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b w:val="1"/>
          <w:bCs w:val="1"/>
          <w:color w:val="auto"/>
        </w:rPr>
        <w:t>Pro Forma Entity</w:t>
      </w:r>
      <w:r>
        <w:rPr>
          <w:rFonts w:ascii="Arial" w:cs="Arial" w:eastAsia="Arial" w:hAnsi="Arial"/>
          <w:sz w:val="17"/>
          <w:szCs w:val="17"/>
          <w:color w:val="auto"/>
        </w:rPr>
        <w:t>”) for any period, the amount for such period of Consolidated EBITDA of such Pro Forma Entity (determined as if references to Holdings and the Restricted Subsidiaries in the definition of the term “Consolidated EBITDA” were references to such Pro Forma Entity and its subsidiaries which will become Restricted Subsidiaries), all as determined on a consolidated basis for such Pro Forma Entity.</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Acquired Entity or Business</w:t>
      </w:r>
      <w:r>
        <w:rPr>
          <w:rFonts w:ascii="Arial" w:cs="Arial" w:eastAsia="Arial" w:hAnsi="Arial"/>
          <w:sz w:val="19"/>
          <w:szCs w:val="19"/>
          <w:color w:val="auto"/>
        </w:rPr>
        <w:t>” has the meaning set forth in the definition of the term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w:t>
      </w:r>
      <w:r>
        <w:rPr>
          <w:rFonts w:ascii="Arial" w:cs="Arial" w:eastAsia="Arial" w:hAnsi="Arial"/>
          <w:sz w:val="19"/>
          <w:szCs w:val="19"/>
          <w:color w:val="auto"/>
        </w:rPr>
        <w:t>” means, collectively, the Merger and the Asset Contributions.</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 Representations</w:t>
      </w:r>
      <w:r>
        <w:rPr>
          <w:rFonts w:ascii="Arial" w:cs="Arial" w:eastAsia="Arial" w:hAnsi="Arial"/>
          <w:sz w:val="18"/>
          <w:szCs w:val="18"/>
          <w:color w:val="auto"/>
        </w:rPr>
        <w:t>” means such of the representations made by ITG in the Merger Agreement as are material to the interests of the Lenders, but only to the extent that the breach of any such representation would result in (i) VFI, the Borrower or any of their affiliates having the right to terminate its or their obligations under the Merger Agreement (after giving effect to any applicable notice and cure period) or (y) the failure of a condition precedent to VFI’s obligation to consummate the Acquisition pursuant to the Merger Agreement.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Borrower</w:t>
      </w:r>
      <w:r>
        <w:rPr>
          <w:rFonts w:ascii="Arial" w:cs="Arial" w:eastAsia="Arial" w:hAnsi="Arial"/>
          <w:sz w:val="19"/>
          <w:szCs w:val="19"/>
          <w:color w:val="auto"/>
        </w:rPr>
        <w:t>” has the meaning assigned to such term in the preamble.</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Term Loan Assumption</w:t>
      </w:r>
      <w:r>
        <w:rPr>
          <w:rFonts w:ascii="Arial" w:cs="Arial" w:eastAsia="Arial" w:hAnsi="Arial"/>
          <w:sz w:val="18"/>
          <w:szCs w:val="18"/>
          <w:color w:val="auto"/>
        </w:rPr>
        <w:t>” means the assumption, on the Closing Date following the Asset Contribution, by the Refinancing Borrower of the obligations of the Acquisition Borrower with respect to the Acquisition Term Loans pursuant to Section 2.01(a).</w:t>
      </w:r>
    </w:p>
    <w:p>
      <w:pPr>
        <w:spacing w:after="0" w:line="12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Term Loans</w:t>
      </w:r>
      <w:r>
        <w:rPr>
          <w:rFonts w:ascii="Arial" w:cs="Arial" w:eastAsia="Arial" w:hAnsi="Arial"/>
          <w:sz w:val="19"/>
          <w:szCs w:val="19"/>
          <w:color w:val="auto"/>
        </w:rPr>
        <w:t>” means a Loan made by a Lender to the Acquisition Borrower on the Closing Date pursuant to Section 2.01(a). The aggregate principal amount of Acquisition Term Loans as of the Closing Date is as set forth on Schedule 1.01(b) under the heading “Acquisition Term Loans”.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w:t>
      </w:r>
      <w:r>
        <w:rPr>
          <w:rFonts w:ascii="Arial" w:cs="Arial" w:eastAsia="Arial" w:hAnsi="Arial"/>
          <w:sz w:val="19"/>
          <w:szCs w:val="19"/>
          <w:color w:val="auto"/>
        </w:rPr>
        <w:t>” means any Additional Revolving Lender or any Additional Term Lender, as applicable.</w:t>
      </w:r>
    </w:p>
    <w:p>
      <w:pPr>
        <w:spacing w:after="0" w:line="215"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Revolving Lender</w:t>
      </w:r>
      <w:r>
        <w:rPr>
          <w:rFonts w:ascii="Arial" w:cs="Arial" w:eastAsia="Arial" w:hAnsi="Arial"/>
          <w:sz w:val="17"/>
          <w:szCs w:val="17"/>
          <w:color w:val="auto"/>
        </w:rPr>
        <w:t xml:space="preserve">” means, at any time, any bank or other financial institution that agrees to provide any portion of any (a) Incremental Revolving Facility pursuant to an Incremental Revolving Facility Amendment in accordance with Section 2.18 or (b) Credit Agreement Refinancing Indebtedness in the form of Other Revolving Loans or Other Revolving Commitments pursuant to a Refinancing Amendment in accordance with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or any Other Revolving Commitment, the Swingline Lender and each Issuing Bank (such approval, in each case, not to be unreasonably withheld or delayed) and the Borrower.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Term Lender</w:t>
      </w:r>
      <w:r>
        <w:rPr>
          <w:rFonts w:ascii="Arial" w:cs="Arial" w:eastAsia="Arial" w:hAnsi="Arial"/>
          <w:sz w:val="19"/>
          <w:szCs w:val="19"/>
          <w:color w:val="auto"/>
        </w:rPr>
        <w:t>” means, at any time, any bank or other financial institution that agrees to provide any portion of any</w:t>
      </w:r>
    </w:p>
    <w:p>
      <w:pPr>
        <w:spacing w:after="0" w:line="27" w:lineRule="exact"/>
        <w:rPr>
          <w:sz w:val="20"/>
          <w:szCs w:val="20"/>
          <w:color w:val="auto"/>
        </w:rPr>
      </w:pPr>
    </w:p>
    <w:p>
      <w:pPr>
        <w:jc w:val="both"/>
        <w:ind w:firstLine="5"/>
        <w:spacing w:after="0" w:line="294" w:lineRule="auto"/>
        <w:tabs>
          <w:tab w:leader="none" w:pos="2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Incremental Term Facility pursuant to an Incremental Term Facility Amendment in accordance with Section 2.18 or (b) Credit Agreement Refinancing Indebtedness in the form of Other Term Loans or Other Term Commitments pursuant to a Refinancing Amendment in accordance with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Term Lender (other than any Person that is a Lender, an Affiliate of a Lender or an Approved Fund of a</w:t>
      </w:r>
    </w:p>
    <w:p>
      <w:pPr>
        <w:sectPr>
          <w:pgSz w:w="11900" w:h="16838" w:orient="portrait"/>
          <w:cols w:equalWidth="0" w:num="1">
            <w:col w:w="11420"/>
          </w:cols>
          <w:pgMar w:left="240" w:top="121" w:right="239" w:bottom="0" w:gutter="0" w:footer="0" w:header="0"/>
          <w:type w:val="continuous"/>
        </w:sectPr>
      </w:pPr>
    </w:p>
    <w:bookmarkStart w:id="90" w:name="page91"/>
    <w:bookmarkEnd w:id="90"/>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Lender at such time) shall be subject to the approval of the Administrative Agent (such approval not to be unreasonably withheld or delayed) and the Borrower.</w:t>
      </w:r>
    </w:p>
    <w:p>
      <w:pPr>
        <w:spacing w:after="0" w:line="15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LIBO Rate</w:t>
      </w:r>
      <w:r>
        <w:rPr>
          <w:rFonts w:ascii="Arial" w:cs="Arial" w:eastAsia="Arial" w:hAnsi="Arial"/>
          <w:sz w:val="19"/>
          <w:szCs w:val="19"/>
          <w:color w:val="auto"/>
        </w:rPr>
        <w:t xml:space="preserve">” means, with respect to any Eurodollar Borrowing for any Interest Period, an interest rate per annum equal to (i) the LIBO Rate for such Interest Period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(ii) the Statutory Reserve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w:t>
      </w:r>
      <w:r>
        <w:rPr>
          <w:rFonts w:ascii="Arial" w:cs="Arial" w:eastAsia="Arial" w:hAnsi="Arial"/>
          <w:sz w:val="19"/>
          <w:szCs w:val="19"/>
          <w:color w:val="auto"/>
        </w:rPr>
        <w:t>” has the meaning set forth in the preamble hereto.</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 Parties</w:t>
      </w:r>
      <w:r>
        <w:rPr>
          <w:rFonts w:ascii="Arial" w:cs="Arial" w:eastAsia="Arial" w:hAnsi="Arial"/>
          <w:sz w:val="19"/>
          <w:szCs w:val="19"/>
          <w:color w:val="auto"/>
        </w:rPr>
        <w:t>” has the meaning given to such term in Section 9.01(c).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given to such term in the preamble hereto.</w:t>
      </w:r>
    </w:p>
    <w:p>
      <w:pPr>
        <w:spacing w:after="0" w:line="215" w:lineRule="exact"/>
        <w:rPr>
          <w:sz w:val="20"/>
          <w:szCs w:val="20"/>
          <w:color w:val="auto"/>
        </w:rPr>
      </w:pPr>
    </w:p>
    <w:p>
      <w:pPr>
        <w:jc w:val="both"/>
        <w:ind w:firstLine="630"/>
        <w:spacing w:after="0" w:line="225"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All-In Yield</w:t>
      </w:r>
      <w:r>
        <w:rPr>
          <w:rFonts w:ascii="Arial" w:cs="Arial" w:eastAsia="Arial" w:hAnsi="Arial"/>
          <w:sz w:val="19"/>
          <w:szCs w:val="19"/>
          <w:color w:val="auto"/>
        </w:rPr>
        <w:t xml:space="preserve">” means, as to any Indebtedness, the yield thereof, whether in the form of interest rate, margin, OID, upfront fees, or any interest rate floor (with such increased amount being determined in the manner described in the final proviso of this definition), or otherwise, in each case, incurred or payable by the Borrower to lenders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OID and upfront fees shall be equated to interest rate assuming a 4</w:t>
      </w:r>
      <w:r>
        <w:rPr>
          <w:rFonts w:ascii="MS PGothic" w:cs="MS PGothic" w:eastAsia="MS PGothic" w:hAnsi="MS PGothic"/>
          <w:sz w:val="19"/>
          <w:szCs w:val="19"/>
          <w:color w:val="auto"/>
        </w:rPr>
        <w:t>‑</w:t>
      </w:r>
      <w:r>
        <w:rPr>
          <w:rFonts w:ascii="Arial" w:cs="Arial" w:eastAsia="Arial" w:hAnsi="Arial"/>
          <w:sz w:val="19"/>
          <w:szCs w:val="19"/>
          <w:color w:val="auto"/>
        </w:rPr>
        <w:t xml:space="preserve">year life to maturity (or, if less, the stated life to maturity at the time of incurrence of the applicable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“All</w:t>
      </w:r>
      <w:r>
        <w:rPr>
          <w:rFonts w:ascii="MS PGothic" w:cs="MS PGothic" w:eastAsia="MS PGothic" w:hAnsi="MS PGothic"/>
          <w:sz w:val="19"/>
          <w:szCs w:val="19"/>
          <w:color w:val="auto"/>
        </w:rPr>
        <w:t>‑</w:t>
      </w:r>
      <w:r>
        <w:rPr>
          <w:rFonts w:ascii="Arial" w:cs="Arial" w:eastAsia="Arial" w:hAnsi="Arial"/>
          <w:sz w:val="19"/>
          <w:szCs w:val="19"/>
          <w:color w:val="auto"/>
        </w:rPr>
        <w:t xml:space="preserve">In Yield” shall not include structuring fees, commitment fees, amendment fees, arrangement fees and any similar fees and customary consent fees for an amendment paid generally to consenting lenders; </w:t>
      </w:r>
      <w:r>
        <w:rPr>
          <w:rFonts w:ascii="Arial" w:cs="Arial" w:eastAsia="Arial" w:hAnsi="Arial"/>
          <w:sz w:val="19"/>
          <w:szCs w:val="19"/>
          <w:i w:val="1"/>
          <w:iCs w:val="1"/>
          <w:color w:val="auto"/>
        </w:rPr>
        <w:t>provided, further</w:t>
      </w:r>
      <w:r>
        <w:rPr>
          <w:rFonts w:ascii="Arial" w:cs="Arial" w:eastAsia="Arial" w:hAnsi="Arial"/>
          <w:sz w:val="19"/>
          <w:szCs w:val="19"/>
          <w:color w:val="auto"/>
        </w:rPr>
        <w:t>, that, with respect to any Loans of an applicable Class that includes an Adjusted LIBO Rate floor or Alternate Base Rate floor, (1) to the extent that the Adjusted LIBO Rate (with a three-month Interest Period) or Alternate Base Rate (in each case without giving effect to any floor) on the date that the All</w:t>
      </w:r>
      <w:r>
        <w:rPr>
          <w:rFonts w:ascii="MS PGothic" w:cs="MS PGothic" w:eastAsia="MS PGothic" w:hAnsi="MS PGothic"/>
          <w:sz w:val="19"/>
          <w:szCs w:val="19"/>
          <w:color w:val="auto"/>
        </w:rPr>
        <w:t>‑</w:t>
      </w:r>
      <w:r>
        <w:rPr>
          <w:rFonts w:ascii="Arial" w:cs="Arial" w:eastAsia="Arial" w:hAnsi="Arial"/>
          <w:sz w:val="19"/>
          <w:szCs w:val="19"/>
          <w:color w:val="auto"/>
        </w:rPr>
        <w:t>In Yield is being calculated is less than such floor, the amount of such difference shall be deemed added to the Applicable Rate for such Loans of such Class for the purpose of calculating the All</w:t>
      </w:r>
      <w:r>
        <w:rPr>
          <w:rFonts w:ascii="MS PGothic" w:cs="MS PGothic" w:eastAsia="MS PGothic" w:hAnsi="MS PGothic"/>
          <w:sz w:val="19"/>
          <w:szCs w:val="19"/>
          <w:color w:val="auto"/>
        </w:rPr>
        <w:t>‑</w:t>
      </w:r>
      <w:r>
        <w:rPr>
          <w:rFonts w:ascii="Arial" w:cs="Arial" w:eastAsia="Arial" w:hAnsi="Arial"/>
          <w:sz w:val="19"/>
          <w:szCs w:val="19"/>
          <w:color w:val="auto"/>
        </w:rPr>
        <w:t>In Yield and (2) to the extent that the Adjusted LIBO Rate (with a three-month Interest Period) or Alternate Base Rate (in each case without giving effect to any floor) on the date that the All</w:t>
      </w:r>
      <w:r>
        <w:rPr>
          <w:rFonts w:ascii="MS PGothic" w:cs="MS PGothic" w:eastAsia="MS PGothic" w:hAnsi="MS PGothic"/>
          <w:sz w:val="19"/>
          <w:szCs w:val="19"/>
          <w:color w:val="auto"/>
        </w:rPr>
        <w:t>‑</w:t>
      </w:r>
      <w:r>
        <w:rPr>
          <w:rFonts w:ascii="Arial" w:cs="Arial" w:eastAsia="Arial" w:hAnsi="Arial"/>
          <w:sz w:val="19"/>
          <w:szCs w:val="19"/>
          <w:color w:val="auto"/>
        </w:rPr>
        <w:t>In Yield is being calculated is greater than such floor, then the floor shall be disregarded in calculating the All</w:t>
      </w:r>
      <w:r>
        <w:rPr>
          <w:rFonts w:ascii="MS PGothic" w:cs="MS PGothic" w:eastAsia="MS PGothic" w:hAnsi="MS PGothic"/>
          <w:sz w:val="19"/>
          <w:szCs w:val="19"/>
          <w:color w:val="auto"/>
        </w:rPr>
        <w:t>‑</w:t>
      </w:r>
      <w:r>
        <w:rPr>
          <w:rFonts w:ascii="Arial" w:cs="Arial" w:eastAsia="Arial" w:hAnsi="Arial"/>
          <w:sz w:val="19"/>
          <w:szCs w:val="19"/>
          <w:color w:val="auto"/>
        </w:rPr>
        <w:t>In Yield.</w:t>
      </w:r>
    </w:p>
    <w:p>
      <w:pPr>
        <w:spacing w:after="0" w:line="18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NYFRB in effect on such day plus 1/2 of 1% and (c) the sum of (a) the Adjusted LIBO Rate (after giving effect to any Adjusted LIBO Rate “floor”) that would be payable on such day for a Eurodollar Borrowing with a one-month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1.00% per annum;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with respect to the Initial Term Loans and the Revolving Loans, the Alternate Base Rate will be deemed to be 1.00% annum if the Alternate Base Rate calculated pursuant to the foregoing provisions would otherwise be less than 1.00%.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hereof, then the Alternate Base Rate shall be the greater of clauses (a) and (b) above and shall be determined without reference to clause (c) above.</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Account</w:t>
      </w:r>
      <w:r>
        <w:rPr>
          <w:rFonts w:ascii="Arial" w:cs="Arial" w:eastAsia="Arial" w:hAnsi="Arial"/>
          <w:sz w:val="19"/>
          <w:szCs w:val="19"/>
          <w:color w:val="auto"/>
        </w:rPr>
        <w:t>” means, with respect to any payment to be made to the Administrative Agent hereunder, the account specified by the Administrative Agent from time to time for the purpose of receiving payments of such type.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Discount</w:t>
      </w:r>
      <w:r>
        <w:rPr>
          <w:rFonts w:ascii="Arial" w:cs="Arial" w:eastAsia="Arial" w:hAnsi="Arial"/>
          <w:sz w:val="19"/>
          <w:szCs w:val="19"/>
          <w:color w:val="auto"/>
        </w:rPr>
        <w:t>” has the meaning assigned to such term in Section 2.09(a)(ii)(C)(2).</w:t>
      </w:r>
    </w:p>
    <w:p>
      <w:pPr>
        <w:spacing w:after="0" w:line="215"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Fronting Exposure</w:t>
      </w:r>
      <w:r>
        <w:rPr>
          <w:rFonts w:ascii="Arial" w:cs="Arial" w:eastAsia="Arial" w:hAnsi="Arial"/>
          <w:sz w:val="18"/>
          <w:szCs w:val="18"/>
          <w:color w:val="auto"/>
        </w:rPr>
        <w:t>” means, (a) with respect to any Person that is an Issuing Bank at any time, the sum of (i) the aggregate amount of all Letters of Credit issued by such Person in its capacity as an Issuing Bank (if applicable) that remains available for drawing at such time and (ii) the aggregate amount of all LC Disbursements made by such Person in its capacity as an Issuing Bank (if applicable) that have not yet been reimbursed by or on behalf of the Borrower at such time and (b) with respect to any Person that is a Swingline Lender at any time, the aggregate amount of all Swingline Loans issued by such Person in its capacity as a Swingline Lender (if applicable) that have not yet been reimbursed by or on behalf of the Borrower or been funded by other Revolving Lenders at such time.</w:t>
      </w:r>
    </w:p>
    <w:p>
      <w:pPr>
        <w:spacing w:after="0" w:line="157"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spacing w:after="0" w:line="140"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xml:space="preserve">” means, for any day, with respect to any Initial Term Loan or Initial Revolving Loan, the applicable rate per annum set forth below under the caption “ABR Spread” or “Adjusted LIBO Rate Spread” as the case may be, based upon the First Lien Leverage Ratio as of the end of the fiscal quarter of Holdings for which consolidated financial statements have theretofore been most recently delivered pursuant to Section 5.01(a) or 5.01(b);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until the date of the delivery of the consolidated financial statements pursuant to Section 5.01(a) or (b), as applicable, as of and for the fiscal quarter ended June 30, 2019, the Applicable Rate shall be based on the rates per annum set forth in Category 1:</w:t>
      </w:r>
    </w:p>
    <w:p>
      <w:pPr>
        <w:spacing w:after="0" w:line="275" w:lineRule="exact"/>
        <w:rPr>
          <w:sz w:val="20"/>
          <w:szCs w:val="20"/>
          <w:color w:val="auto"/>
        </w:rPr>
      </w:pPr>
    </w:p>
    <w:tbl>
      <w:tblPr>
        <w:tblLayout w:type="fixed"/>
        <w:tblInd w:w="1250" w:type="dxa"/>
        <w:tblCellMar>
          <w:top w:w="0" w:type="dxa"/>
          <w:left w:w="0" w:type="dxa"/>
          <w:bottom w:w="0" w:type="dxa"/>
          <w:right w:w="0" w:type="dxa"/>
        </w:tblCellMar>
      </w:tblPr>
      <w:tr>
        <w:trPr>
          <w:trHeight w:val="223"/>
        </w:trPr>
        <w:tc>
          <w:tcPr>
            <w:tcW w:w="424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19"/>
                <w:szCs w:val="19"/>
                <w:color w:val="auto"/>
              </w:rPr>
              <w:t>First Lien Leverage Ratio:</w:t>
            </w:r>
          </w:p>
        </w:tc>
        <w:tc>
          <w:tcPr>
            <w:tcW w:w="22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ABR Spread</w:t>
            </w:r>
          </w:p>
        </w:tc>
        <w:tc>
          <w:tcPr>
            <w:tcW w:w="2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Adjusted LIBO Rate Spread</w:t>
            </w:r>
          </w:p>
        </w:tc>
        <w:tc>
          <w:tcPr>
            <w:tcW w:w="0" w:type="dxa"/>
            <w:vAlign w:val="bottom"/>
          </w:tcPr>
          <w:p>
            <w:pPr>
              <w:spacing w:after="0"/>
              <w:rPr>
                <w:sz w:val="1"/>
                <w:szCs w:val="1"/>
                <w:color w:val="auto"/>
              </w:rPr>
            </w:pPr>
          </w:p>
        </w:tc>
      </w:tr>
      <w:tr>
        <w:trPr>
          <w:trHeight w:val="124"/>
        </w:trPr>
        <w:tc>
          <w:tcPr>
            <w:tcW w:w="40" w:type="dxa"/>
            <w:vAlign w:val="bottom"/>
            <w:tcBorders>
              <w:left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2180" w:type="dxa"/>
            <w:vAlign w:val="bottom"/>
            <w:tcBorders>
              <w:top w:val="single" w:sz="8" w:color="auto"/>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9"/>
                <w:szCs w:val="19"/>
                <w:color w:val="auto"/>
              </w:rPr>
              <w:t>Category 1</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9"/>
                <w:szCs w:val="19"/>
                <w:color w:val="auto"/>
              </w:rPr>
              <w:t>2.50%</w:t>
            </w:r>
          </w:p>
        </w:tc>
        <w:tc>
          <w:tcPr>
            <w:tcW w:w="1240" w:type="dxa"/>
            <w:vAlign w:val="bottom"/>
            <w:tcBorders>
              <w:right w:val="single" w:sz="8" w:color="auto"/>
            </w:tcBorders>
          </w:tcPr>
          <w:p>
            <w:pPr>
              <w:spacing w:after="0"/>
              <w:rPr>
                <w:sz w:val="22"/>
                <w:szCs w:val="22"/>
                <w:color w:val="auto"/>
              </w:rPr>
            </w:pPr>
          </w:p>
        </w:tc>
        <w:tc>
          <w:tcPr>
            <w:tcW w:w="2180" w:type="dxa"/>
            <w:vAlign w:val="bottom"/>
            <w:vMerge w:val="restart"/>
          </w:tcPr>
          <w:p>
            <w:pPr>
              <w:jc w:val="right"/>
              <w:ind w:right="1444"/>
              <w:spacing w:after="0"/>
              <w:rPr>
                <w:sz w:val="20"/>
                <w:szCs w:val="20"/>
                <w:color w:val="auto"/>
              </w:rPr>
            </w:pPr>
            <w:r>
              <w:rPr>
                <w:rFonts w:ascii="Arial" w:cs="Arial" w:eastAsia="Arial" w:hAnsi="Arial"/>
                <w:sz w:val="19"/>
                <w:szCs w:val="19"/>
                <w:color w:val="auto"/>
              </w:rPr>
              <w:t>3.50%</w:t>
            </w: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240" w:type="dxa"/>
            <w:vAlign w:val="bottom"/>
            <w:tcBorders>
              <w:left w:val="single" w:sz="8" w:color="auto"/>
              <w:right w:val="single" w:sz="8" w:color="auto"/>
            </w:tcBorders>
            <w:gridSpan w:val="4"/>
            <w:vMerge w:val="restart"/>
          </w:tcPr>
          <w:p>
            <w:pPr>
              <w:ind w:left="40"/>
              <w:spacing w:after="0"/>
              <w:rPr>
                <w:sz w:val="20"/>
                <w:szCs w:val="20"/>
                <w:color w:val="auto"/>
              </w:rPr>
            </w:pPr>
            <w:r>
              <w:rPr>
                <w:rFonts w:ascii="Arial" w:cs="Arial" w:eastAsia="Arial" w:hAnsi="Arial"/>
                <w:sz w:val="19"/>
                <w:szCs w:val="19"/>
                <w:color w:val="auto"/>
              </w:rPr>
              <w:t>Greater than 1.30 to 1.00</w:t>
            </w:r>
          </w:p>
        </w:tc>
        <w:tc>
          <w:tcPr>
            <w:tcW w:w="1000" w:type="dxa"/>
            <w:vAlign w:val="bottom"/>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180" w:type="dxa"/>
            <w:vAlign w:val="bottom"/>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240" w:type="dxa"/>
            <w:vAlign w:val="bottom"/>
            <w:tcBorders>
              <w:left w:val="single" w:sz="8" w:color="auto"/>
              <w:right w:val="single" w:sz="8" w:color="auto"/>
            </w:tcBorders>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40" w:type="dxa"/>
            <w:vAlign w:val="bottom"/>
            <w:tcBorders>
              <w:left w:val="single" w:sz="8" w:color="auto"/>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2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9"/>
                <w:szCs w:val="19"/>
                <w:color w:val="auto"/>
              </w:rPr>
              <w:t>Category 2</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9"/>
                <w:szCs w:val="19"/>
                <w:color w:val="auto"/>
              </w:rPr>
              <w:t>2.25%</w:t>
            </w:r>
          </w:p>
        </w:tc>
        <w:tc>
          <w:tcPr>
            <w:tcW w:w="1240" w:type="dxa"/>
            <w:vAlign w:val="bottom"/>
            <w:tcBorders>
              <w:right w:val="single" w:sz="8" w:color="auto"/>
            </w:tcBorders>
          </w:tcPr>
          <w:p>
            <w:pPr>
              <w:spacing w:after="0"/>
              <w:rPr>
                <w:sz w:val="22"/>
                <w:szCs w:val="22"/>
                <w:color w:val="auto"/>
              </w:rPr>
            </w:pPr>
          </w:p>
        </w:tc>
        <w:tc>
          <w:tcPr>
            <w:tcW w:w="2180" w:type="dxa"/>
            <w:vAlign w:val="bottom"/>
            <w:vMerge w:val="restart"/>
          </w:tcPr>
          <w:p>
            <w:pPr>
              <w:jc w:val="right"/>
              <w:ind w:right="1444"/>
              <w:spacing w:after="0"/>
              <w:rPr>
                <w:sz w:val="20"/>
                <w:szCs w:val="20"/>
                <w:color w:val="auto"/>
              </w:rPr>
            </w:pPr>
            <w:r>
              <w:rPr>
                <w:rFonts w:ascii="Arial" w:cs="Arial" w:eastAsia="Arial" w:hAnsi="Arial"/>
                <w:sz w:val="19"/>
                <w:szCs w:val="19"/>
                <w:color w:val="auto"/>
              </w:rPr>
              <w:t>3.25%</w:t>
            </w:r>
          </w:p>
        </w:tc>
        <w:tc>
          <w:tcPr>
            <w:tcW w:w="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240" w:type="dxa"/>
            <w:vAlign w:val="bottom"/>
            <w:tcBorders>
              <w:left w:val="single" w:sz="8" w:color="auto"/>
              <w:right w:val="single" w:sz="8" w:color="auto"/>
            </w:tcBorders>
            <w:gridSpan w:val="4"/>
            <w:vMerge w:val="restart"/>
          </w:tcPr>
          <w:p>
            <w:pPr>
              <w:ind w:left="40"/>
              <w:spacing w:after="0"/>
              <w:rPr>
                <w:sz w:val="20"/>
                <w:szCs w:val="20"/>
                <w:color w:val="auto"/>
              </w:rPr>
            </w:pPr>
            <w:r>
              <w:rPr>
                <w:rFonts w:ascii="Arial" w:cs="Arial" w:eastAsia="Arial" w:hAnsi="Arial"/>
                <w:sz w:val="19"/>
                <w:szCs w:val="19"/>
                <w:color w:val="auto"/>
              </w:rPr>
              <w:t>Less than or equal to 1.30 to 1.00</w:t>
            </w:r>
          </w:p>
        </w:tc>
        <w:tc>
          <w:tcPr>
            <w:tcW w:w="1000" w:type="dxa"/>
            <w:vAlign w:val="bottom"/>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180" w:type="dxa"/>
            <w:vAlign w:val="bottom"/>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240" w:type="dxa"/>
            <w:vAlign w:val="bottom"/>
            <w:tcBorders>
              <w:left w:val="single" w:sz="8" w:color="auto"/>
              <w:right w:val="single" w:sz="8" w:color="auto"/>
            </w:tcBorders>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40" w:type="dxa"/>
            <w:vAlign w:val="bottom"/>
            <w:tcBorders>
              <w:left w:val="single" w:sz="8" w:color="auto"/>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50" w:orient="portrait"/>
          <w:cols w:equalWidth="0" w:num="1">
            <w:col w:w="11420"/>
          </w:cols>
          <w:pgMar w:left="240" w:top="121" w:right="239" w:bottom="0" w:gutter="0" w:footer="0" w:header="0"/>
        </w:sectPr>
      </w:pPr>
    </w:p>
    <w:bookmarkStart w:id="91" w:name="page92"/>
    <w:bookmarkEnd w:id="91"/>
    <w:p>
      <w:pPr>
        <w:jc w:val="both"/>
        <w:spacing w:after="0" w:line="248" w:lineRule="auto"/>
        <w:rPr>
          <w:sz w:val="20"/>
          <w:szCs w:val="20"/>
          <w:color w:val="auto"/>
        </w:rPr>
      </w:pPr>
      <w:r>
        <w:rPr>
          <w:rFonts w:ascii="Arial" w:cs="Arial" w:eastAsia="Arial" w:hAnsi="Arial"/>
          <w:sz w:val="19"/>
          <w:szCs w:val="19"/>
          <w:color w:val="auto"/>
        </w:rPr>
        <w:t>For purposes of the foregoing, each change in the Applicable Rate resulting from a change in the First Lien Leverage Ratio shall be effective during the period commencing on and including the Business Day following the date of delivery to the Administrative Agent pursuant to Section 5.01(a) or 5.01(b) of the consolidated financial statements and related Compliance Certificate indicating such change in the First Lien Leverage Ratio and ending on the date immediately preceding the effective date of the next such change. Notwithstanding the foregoing, the Applicable Rate, at the option of the Administrative Agent or the Majority in Interest of the applicable Class,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Notwithstanding the foregoing, the Applicable Rate for any Term Loans or Revolving Loans of any Class other than the Initial Term Loans and the Revolving Loans made pursuant to Revolving Commitments established on the Closing Date shall be as set forth in the Refinancing Amendment, Incremental Term Facility Amendment or Incremental Revolving Facility Amendment, as applicable, relating to such Class. The Applicable Rate for any Initial Term Loans may be increased as necessary to comply with the requirements of Section 2.18(a)(ii).</w:t>
      </w:r>
    </w:p>
    <w:p>
      <w:pPr>
        <w:spacing w:after="0" w:line="15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Application</w:t>
      </w:r>
      <w:r>
        <w:rPr>
          <w:rFonts w:ascii="Arial" w:cs="Arial" w:eastAsia="Arial" w:hAnsi="Arial"/>
          <w:sz w:val="19"/>
          <w:szCs w:val="19"/>
          <w:color w:val="auto"/>
        </w:rPr>
        <w:t>” means an application, in such form as the Issuing Bank may specify from time to time, requesting the Issuing Bank to open a Letter of Credit.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Bank</w:t>
      </w:r>
      <w:r>
        <w:rPr>
          <w:rFonts w:ascii="Arial" w:cs="Arial" w:eastAsia="Arial" w:hAnsi="Arial"/>
          <w:sz w:val="19"/>
          <w:szCs w:val="19"/>
          <w:color w:val="auto"/>
        </w:rPr>
        <w:t>” has the meaning assigned to such term in the definition of the term “Permitted Investments.”</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 Contributions</w:t>
      </w:r>
      <w:r>
        <w:rPr>
          <w:rFonts w:ascii="Arial" w:cs="Arial" w:eastAsia="Arial" w:hAnsi="Arial"/>
          <w:sz w:val="19"/>
          <w:szCs w:val="19"/>
          <w:color w:val="auto"/>
        </w:rPr>
        <w:t>” means, immediately following the Merger on the Closing Date, the series of contributions consisting of: (i) the contribution of 100% of the Equity Interests of Impala Borrower, ITG and their respective Subsidiaries (the “</w:t>
      </w:r>
      <w:r>
        <w:rPr>
          <w:rFonts w:ascii="Arial" w:cs="Arial" w:eastAsia="Arial" w:hAnsi="Arial"/>
          <w:sz w:val="19"/>
          <w:szCs w:val="19"/>
          <w:u w:val="single" w:color="auto"/>
          <w:color w:val="auto"/>
        </w:rPr>
        <w:t>Impala Borrower Interests</w:t>
      </w:r>
      <w:r>
        <w:rPr>
          <w:rFonts w:ascii="Arial" w:cs="Arial" w:eastAsia="Arial" w:hAnsi="Arial"/>
          <w:sz w:val="19"/>
          <w:szCs w:val="19"/>
          <w:color w:val="auto"/>
        </w:rPr>
        <w:t>”) by VFI to Holdings; (ii) followed by the contribution of 100% of the Impala Borrower Interests to Virtu; and (iii) followed by the contribution of 100% of the Impala Borrower Interests by Virtu to Virtu Financial Operating LLC resulting in Impala Borrower, ITG and their respective Subsidiaries becoming Wholly Owned Subsidiaries of Virtu Financial Operating LLC.</w:t>
      </w:r>
    </w:p>
    <w:p>
      <w:pPr>
        <w:spacing w:after="0" w:line="16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 and Assumption</w:t>
      </w:r>
      <w:r>
        <w:rPr>
          <w:rFonts w:ascii="Arial" w:cs="Arial" w:eastAsia="Arial" w:hAnsi="Arial"/>
          <w:sz w:val="19"/>
          <w:szCs w:val="19"/>
          <w:color w:val="auto"/>
        </w:rPr>
        <w:t>” means an assignment and assumption entered into by a Lender and an Eligible Assignee (with the consent of any Person whose consent is required by Section 9.04), substantially in the form of Exhibit A-1 or any other form reasonably approved by the Administrative Agent.</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Assumed Tax Rate</w:t>
      </w:r>
      <w:r>
        <w:rPr>
          <w:rFonts w:ascii="Arial" w:cs="Arial" w:eastAsia="Arial" w:hAnsi="Arial"/>
          <w:sz w:val="19"/>
          <w:szCs w:val="19"/>
          <w:color w:val="auto"/>
        </w:rPr>
        <w:t>” means the greater of (i) 45% and (ii) the maximum marginal combined federal, state and local income tax rate applicable at such time to a natural person residing in New York City, New York.</w:t>
      </w:r>
    </w:p>
    <w:p>
      <w:pPr>
        <w:spacing w:after="0" w:line="14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Agent</w:t>
      </w:r>
      <w:r>
        <w:rPr>
          <w:rFonts w:ascii="Arial" w:cs="Arial" w:eastAsia="Arial" w:hAnsi="Arial"/>
          <w:sz w:val="18"/>
          <w:szCs w:val="18"/>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5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Audited Financial Statements</w:t>
      </w:r>
      <w:r>
        <w:rPr>
          <w:rFonts w:ascii="Arial" w:cs="Arial" w:eastAsia="Arial" w:hAnsi="Arial"/>
          <w:sz w:val="19"/>
          <w:szCs w:val="19"/>
          <w:color w:val="auto"/>
        </w:rPr>
        <w:t>” means the audited consolidated balance sheet of Holdings for the fiscal year ended December 31, 2018 and the related consolidated statements of income, changes in equity and cash flows of Holdings, including the notes thereto.</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Revolving Commitment</w:t>
      </w:r>
      <w:r>
        <w:rPr>
          <w:rFonts w:ascii="Arial" w:cs="Arial" w:eastAsia="Arial" w:hAnsi="Arial"/>
          <w:sz w:val="19"/>
          <w:szCs w:val="19"/>
          <w:color w:val="auto"/>
        </w:rPr>
        <w:t xml:space="preserve">” means as to any Revolving Lender at any time, an amount equal to the excess, if any, of (a) such Lender’s Revolving Commitment then in effect </w:t>
      </w:r>
      <w:r>
        <w:rPr>
          <w:rFonts w:ascii="Arial" w:cs="Arial" w:eastAsia="Arial" w:hAnsi="Arial"/>
          <w:sz w:val="19"/>
          <w:szCs w:val="19"/>
          <w:i w:val="1"/>
          <w:iCs w:val="1"/>
          <w:color w:val="auto"/>
        </w:rPr>
        <w:t>over</w:t>
      </w:r>
      <w:r>
        <w:rPr>
          <w:rFonts w:ascii="Arial" w:cs="Arial" w:eastAsia="Arial" w:hAnsi="Arial"/>
          <w:sz w:val="19"/>
          <w:szCs w:val="19"/>
          <w:color w:val="auto"/>
        </w:rPr>
        <w:t xml:space="preserve"> (b) such Lender’s Revolving Exposure then outstanding.</w:t>
      </w:r>
    </w:p>
    <w:p>
      <w:pPr>
        <w:spacing w:after="0" w:line="145"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RP Capacity Amount</w:t>
      </w:r>
      <w:r>
        <w:rPr>
          <w:rFonts w:ascii="Arial" w:cs="Arial" w:eastAsia="Arial" w:hAnsi="Arial"/>
          <w:sz w:val="17"/>
          <w:szCs w:val="17"/>
          <w:color w:val="auto"/>
        </w:rPr>
        <w:t>” means, at any time of determination, the aggregate amount of Restricted Payments that may be made at such time pursuant to clauses (vii), (viii), (x) and (xi) of Section 6.08(a), minus the sum of the amount of the Available RP Capacity Amount under clauses (vii) and (x) of Section 6.08(a) utilized by the Borrower or any Restricted Subsidiary to make Restricted Payments in reliance on such clauses (it being understood that utilization of the Available RP Capacity Amount for purposes of incurrence of Indebtedness under Section 6.01(a) (xxvi) shall reduce the amount available under the applicable clause in Section 6.08(a) so long as such Indebtedness remains outstanding).</w:t>
      </w:r>
    </w:p>
    <w:p>
      <w:pPr>
        <w:spacing w:after="0" w:line="140"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 Code, as amended, or any similar federal or state law for the relief of debtors.</w:t>
      </w:r>
    </w:p>
    <w:p>
      <w:pPr>
        <w:spacing w:after="0" w:line="226"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ectPr>
          <w:pgSz w:w="11900" w:h="16838" w:orient="portrait"/>
          <w:cols w:equalWidth="0" w:num="1">
            <w:col w:w="11420"/>
          </w:cols>
          <w:pgMar w:left="240" w:top="333" w:right="239" w:bottom="47" w:gutter="0" w:footer="0" w:header="0"/>
        </w:sectPr>
      </w:pPr>
    </w:p>
    <w:bookmarkStart w:id="92" w:name="page93"/>
    <w:bookmarkEnd w:id="92"/>
    <w:p>
      <w:pPr>
        <w:jc w:val="both"/>
        <w:ind w:firstLine="63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3"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Certification</w:t>
      </w:r>
      <w:r>
        <w:rPr>
          <w:rFonts w:ascii="Arial" w:cs="Arial" w:eastAsia="Arial" w:hAnsi="Arial"/>
          <w:sz w:val="19"/>
          <w:szCs w:val="19"/>
          <w:color w:val="auto"/>
        </w:rPr>
        <w:t>” means a certification regarding beneficial ownership as required by the Beneficial Ownership Regulation.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Regulation</w:t>
      </w:r>
      <w:r>
        <w:rPr>
          <w:rFonts w:ascii="Arial" w:cs="Arial" w:eastAsia="Arial" w:hAnsi="Arial"/>
          <w:sz w:val="19"/>
          <w:szCs w:val="19"/>
          <w:color w:val="auto"/>
        </w:rPr>
        <w:t>” means 31 C.F.R. § 1010.230.</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Benefit Plan</w:t>
      </w:r>
      <w:r>
        <w:rPr>
          <w:rFonts w:ascii="Arial" w:cs="Arial" w:eastAsia="Arial" w:hAnsi="Arial"/>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Governors</w:t>
      </w:r>
      <w:r>
        <w:rPr>
          <w:rFonts w:ascii="Arial" w:cs="Arial" w:eastAsia="Arial" w:hAnsi="Arial"/>
          <w:sz w:val="19"/>
          <w:szCs w:val="19"/>
          <w:color w:val="auto"/>
        </w:rPr>
        <w:t>” means the Board of Governors of the Federal Reserve System of the United States of America.</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w:t>
      </w:r>
      <w:r>
        <w:rPr>
          <w:rFonts w:ascii="Arial" w:cs="Arial" w:eastAsia="Arial" w:hAnsi="Arial"/>
          <w:sz w:val="19"/>
          <w:szCs w:val="19"/>
          <w:color w:val="auto"/>
        </w:rPr>
        <w:t>” has the meaning assigned to such term in the preamble. It is understood that following the Acquisition Term Loan Assumption, Virtu shall be the sole Borrower.</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Assignment and Assumption</w:t>
      </w:r>
      <w:r>
        <w:rPr>
          <w:rFonts w:ascii="Arial" w:cs="Arial" w:eastAsia="Arial" w:hAnsi="Arial"/>
          <w:sz w:val="19"/>
          <w:szCs w:val="19"/>
          <w:color w:val="auto"/>
        </w:rPr>
        <w:t>” means an assignment and assumption agreement substantially in the form of Exhibit A-2, or any other form reasonably approved by the Administrative Agent.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Materials</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Offer of Specified Discount Prepayment</w:t>
      </w:r>
      <w:r>
        <w:rPr>
          <w:rFonts w:ascii="Arial" w:cs="Arial" w:eastAsia="Arial" w:hAnsi="Arial"/>
          <w:sz w:val="19"/>
          <w:szCs w:val="19"/>
          <w:color w:val="auto"/>
        </w:rPr>
        <w:t>” means the offer by the Borrower to make a voluntary prepayment of Term Loans at a specified discount to par pursuant to Section 2.09(a)(ii)(B).</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Solicitation of Discount Range Prepayment Offers</w:t>
      </w:r>
      <w:r>
        <w:rPr>
          <w:rFonts w:ascii="Arial" w:cs="Arial" w:eastAsia="Arial" w:hAnsi="Arial"/>
          <w:sz w:val="19"/>
          <w:szCs w:val="19"/>
          <w:color w:val="auto"/>
        </w:rPr>
        <w:t>” means the solicitation by the Borrower of offers for, and the corresponding acceptance by a Term Lender of, a voluntary prepayment of Term Loans at a specified range at a discount to par pursuant to Section 2.09(a)(ii)(C).</w:t>
      </w:r>
    </w:p>
    <w:p>
      <w:pPr>
        <w:spacing w:after="0" w:line="161"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Solicitation of Discounted Prepayment Offers</w:t>
      </w:r>
      <w:r>
        <w:rPr>
          <w:rFonts w:ascii="Arial" w:cs="Arial" w:eastAsia="Arial" w:hAnsi="Arial"/>
          <w:sz w:val="18"/>
          <w:szCs w:val="18"/>
          <w:color w:val="auto"/>
        </w:rPr>
        <w:t>” means the solicitation by the Borrower of offers for, and the subsequent acceptance, if any, by a Term Lender of, a voluntary prepayment of Term Loans at a discount to par pursuant to Section 2.09(a)(ii)(D).</w:t>
      </w:r>
    </w:p>
    <w:p>
      <w:pPr>
        <w:spacing w:after="0" w:line="12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Borrowing</w:t>
      </w:r>
      <w:r>
        <w:rPr>
          <w:rFonts w:ascii="Arial" w:cs="Arial" w:eastAsia="Arial" w:hAnsi="Arial"/>
          <w:sz w:val="19"/>
          <w:szCs w:val="19"/>
          <w:color w:val="auto"/>
        </w:rPr>
        <w:t>” means (i) Loans of the same Class and Type, made, converted or continued on the same date and, in the case of Eurodollar Loans, as to which a single Interest Period is in effect, or (ii) a Swingline Loan.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Borrowing Request</w:t>
      </w:r>
      <w:r>
        <w:rPr>
          <w:rFonts w:ascii="Arial" w:cs="Arial" w:eastAsia="Arial" w:hAnsi="Arial"/>
          <w:sz w:val="19"/>
          <w:szCs w:val="19"/>
          <w:color w:val="auto"/>
        </w:rPr>
        <w:t>” means a request by the Borrower for a Borrowing in accordance with Section 2.03.</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Broker-Dealer Subsidiary</w:t>
      </w:r>
      <w:r>
        <w:rPr>
          <w:rFonts w:ascii="Arial" w:cs="Arial" w:eastAsia="Arial" w:hAnsi="Arial"/>
          <w:sz w:val="19"/>
          <w:szCs w:val="19"/>
          <w:color w:val="auto"/>
        </w:rPr>
        <w:t>” means any Restricted Subsidiary that is registered as (a) a broker or a dealer pursuant to Section 15 of the Exchange Act or (b) a broker or a dealer or an underwriter under any foreign securities law.</w:t>
      </w:r>
    </w:p>
    <w:p>
      <w:pPr>
        <w:spacing w:after="0" w:line="14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other than a Saturday, Sunday or day on which banks in New York City are authorized or required by law to close;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used in connection with a Eurodollar Loan or an ABR Loan based on the LIBO Rate, the term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shall also exclude any day on which banks are not open for dealings in dollar deposits in the London interbank market.</w:t>
      </w:r>
    </w:p>
    <w:p>
      <w:pPr>
        <w:spacing w:after="0" w:line="145"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40"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Leases</w:t>
      </w:r>
      <w:r>
        <w:rPr>
          <w:rFonts w:ascii="Arial" w:cs="Arial" w:eastAsia="Arial" w:hAnsi="Arial"/>
          <w:sz w:val="19"/>
          <w:szCs w:val="19"/>
          <w:color w:val="auto"/>
        </w:rPr>
        <w:t xml:space="preserve">” means all leases that have been or should be, in accordance with GAAP, recorded as capitalized leases or finance leases;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all purposes hereunder the amount of obligations under any Capitalized Lease shall be the amount thereof accounted for as a liability in accordance with GAAP.</w:t>
      </w:r>
    </w:p>
    <w:p>
      <w:pPr>
        <w:spacing w:after="0" w:line="161"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67"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Management Obligations</w:t>
      </w:r>
      <w:r>
        <w:rPr>
          <w:rFonts w:ascii="Arial" w:cs="Arial" w:eastAsia="Arial" w:hAnsi="Arial"/>
          <w:sz w:val="19"/>
          <w:szCs w:val="19"/>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Casualty Event</w:t>
      </w:r>
      <w:r>
        <w:rPr>
          <w:rFonts w:ascii="Arial" w:cs="Arial" w:eastAsia="Arial" w:hAnsi="Arial"/>
          <w:sz w:val="19"/>
          <w:szCs w:val="19"/>
          <w:color w:val="auto"/>
        </w:rPr>
        <w:t>” means any event that gives rise to the receipt by Holdings, any Intermediate Parent, the Borrower or any Restricted Subsidiary of Holdings of any insurance proceeds or condemnation awards in respect of any equipment, fixed assets or real property (including any improvements thereon) to replace or repair such equipment, fixed assets or real property.</w:t>
      </w:r>
    </w:p>
    <w:p>
      <w:pPr>
        <w:sectPr>
          <w:pgSz w:w="11900" w:h="16838" w:orient="portrait"/>
          <w:cols w:equalWidth="0" w:num="1">
            <w:col w:w="11420"/>
          </w:cols>
          <w:pgMar w:left="240" w:top="118" w:right="239" w:bottom="0" w:gutter="0" w:footer="0" w:header="0"/>
        </w:sectPr>
      </w:pPr>
    </w:p>
    <w:bookmarkStart w:id="93" w:name="page94"/>
    <w:bookmarkEnd w:id="93"/>
    <w:p>
      <w:pPr>
        <w:spacing w:after="0" w:line="121"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either VFI or Holdings, directly or indirectly through Wholly Owned Subsidiaries, to own all of the Equity Interests of the Borrower; or</w:t>
      </w:r>
    </w:p>
    <w:p>
      <w:pPr>
        <w:spacing w:after="0" w:line="1" w:lineRule="exact"/>
        <w:rPr>
          <w:sz w:val="20"/>
          <w:szCs w:val="20"/>
          <w:color w:val="auto"/>
        </w:rPr>
      </w:pPr>
    </w:p>
    <w:p>
      <w:pPr>
        <w:jc w:val="both"/>
        <w:ind w:firstLine="5"/>
        <w:spacing w:after="0" w:line="251" w:lineRule="auto"/>
        <w:tabs>
          <w:tab w:leader="none" w:pos="27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occurrence of a “Change of Control” (or similar event, however denominated), as defined in the documentation governing the Second Lien Notes or any Material Indebtedness that is Permitted First Priority Refinancing Debt, Permitted Junior Lien Refinancing Debt, Permitted Unsecured Refinancing Debt, Incremental Equivalent Debt or Junior Financing.</w:t>
      </w:r>
    </w:p>
    <w:p>
      <w:pPr>
        <w:spacing w:after="0" w:line="172"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(a) the adoption of any rule, regulation, treaty or other law after the Closing Date, (b) any change in any rule, regulation, treaty or other law or in the administration, interpretation or application thereof by any Governmental Authority or Regulatory Supervising Organization after the Closing Date or (c) the making or issuance of any request, guideline or directive (whether or not having the force of law) of any Governmental Authority or Regulatory Supervising Organization made or issued after the Closing Date.</w:t>
      </w:r>
    </w:p>
    <w:p>
      <w:pPr>
        <w:spacing w:after="0" w:line="154"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Other Revolving Loans, Initial Term Loans, Other Term Loans, Incremental Term Loans (other than in the form of additional Initial Term Loans), loans under an Incremental Revolving Facility or Swingline Loans,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than commitments in respect of increases to existing Revolving Commitments), Other Term Loans, Incremental Term Loans (other than Incremental Term Loans in the form of Initial Term Loans), Other Revolving Commitments (and the Other Revolving Loans made pursuant thereto), loans under an Incremental Revolving Facility and Incremental Term Facilities that have different terms and conditions shall be construed to be in different Classes.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means March 1, 2019.</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 Refinancings</w:t>
      </w:r>
      <w:r>
        <w:rPr>
          <w:rFonts w:ascii="Arial" w:cs="Arial" w:eastAsia="Arial" w:hAnsi="Arial"/>
          <w:sz w:val="19"/>
          <w:szCs w:val="19"/>
          <w:color w:val="auto"/>
        </w:rPr>
        <w:t>” means the ITG Refinancing and the Existing Credit Agreement Refinancing.</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means any and all assets, whether real or personal, tangible or intangible, on which Liens are purported to be granted pursuant to the Security Documents as security for the Secured Obligations.</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Agreement</w:t>
      </w:r>
      <w:r>
        <w:rPr>
          <w:rFonts w:ascii="Arial" w:cs="Arial" w:eastAsia="Arial" w:hAnsi="Arial"/>
          <w:sz w:val="19"/>
          <w:szCs w:val="19"/>
          <w:color w:val="auto"/>
        </w:rPr>
        <w:t>” means the Collateral Agreement, dated as of March 1, 2019, among the Borrower, each other Loan Party and the Administrative Agent, initially substantially in the form of Exhibit 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and Guarantee Requirement</w:t>
      </w:r>
      <w:r>
        <w:rPr>
          <w:rFonts w:ascii="Arial" w:cs="Arial" w:eastAsia="Arial" w:hAnsi="Arial"/>
          <w:sz w:val="19"/>
          <w:szCs w:val="19"/>
          <w:color w:val="auto"/>
        </w:rPr>
        <w:t>” means, at any time, the requirement that:</w:t>
      </w:r>
    </w:p>
    <w:p>
      <w:pPr>
        <w:spacing w:after="0" w:line="221" w:lineRule="exact"/>
        <w:rPr>
          <w:sz w:val="20"/>
          <w:szCs w:val="20"/>
          <w:color w:val="auto"/>
        </w:rPr>
      </w:pPr>
    </w:p>
    <w:p>
      <w:pPr>
        <w:jc w:val="both"/>
        <w:ind w:firstLine="635"/>
        <w:spacing w:after="0" w:line="280" w:lineRule="auto"/>
        <w:tabs>
          <w:tab w:leader="none" w:pos="10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w:t>
      </w:r>
    </w:p>
    <w:p>
      <w:pPr>
        <w:spacing w:after="0" w:line="155" w:lineRule="exact"/>
        <w:rPr>
          <w:rFonts w:ascii="Arial" w:cs="Arial" w:eastAsia="Arial" w:hAnsi="Arial"/>
          <w:sz w:val="17"/>
          <w:szCs w:val="17"/>
          <w:color w:val="auto"/>
        </w:rPr>
      </w:pPr>
    </w:p>
    <w:p>
      <w:pPr>
        <w:jc w:val="both"/>
        <w:ind w:firstLine="635"/>
        <w:spacing w:after="0" w:line="250" w:lineRule="auto"/>
        <w:tabs>
          <w:tab w:leader="none" w:pos="11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the Equity Interests of any Regulated Subsidiary, such instruments shall be subject to customary enforcement limitations, including regulatory approvals at the time of enforcement;</w:t>
      </w:r>
    </w:p>
    <w:p>
      <w:pPr>
        <w:spacing w:after="0" w:line="183" w:lineRule="exact"/>
        <w:rPr>
          <w:rFonts w:ascii="Arial" w:cs="Arial" w:eastAsia="Arial" w:hAnsi="Arial"/>
          <w:sz w:val="19"/>
          <w:szCs w:val="19"/>
          <w:color w:val="auto"/>
        </w:rPr>
      </w:pPr>
    </w:p>
    <w:p>
      <w:pPr>
        <w:jc w:val="both"/>
        <w:ind w:firstLine="635"/>
        <w:spacing w:after="0" w:line="294" w:lineRule="auto"/>
        <w:tabs>
          <w:tab w:leader="none" w:pos="1133"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pacing w:after="0" w:line="144" w:lineRule="exact"/>
        <w:rPr>
          <w:rFonts w:ascii="Arial" w:cs="Arial" w:eastAsia="Arial" w:hAnsi="Arial"/>
          <w:sz w:val="17"/>
          <w:szCs w:val="17"/>
          <w:color w:val="auto"/>
        </w:rPr>
      </w:pPr>
    </w:p>
    <w:p>
      <w:pPr>
        <w:jc w:val="both"/>
        <w:ind w:firstLine="635"/>
        <w:spacing w:after="0" w:line="269" w:lineRule="auto"/>
        <w:tabs>
          <w:tab w:leader="none" w:pos="10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required by the Security Documents or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spacing w:after="0" w:line="165" w:lineRule="exact"/>
        <w:rPr>
          <w:rFonts w:ascii="Arial" w:cs="Arial" w:eastAsia="Arial" w:hAnsi="Arial"/>
          <w:sz w:val="18"/>
          <w:szCs w:val="18"/>
          <w:color w:val="auto"/>
        </w:rPr>
      </w:pPr>
    </w:p>
    <w:p>
      <w:pPr>
        <w:jc w:val="both"/>
        <w:ind w:firstLine="635"/>
        <w:spacing w:after="0" w:line="304" w:lineRule="auto"/>
        <w:tabs>
          <w:tab w:leader="none" w:pos="10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within 90 days after a request therefor by the Administrative Agent in accordance with Section 5.12(b), the Administrative Agent shall have received (i) counterparts of a Mortgage with respect to each Mortgaged Property duly executed and delivered by the record owner of such Mortgaged Property, (ii) a policy or policies of title insurance insuring the Lien of each such Mortgage as a first priority Lien on the Mortgaged</w:t>
      </w:r>
    </w:p>
    <w:p>
      <w:pPr>
        <w:sectPr>
          <w:pgSz w:w="11900" w:h="16959" w:orient="portrait"/>
          <w:cols w:equalWidth="0" w:num="1">
            <w:col w:w="11420"/>
          </w:cols>
          <w:pgMar w:left="240" w:top="118" w:right="239" w:bottom="0" w:gutter="0" w:footer="0" w:header="0"/>
        </w:sectPr>
      </w:pPr>
    </w:p>
    <w:bookmarkStart w:id="94" w:name="page95"/>
    <w:bookmarkEnd w:id="94"/>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Property described therein, (w) issued by a nationally recognized title insurance company, (x) free of any other Liens except as expressly permitted by Section 6.02, (y) together with such endorsements, coinsurance and reinsurance as the Administrative Agent may reasonably request and which are available at commercially reasonably rates in the jurisdiction where the applicable Mortgaged Property is located, and (z) in an amount reasonably satisfactory to the Administrative Agent but in no event exceeding One Hundred Ten Percent (110%) of the value of such property, (iii) a completed “Life of Loan” Federal Emergency Management Agency flood hazard determination with respect to such Mortgaged Property, and if any Mortgaged Property is located in an area determined by the Federal Emergency Management Agency to have special flood hazards, (y) a notice about special flood hazard area status and flood disaster assistance duly executed by the record owner of such Mortgaged Property, and (z) evidence of such flood insurance as may be required under applicable law, including Regulation H of the Board of Governors and (iv) such legal opinions as the Administrative Agent may reasonably request with respect to any such Mortgage or Mortgaged Property.</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foregoing provisions of this definition or anything in this Agreement or any other Loan Document to the contrary, (i)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(ii) Liens required to be granted from time to time pursuant to the term “Collateral and Guarantee Requirement” shall be subject to exceptions and limitations set forth in the Security Documents as in effect on the Closing Date, (iii)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(iv) in no event shall any Loan Party be required to complete any filings or other action with respect to the perfection or creation of security interests in any jurisdiction outside of the United States (or otherwise enter into any security agreements, mortgages or pledge agreements governed by the laws of any jurisdiction outside of the United States), (v) in no event shall the Collateral include any Excluded Assets, (vi) in no event shall landlord lien waivers, estoppels and collateral access letters be required and (vii) none of Virtu GW Comm LLC, Virtu Japan PTS Holdings LLC, Geodesic Networks, LLC, GETCO Investments, LLC, GETCO Strategic Investments, LLC or GETCO Trading, LLC shall be required to become a Guarantor until such time as it would no longer be required to be registered as an “investment company” under the Investment Company Act of 1940, as amended, and the rules and the regulations of the SEC thereunder, as a result of being a Guarantor (unless such Subsidiary would otherwise be excluded pursuant to clause (i) above or the definition of “Excluded Subsidiary”).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 (or the Guarantee Agreement, to the extent applicable).</w:t>
      </w:r>
    </w:p>
    <w:p>
      <w:pPr>
        <w:spacing w:after="0" w:line="390"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 and (b) with respect to any Swingline Lender, its Swingline Commitment.</w:t>
      </w:r>
    </w:p>
    <w:p>
      <w:pPr>
        <w:spacing w:after="0" w:line="14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 Fee Rate</w:t>
      </w:r>
      <w:r>
        <w:rPr>
          <w:rFonts w:ascii="Arial" w:cs="Arial" w:eastAsia="Arial" w:hAnsi="Arial"/>
          <w:sz w:val="19"/>
          <w:szCs w:val="19"/>
          <w:color w:val="auto"/>
        </w:rPr>
        <w:t xml:space="preserve">” means, for any day, the applicable percentage set forth below under the caption “Commitment Fee Percentage” based upon the First Lien Leverage Ratio as of the end of the fiscal quarter of Holdings for which consolidated financial statements have theretofore been most recently delivered pursuant to Section 5.01(a) or 5.01(b);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until the date of the delivery of the consolidated financial statements pursuant to Section 5.01(a) or (b), as applicable, as of and for the fiscal quarter ended June 30, 2019, the Commitment Fee Percentage shall be based on the rates per annum set forth in Category 1:</w:t>
      </w:r>
    </w:p>
    <w:p>
      <w:pPr>
        <w:spacing w:after="0" w:line="303" w:lineRule="exact"/>
        <w:rPr>
          <w:sz w:val="20"/>
          <w:szCs w:val="20"/>
          <w:color w:val="auto"/>
        </w:rPr>
      </w:pPr>
    </w:p>
    <w:tbl>
      <w:tblPr>
        <w:tblLayout w:type="fixed"/>
        <w:tblInd w:w="1450" w:type="dxa"/>
        <w:tblCellMar>
          <w:top w:w="0" w:type="dxa"/>
          <w:left w:w="0" w:type="dxa"/>
          <w:bottom w:w="0" w:type="dxa"/>
          <w:right w:w="0" w:type="dxa"/>
        </w:tblCellMar>
      </w:tblPr>
      <w:tr>
        <w:trPr>
          <w:trHeight w:val="294"/>
        </w:trPr>
        <w:tc>
          <w:tcPr>
            <w:tcW w:w="3800" w:type="dxa"/>
            <w:vAlign w:val="bottom"/>
            <w:tcBorders>
              <w:top w:val="single" w:sz="8" w:color="auto"/>
              <w:left w:val="single" w:sz="8" w:color="auto"/>
              <w:right w:val="single" w:sz="8" w:color="auto"/>
            </w:tcBorders>
            <w:shd w:val="clear" w:color="auto" w:fill="E0E0E0"/>
          </w:tcPr>
          <w:p>
            <w:pPr>
              <w:ind w:left="60"/>
              <w:spacing w:after="0"/>
              <w:rPr>
                <w:sz w:val="20"/>
                <w:szCs w:val="20"/>
                <w:color w:val="auto"/>
              </w:rPr>
            </w:pPr>
            <w:r>
              <w:rPr>
                <w:rFonts w:ascii="Arial" w:cs="Arial" w:eastAsia="Arial" w:hAnsi="Arial"/>
                <w:sz w:val="19"/>
                <w:szCs w:val="19"/>
                <w:color w:val="auto"/>
              </w:rPr>
              <w:t>First Lien Leverage Ratio</w:t>
            </w:r>
          </w:p>
        </w:tc>
        <w:tc>
          <w:tcPr>
            <w:tcW w:w="2600" w:type="dxa"/>
            <w:vAlign w:val="bottom"/>
            <w:tcBorders>
              <w:top w:val="single" w:sz="8" w:color="auto"/>
              <w:right w:val="single" w:sz="8" w:color="auto"/>
            </w:tcBorders>
            <w:shd w:val="clear" w:color="auto" w:fill="E0E0E0"/>
          </w:tcPr>
          <w:p>
            <w:pPr>
              <w:ind w:left="20"/>
              <w:spacing w:after="0"/>
              <w:rPr>
                <w:sz w:val="20"/>
                <w:szCs w:val="20"/>
                <w:color w:val="auto"/>
              </w:rPr>
            </w:pPr>
            <w:r>
              <w:rPr>
                <w:rFonts w:ascii="Arial" w:cs="Arial" w:eastAsia="Arial" w:hAnsi="Arial"/>
                <w:sz w:val="19"/>
                <w:szCs w:val="19"/>
                <w:color w:val="auto"/>
              </w:rPr>
              <w:t>Commitment Fee Percentage</w:t>
            </w:r>
          </w:p>
        </w:tc>
      </w:tr>
      <w:tr>
        <w:trPr>
          <w:trHeight w:val="414"/>
        </w:trPr>
        <w:tc>
          <w:tcPr>
            <w:tcW w:w="3800" w:type="dxa"/>
            <w:vAlign w:val="bottom"/>
            <w:tcBorders>
              <w:left w:val="single" w:sz="8" w:color="auto"/>
              <w:bottom w:val="single" w:sz="8" w:color="auto"/>
              <w:right w:val="single" w:sz="8" w:color="auto"/>
            </w:tcBorders>
            <w:shd w:val="clear" w:color="auto" w:fill="E0E0E0"/>
          </w:tcPr>
          <w:p>
            <w:pPr>
              <w:spacing w:after="0"/>
              <w:rPr>
                <w:sz w:val="24"/>
                <w:szCs w:val="24"/>
                <w:color w:val="auto"/>
              </w:rPr>
            </w:pPr>
          </w:p>
        </w:tc>
        <w:tc>
          <w:tcPr>
            <w:tcW w:w="2600" w:type="dxa"/>
            <w:vAlign w:val="bottom"/>
            <w:tcBorders>
              <w:bottom w:val="single" w:sz="8" w:color="auto"/>
              <w:right w:val="single" w:sz="8" w:color="auto"/>
            </w:tcBorders>
            <w:shd w:val="clear" w:color="auto" w:fill="E0E0E0"/>
          </w:tcPr>
          <w:p>
            <w:pPr>
              <w:spacing w:after="0"/>
              <w:rPr>
                <w:sz w:val="24"/>
                <w:szCs w:val="24"/>
                <w:color w:val="auto"/>
              </w:rPr>
            </w:pPr>
          </w:p>
        </w:tc>
      </w:tr>
      <w:tr>
        <w:trPr>
          <w:trHeight w:val="248"/>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Category 1</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0.500%</w:t>
            </w:r>
          </w:p>
        </w:tc>
      </w:tr>
      <w:tr>
        <w:trPr>
          <w:trHeight w:val="433"/>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Greater than 1.30 to 1.00</w:t>
            </w:r>
          </w:p>
        </w:tc>
        <w:tc>
          <w:tcPr>
            <w:tcW w:w="2600" w:type="dxa"/>
            <w:vAlign w:val="bottom"/>
            <w:tcBorders>
              <w:right w:val="single" w:sz="8" w:color="auto"/>
            </w:tcBorders>
          </w:tcPr>
          <w:p>
            <w:pPr>
              <w:spacing w:after="0"/>
              <w:rPr>
                <w:sz w:val="24"/>
                <w:szCs w:val="24"/>
                <w:color w:val="auto"/>
              </w:rPr>
            </w:pPr>
          </w:p>
        </w:tc>
      </w:tr>
      <w:tr>
        <w:trPr>
          <w:trHeight w:val="231"/>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r>
      <w:tr>
        <w:trPr>
          <w:trHeight w:val="248"/>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Category 2</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0.375%</w:t>
            </w:r>
          </w:p>
        </w:tc>
      </w:tr>
      <w:tr>
        <w:trPr>
          <w:trHeight w:val="411"/>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5"/>
              </w:rPr>
              <w:t>Less than or equal to 1.30 to 1.00 and greater</w:t>
            </w:r>
          </w:p>
        </w:tc>
        <w:tc>
          <w:tcPr>
            <w:tcW w:w="2600" w:type="dxa"/>
            <w:vAlign w:val="bottom"/>
            <w:tcBorders>
              <w:right w:val="single" w:sz="8" w:color="auto"/>
            </w:tcBorders>
          </w:tcPr>
          <w:p>
            <w:pPr>
              <w:spacing w:after="0"/>
              <w:rPr>
                <w:sz w:val="24"/>
                <w:szCs w:val="24"/>
                <w:color w:val="auto"/>
              </w:rPr>
            </w:pPr>
          </w:p>
        </w:tc>
      </w:tr>
      <w:tr>
        <w:trPr>
          <w:trHeight w:val="245"/>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than 0.80 to 1.00</w:t>
            </w:r>
          </w:p>
        </w:tc>
        <w:tc>
          <w:tcPr>
            <w:tcW w:w="2600" w:type="dxa"/>
            <w:vAlign w:val="bottom"/>
            <w:tcBorders>
              <w:right w:val="single" w:sz="8" w:color="auto"/>
            </w:tcBorders>
          </w:tcPr>
          <w:p>
            <w:pPr>
              <w:spacing w:after="0"/>
              <w:rPr>
                <w:sz w:val="21"/>
                <w:szCs w:val="21"/>
                <w:color w:val="auto"/>
              </w:rPr>
            </w:pPr>
          </w:p>
        </w:tc>
      </w:tr>
      <w:tr>
        <w:trPr>
          <w:trHeight w:val="231"/>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r>
      <w:tr>
        <w:trPr>
          <w:trHeight w:val="248"/>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Category 3</w:t>
            </w:r>
          </w:p>
        </w:tc>
        <w:tc>
          <w:tcPr>
            <w:tcW w:w="26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0.250%</w:t>
            </w:r>
          </w:p>
        </w:tc>
      </w:tr>
      <w:tr>
        <w:trPr>
          <w:trHeight w:val="433"/>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Less than or equal to 0.80 to 1.00</w:t>
            </w:r>
          </w:p>
        </w:tc>
        <w:tc>
          <w:tcPr>
            <w:tcW w:w="2600" w:type="dxa"/>
            <w:vAlign w:val="bottom"/>
            <w:tcBorders>
              <w:right w:val="single" w:sz="8" w:color="auto"/>
            </w:tcBorders>
          </w:tcPr>
          <w:p>
            <w:pPr>
              <w:spacing w:after="0"/>
              <w:rPr>
                <w:sz w:val="24"/>
                <w:szCs w:val="24"/>
                <w:color w:val="auto"/>
              </w:rPr>
            </w:pPr>
          </w:p>
        </w:tc>
      </w:tr>
      <w:tr>
        <w:trPr>
          <w:trHeight w:val="231"/>
        </w:trPr>
        <w:tc>
          <w:tcPr>
            <w:tcW w:w="380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r>
      <w:tr>
        <w:trPr>
          <w:trHeight w:val="20"/>
        </w:trPr>
        <w:tc>
          <w:tcPr>
            <w:tcW w:w="3800" w:type="dxa"/>
            <w:vAlign w:val="bottom"/>
            <w:tcBorders>
              <w:left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the foregoing, each change in the Commitment Fee Percentage resulting from a change in the First Lien Leverage Ratio shall be effective during the period commencing on and including the Business Day following the date of delivery to the Administrative Agent pursuant to Section 5.01(a) or 5.01(b) of the consolidated financial statements and related Compliance Certificate indicating such change in the First Lien Leverage Ratio and ending on the date immediately preceding the effective date of the next such change. Notwithstanding the foregoing, the Commitment Fee Percentage, at the option of the Administrative Agent or the Required Revolving Lenders,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63"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Income Amount</w:t>
      </w:r>
      <w:r>
        <w:rPr>
          <w:rFonts w:ascii="Arial" w:cs="Arial" w:eastAsia="Arial" w:hAnsi="Arial"/>
          <w:sz w:val="18"/>
          <w:szCs w:val="18"/>
          <w:color w:val="auto"/>
        </w:rPr>
        <w:t>” means, for a Tax Estimation Period, an amount, if positive, equal to the estimated net taxable income of Holdings for such Tax Estimation Period. For purposes of calculating the Company Income Amount, items of income, gain, loss and deduction</w:t>
      </w:r>
    </w:p>
    <w:p>
      <w:pPr>
        <w:sectPr>
          <w:pgSz w:w="11900" w:h="16942" w:orient="portrait"/>
          <w:cols w:equalWidth="0" w:num="1">
            <w:col w:w="11420"/>
          </w:cols>
          <w:pgMar w:left="240" w:top="121" w:right="239" w:bottom="0" w:gutter="0" w:footer="0" w:header="0"/>
        </w:sectPr>
      </w:pPr>
    </w:p>
    <w:bookmarkStart w:id="95" w:name="page96"/>
    <w:bookmarkEnd w:id="95"/>
    <w:p>
      <w:pPr>
        <w:jc w:val="both"/>
        <w:spacing w:after="0" w:line="275" w:lineRule="auto"/>
        <w:rPr>
          <w:sz w:val="20"/>
          <w:szCs w:val="20"/>
          <w:color w:val="auto"/>
        </w:rPr>
      </w:pPr>
      <w:r>
        <w:rPr>
          <w:rFonts w:ascii="Arial" w:cs="Arial" w:eastAsia="Arial" w:hAnsi="Arial"/>
          <w:sz w:val="19"/>
          <w:szCs w:val="19"/>
          <w:color w:val="auto"/>
        </w:rPr>
        <w:t>resulting from adjustments to the tax basis of Holdings’ assets pursuant to Code Section 743(b) and adjustments pursuant to Code Section 704(c) shall not be taken into account.</w:t>
      </w:r>
    </w:p>
    <w:p>
      <w:pPr>
        <w:spacing w:after="0" w:line="151"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Competitor</w:t>
      </w:r>
      <w:r>
        <w:rPr>
          <w:rFonts w:ascii="Arial" w:cs="Arial" w:eastAsia="Arial" w:hAnsi="Arial"/>
          <w:sz w:val="17"/>
          <w:szCs w:val="17"/>
          <w:color w:val="auto"/>
        </w:rPr>
        <w:t>” means any Person (a)(i) engaged in trading financial assets through the use of an electronically automated trading system that generates order sets (which, for purposes of clarity, can consist of a single order) with the intention of (x) creating profit by providing two-sided liquidity to the market, (y) making a profit margin consistent with the business of making the bid-offer spread or less per unit of the financial asset(s) being traded (including by providing either one-sided or two sided liquidity to the market) or (z) creating simultaneous (within 500 milliseconds) order sets that are generated with the intention of locking in an arbitrage profit, (ii) engaging in algorithmic transactions (</w:t>
      </w:r>
      <w:r>
        <w:rPr>
          <w:rFonts w:ascii="Arial" w:cs="Arial" w:eastAsia="Arial" w:hAnsi="Arial"/>
          <w:sz w:val="17"/>
          <w:szCs w:val="17"/>
          <w:i w:val="1"/>
          <w:iCs w:val="1"/>
          <w:color w:val="auto"/>
        </w:rPr>
        <w:t>i.e.,</w:t>
      </w:r>
      <w:r>
        <w:rPr>
          <w:rFonts w:ascii="Arial" w:cs="Arial" w:eastAsia="Arial" w:hAnsi="Arial"/>
          <w:sz w:val="17"/>
          <w:szCs w:val="17"/>
          <w:color w:val="auto"/>
        </w:rPr>
        <w:t xml:space="preserve"> buying, selling, trading, or engaging in any other similar transaction where orders are determined by an automated model and placed on an automated basis) or customer facilitating transactions in any way involving any electronically tradeable product or commodity (including any security (equity or debt), derivatives, fixed income, cash, currency, or other financial instruments, or any other tangible or intangible item) through any exchange, electronic trading venue or platform, whether or not using proprietary trading methods or systems or (iii) engaging in the business of offering execution management software, multi-asset connectivity services for order routing or indications of interest, or trading and portfolio analytics, and</w:t>
      </w:r>
    </w:p>
    <w:p>
      <w:pPr>
        <w:spacing w:after="0" w:line="5" w:lineRule="exact"/>
        <w:rPr>
          <w:sz w:val="20"/>
          <w:szCs w:val="20"/>
          <w:color w:val="auto"/>
        </w:rPr>
      </w:pPr>
    </w:p>
    <w:p>
      <w:pPr>
        <w:jc w:val="both"/>
        <w:ind w:firstLine="5"/>
        <w:spacing w:after="0" w:line="265" w:lineRule="auto"/>
        <w:tabs>
          <w:tab w:leader="none" w:pos="2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identified as a “Potential Competitor” on Part (B) of Schedule 1.01(a);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means a certificate in the form of Exhibit S required to be delivered pursuant to Section 5.01(d).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means, for any period, the Consolidated Net Income for such period, plus:</w:t>
      </w:r>
    </w:p>
    <w:p>
      <w:pPr>
        <w:spacing w:after="0" w:line="221" w:lineRule="exact"/>
        <w:rPr>
          <w:sz w:val="20"/>
          <w:szCs w:val="20"/>
          <w:color w:val="auto"/>
        </w:rPr>
      </w:pPr>
    </w:p>
    <w:p>
      <w:pPr>
        <w:ind w:firstLine="635"/>
        <w:spacing w:after="0" w:line="274" w:lineRule="auto"/>
        <w:tabs>
          <w:tab w:leader="none" w:pos="1049" w:val="left"/>
        </w:tabs>
        <w:numPr>
          <w:ilvl w:val="0"/>
          <w:numId w:val="22"/>
        </w:numPr>
        <w:rPr>
          <w:rFonts w:ascii="Arial" w:cs="Arial" w:eastAsia="Arial" w:hAnsi="Arial"/>
          <w:sz w:val="19"/>
          <w:szCs w:val="19"/>
          <w:color w:val="auto"/>
        </w:rPr>
      </w:pPr>
      <w:r>
        <w:rPr>
          <w:rFonts w:ascii="Arial" w:cs="Arial" w:eastAsia="Arial" w:hAnsi="Arial"/>
          <w:sz w:val="19"/>
          <w:szCs w:val="19"/>
          <w:color w:val="auto"/>
        </w:rPr>
        <w:t>without duplication and to the extent already deducted (and not added back or excluded) in arriving at such Consolidated Net Income, the sum of the following amounts for such period:</w:t>
      </w:r>
    </w:p>
    <w:p>
      <w:pPr>
        <w:spacing w:after="0" w:line="157" w:lineRule="exact"/>
        <w:rPr>
          <w:rFonts w:ascii="Arial" w:cs="Arial" w:eastAsia="Arial" w:hAnsi="Arial"/>
          <w:sz w:val="19"/>
          <w:szCs w:val="19"/>
          <w:color w:val="auto"/>
        </w:rPr>
      </w:pPr>
    </w:p>
    <w:p>
      <w:pPr>
        <w:jc w:val="both"/>
        <w:ind w:left="640" w:firstLine="625"/>
        <w:spacing w:after="0" w:line="273" w:lineRule="auto"/>
        <w:tabs>
          <w:tab w:leader="none" w:pos="16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 such derivative instruments, and bank and letter of credit fees and costs of surety bonds in connection with financing activities;</w:t>
      </w:r>
    </w:p>
    <w:p>
      <w:pPr>
        <w:spacing w:after="0" w:line="160" w:lineRule="exact"/>
        <w:rPr>
          <w:rFonts w:ascii="Arial" w:cs="Arial" w:eastAsia="Arial" w:hAnsi="Arial"/>
          <w:sz w:val="18"/>
          <w:szCs w:val="18"/>
          <w:color w:val="auto"/>
        </w:rPr>
      </w:pPr>
    </w:p>
    <w:p>
      <w:pPr>
        <w:ind w:left="640" w:firstLine="625"/>
        <w:spacing w:after="0" w:line="274" w:lineRule="auto"/>
        <w:tabs>
          <w:tab w:leader="none" w:pos="1745" w:val="left"/>
        </w:tabs>
        <w:numPr>
          <w:ilvl w:val="1"/>
          <w:numId w:val="22"/>
        </w:numPr>
        <w:rPr>
          <w:rFonts w:ascii="Arial" w:cs="Arial" w:eastAsia="Arial" w:hAnsi="Arial"/>
          <w:sz w:val="19"/>
          <w:szCs w:val="19"/>
          <w:color w:val="auto"/>
        </w:rPr>
      </w:pPr>
      <w:r>
        <w:rPr>
          <w:rFonts w:ascii="Arial" w:cs="Arial" w:eastAsia="Arial" w:hAnsi="Arial"/>
          <w:sz w:val="19"/>
          <w:szCs w:val="19"/>
          <w:color w:val="auto"/>
        </w:rPr>
        <w:t>without duplication among periods, provision for taxes based on income, profits or capital, including federal, foreign, state, franchise, excise and similar taxes paid or accrued during such period (including in respect of repatriated funds);</w:t>
      </w:r>
    </w:p>
    <w:p>
      <w:pPr>
        <w:spacing w:after="0" w:line="157" w:lineRule="exact"/>
        <w:rPr>
          <w:rFonts w:ascii="Arial" w:cs="Arial" w:eastAsia="Arial" w:hAnsi="Arial"/>
          <w:sz w:val="19"/>
          <w:szCs w:val="19"/>
          <w:color w:val="auto"/>
        </w:rPr>
      </w:pPr>
    </w:p>
    <w:p>
      <w:pPr>
        <w:ind w:left="640" w:firstLine="625"/>
        <w:spacing w:after="0" w:line="274" w:lineRule="auto"/>
        <w:tabs>
          <w:tab w:leader="none" w:pos="1836"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depreciation and amortization (including amortization of Capitalized Software Expenditures and amortization of deferred financing fees or costs);</w:t>
      </w:r>
    </w:p>
    <w:p>
      <w:pPr>
        <w:spacing w:after="0" w:line="157" w:lineRule="exact"/>
        <w:rPr>
          <w:rFonts w:ascii="Arial" w:cs="Arial" w:eastAsia="Arial" w:hAnsi="Arial"/>
          <w:sz w:val="19"/>
          <w:szCs w:val="19"/>
          <w:color w:val="auto"/>
        </w:rPr>
      </w:pPr>
    </w:p>
    <w:p>
      <w:pPr>
        <w:ind w:left="1740" w:hanging="475"/>
        <w:spacing w:after="0"/>
        <w:tabs>
          <w:tab w:leader="none" w:pos="1740"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Non-Cash Charges;</w:t>
      </w:r>
    </w:p>
    <w:p>
      <w:pPr>
        <w:spacing w:after="0" w:line="214" w:lineRule="exact"/>
        <w:rPr>
          <w:rFonts w:ascii="Arial" w:cs="Arial" w:eastAsia="Arial" w:hAnsi="Arial"/>
          <w:sz w:val="19"/>
          <w:szCs w:val="19"/>
          <w:color w:val="auto"/>
        </w:rPr>
      </w:pPr>
    </w:p>
    <w:p>
      <w:pPr>
        <w:ind w:left="1680" w:hanging="415"/>
        <w:spacing w:after="0"/>
        <w:tabs>
          <w:tab w:leader="none" w:pos="16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extraordinary losses in accordance with GAAP;</w:t>
      </w:r>
    </w:p>
    <w:p>
      <w:pPr>
        <w:spacing w:after="0" w:line="214" w:lineRule="exact"/>
        <w:rPr>
          <w:rFonts w:ascii="Arial" w:cs="Arial" w:eastAsia="Arial" w:hAnsi="Arial"/>
          <w:sz w:val="19"/>
          <w:szCs w:val="19"/>
          <w:color w:val="auto"/>
        </w:rPr>
      </w:pPr>
    </w:p>
    <w:p>
      <w:pPr>
        <w:jc w:val="both"/>
        <w:ind w:left="640" w:firstLine="625"/>
        <w:spacing w:after="0" w:line="252" w:lineRule="auto"/>
        <w:tabs>
          <w:tab w:leader="none" w:pos="1752"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non-recurring charges (including any unusual or non-recurring operating expenses directly attributable to the implementation of cost savings initiatives),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or modifications to pension and post-retirement employee benefit plans (including any settlement of pension liabilities);</w:t>
      </w:r>
    </w:p>
    <w:p>
      <w:pPr>
        <w:spacing w:after="0" w:line="178" w:lineRule="exact"/>
        <w:rPr>
          <w:rFonts w:ascii="Arial" w:cs="Arial" w:eastAsia="Arial" w:hAnsi="Arial"/>
          <w:sz w:val="19"/>
          <w:szCs w:val="19"/>
          <w:color w:val="auto"/>
        </w:rPr>
      </w:pPr>
    </w:p>
    <w:p>
      <w:pPr>
        <w:jc w:val="both"/>
        <w:ind w:left="640" w:firstLine="625"/>
        <w:spacing w:after="0" w:line="254" w:lineRule="auto"/>
        <w:tabs>
          <w:tab w:leader="none" w:pos="1854" w:val="left"/>
        </w:tabs>
        <w:numPr>
          <w:ilvl w:val="1"/>
          <w:numId w:val="22"/>
        </w:numPr>
        <w:rPr>
          <w:rFonts w:ascii="Arial" w:cs="Arial" w:eastAsia="Arial" w:hAnsi="Arial"/>
          <w:sz w:val="19"/>
          <w:szCs w:val="19"/>
          <w:color w:val="auto"/>
        </w:rPr>
      </w:pPr>
      <w:r>
        <w:rPr>
          <w:rFonts w:ascii="Arial" w:cs="Arial" w:eastAsia="Arial" w:hAnsi="Arial"/>
          <w:sz w:val="19"/>
          <w:szCs w:val="19"/>
          <w:color w:val="auto"/>
        </w:rPr>
        <w:t>restructuring charges, accruals or reserves (including restructuring costs related to acquisitions after the Closing Date and adjustments to existing reserves); provided that the aggregate amount included in Consolidated EBITDA pursuant to this clause (vii) for any Test Period shall not exceed 10% of Consolidated EBITDA for such Test Period (calculated prior to giving effect to any adjustment pursuant to this clause (vii));</w:t>
      </w:r>
    </w:p>
    <w:p>
      <w:pPr>
        <w:spacing w:after="0" w:line="177" w:lineRule="exact"/>
        <w:rPr>
          <w:rFonts w:ascii="Arial" w:cs="Arial" w:eastAsia="Arial" w:hAnsi="Arial"/>
          <w:sz w:val="19"/>
          <w:szCs w:val="19"/>
          <w:color w:val="auto"/>
        </w:rPr>
      </w:pPr>
    </w:p>
    <w:p>
      <w:pPr>
        <w:ind w:left="640" w:firstLine="625"/>
        <w:spacing w:after="0" w:line="335" w:lineRule="auto"/>
        <w:tabs>
          <w:tab w:leader="none" w:pos="1852"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amount of any minority interest expense consisting of subsidiary income attributable to minority equity interests of third parties in any Non-Wholly Owned Subsidiary of Holdings deducted (and not added back in such period to Consolidated Net Income);</w:t>
      </w:r>
    </w:p>
    <w:p>
      <w:pPr>
        <w:spacing w:after="0" w:line="110" w:lineRule="exact"/>
        <w:rPr>
          <w:rFonts w:ascii="Arial" w:cs="Arial" w:eastAsia="Arial" w:hAnsi="Arial"/>
          <w:sz w:val="17"/>
          <w:szCs w:val="17"/>
          <w:color w:val="auto"/>
        </w:rPr>
      </w:pPr>
    </w:p>
    <w:p>
      <w:pPr>
        <w:jc w:val="both"/>
        <w:ind w:left="640" w:firstLine="625"/>
        <w:spacing w:after="0" w:line="273" w:lineRule="auto"/>
        <w:tabs>
          <w:tab w:leader="none" w:pos="18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60" w:lineRule="exact"/>
        <w:rPr>
          <w:rFonts w:ascii="Arial" w:cs="Arial" w:eastAsia="Arial" w:hAnsi="Arial"/>
          <w:sz w:val="18"/>
          <w:szCs w:val="18"/>
          <w:color w:val="auto"/>
        </w:rPr>
      </w:pPr>
    </w:p>
    <w:p>
      <w:pPr>
        <w:ind w:left="1720" w:hanging="455"/>
        <w:spacing w:after="0"/>
        <w:tabs>
          <w:tab w:leader="none" w:pos="17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losses on asset sales, disposals or abandonments (other than asset sales, disposals or abandonments in the ordinary course of</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198" w:lineRule="exact"/>
        <w:rPr>
          <w:rFonts w:ascii="Arial" w:cs="Arial" w:eastAsia="Arial" w:hAnsi="Arial"/>
          <w:sz w:val="17"/>
          <w:szCs w:val="17"/>
          <w:color w:val="auto"/>
        </w:rPr>
      </w:pPr>
    </w:p>
    <w:p>
      <w:pPr>
        <w:ind w:left="1740" w:hanging="475"/>
        <w:spacing w:after="0"/>
        <w:tabs>
          <w:tab w:leader="none" w:pos="174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amount of any net losses from discontinued operations in accordance with GAAP;</w:t>
      </w:r>
    </w:p>
    <w:p>
      <w:pPr>
        <w:spacing w:after="0" w:line="214" w:lineRule="exact"/>
        <w:rPr>
          <w:rFonts w:ascii="Arial" w:cs="Arial" w:eastAsia="Arial" w:hAnsi="Arial"/>
          <w:sz w:val="19"/>
          <w:szCs w:val="19"/>
          <w:color w:val="auto"/>
        </w:rPr>
      </w:pPr>
    </w:p>
    <w:p>
      <w:pPr>
        <w:jc w:val="both"/>
        <w:ind w:left="640" w:firstLine="625"/>
        <w:spacing w:after="0" w:line="254" w:lineRule="auto"/>
        <w:tabs>
          <w:tab w:leader="none" w:pos="1844" w:val="left"/>
        </w:tabs>
        <w:numPr>
          <w:ilvl w:val="1"/>
          <w:numId w:val="22"/>
        </w:numPr>
        <w:rPr>
          <w:rFonts w:ascii="Arial" w:cs="Arial" w:eastAsia="Arial" w:hAnsi="Arial"/>
          <w:sz w:val="19"/>
          <w:szCs w:val="19"/>
          <w:color w:val="auto"/>
        </w:rPr>
      </w:pPr>
      <w:r>
        <w:rPr>
          <w:rFonts w:ascii="Arial" w:cs="Arial" w:eastAsia="Arial" w:hAnsi="Arial"/>
          <w:sz w:val="19"/>
          <w:szCs w:val="19"/>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spacing w:after="0" w:line="177" w:lineRule="exact"/>
        <w:rPr>
          <w:rFonts w:ascii="Arial" w:cs="Arial" w:eastAsia="Arial" w:hAnsi="Arial"/>
          <w:sz w:val="19"/>
          <w:szCs w:val="19"/>
          <w:color w:val="auto"/>
        </w:rPr>
      </w:pPr>
    </w:p>
    <w:p>
      <w:pPr>
        <w:jc w:val="both"/>
        <w:ind w:left="640" w:firstLine="625"/>
        <w:spacing w:after="0" w:line="259" w:lineRule="auto"/>
        <w:tabs>
          <w:tab w:leader="none" w:pos="1947" w:val="left"/>
        </w:tabs>
        <w:numPr>
          <w:ilvl w:val="1"/>
          <w:numId w:val="22"/>
        </w:numPr>
        <w:rPr>
          <w:rFonts w:ascii="Arial" w:cs="Arial" w:eastAsia="Arial" w:hAnsi="Arial"/>
          <w:sz w:val="19"/>
          <w:szCs w:val="19"/>
          <w:color w:val="auto"/>
        </w:rPr>
      </w:pPr>
      <w:r>
        <w:rPr>
          <w:rFonts w:ascii="Arial" w:cs="Arial" w:eastAsia="Arial" w:hAnsi="Arial"/>
          <w:sz w:val="19"/>
          <w:szCs w:val="19"/>
          <w:color w:val="auto"/>
        </w:rPr>
        <w:t>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ectPr>
          <w:pgSz w:w="11900" w:h="16838" w:orient="portrait"/>
          <w:cols w:equalWidth="0" w:num="1">
            <w:col w:w="11420"/>
          </w:cols>
          <w:pgMar w:left="240" w:top="121" w:right="239" w:bottom="49" w:gutter="0" w:footer="0" w:header="0"/>
        </w:sectPr>
      </w:pPr>
    </w:p>
    <w:bookmarkStart w:id="96" w:name="page97"/>
    <w:bookmarkEnd w:id="96"/>
    <w:p>
      <w:pPr>
        <w:spacing w:after="0" w:line="61" w:lineRule="exact"/>
        <w:rPr>
          <w:sz w:val="20"/>
          <w:szCs w:val="20"/>
          <w:color w:val="auto"/>
        </w:rPr>
      </w:pPr>
    </w:p>
    <w:p>
      <w:pPr>
        <w:jc w:val="both"/>
        <w:ind w:left="640" w:firstLine="625"/>
        <w:spacing w:after="0" w:line="255" w:lineRule="auto"/>
        <w:tabs>
          <w:tab w:leader="none" w:pos="1939"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 and</w:t>
      </w:r>
    </w:p>
    <w:p>
      <w:pPr>
        <w:spacing w:after="0" w:line="175" w:lineRule="exact"/>
        <w:rPr>
          <w:rFonts w:ascii="Arial" w:cs="Arial" w:eastAsia="Arial" w:hAnsi="Arial"/>
          <w:sz w:val="19"/>
          <w:szCs w:val="19"/>
          <w:color w:val="auto"/>
        </w:rPr>
      </w:pPr>
    </w:p>
    <w:p>
      <w:pPr>
        <w:jc w:val="both"/>
        <w:ind w:left="640" w:firstLine="625"/>
        <w:spacing w:after="0" w:line="289" w:lineRule="auto"/>
        <w:tabs>
          <w:tab w:leader="none" w:pos="1857"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and (y) any amendment or other modification of the Loans or other obligations under the Loan Documents or other Indebtedness; provided that the amount added back pursuant to this clause (xv) in any Test Period shall not exceed $15,000,000;</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less</w:t>
      </w:r>
    </w:p>
    <w:p>
      <w:pPr>
        <w:spacing w:after="0" w:line="215" w:lineRule="exact"/>
        <w:rPr>
          <w:sz w:val="20"/>
          <w:szCs w:val="20"/>
          <w:color w:val="auto"/>
        </w:rPr>
      </w:pPr>
    </w:p>
    <w:p>
      <w:pPr>
        <w:ind w:left="1060" w:hanging="425"/>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without duplication and to the extent included in arriving at such Consolidated Net Income, the sum of the following amounts for such</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period:</w:t>
      </w:r>
    </w:p>
    <w:p>
      <w:pPr>
        <w:spacing w:after="0" w:line="199" w:lineRule="exact"/>
        <w:rPr>
          <w:sz w:val="20"/>
          <w:szCs w:val="20"/>
          <w:color w:val="auto"/>
        </w:rPr>
      </w:pPr>
    </w:p>
    <w:p>
      <w:pPr>
        <w:ind w:left="1640" w:hanging="375"/>
        <w:spacing w:after="0"/>
        <w:tabs>
          <w:tab w:leader="none" w:pos="1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extraordinary gains and unusual or non-recurring gains;</w:t>
      </w:r>
    </w:p>
    <w:p>
      <w:pPr>
        <w:spacing w:after="0" w:line="214" w:lineRule="exact"/>
        <w:rPr>
          <w:rFonts w:ascii="Arial" w:cs="Arial" w:eastAsia="Arial" w:hAnsi="Arial"/>
          <w:sz w:val="19"/>
          <w:szCs w:val="19"/>
          <w:color w:val="auto"/>
        </w:rPr>
      </w:pPr>
    </w:p>
    <w:p>
      <w:pPr>
        <w:ind w:left="640" w:firstLine="625"/>
        <w:spacing w:after="0" w:line="274" w:lineRule="auto"/>
        <w:tabs>
          <w:tab w:leader="none" w:pos="1756"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non-cash gains (excluding any non-cash gain to the extent it represents the reversal of an accrual or reserve for a potential cash item that reduced Consolidated Net Income or Consolidated EBITDA in any prior period);</w:t>
      </w:r>
    </w:p>
    <w:p>
      <w:pPr>
        <w:spacing w:after="0" w:line="157" w:lineRule="exact"/>
        <w:rPr>
          <w:rFonts w:ascii="Arial" w:cs="Arial" w:eastAsia="Arial" w:hAnsi="Arial"/>
          <w:sz w:val="19"/>
          <w:szCs w:val="19"/>
          <w:color w:val="auto"/>
        </w:rPr>
      </w:pPr>
    </w:p>
    <w:p>
      <w:pPr>
        <w:ind w:left="1780" w:hanging="515"/>
        <w:spacing w:after="0"/>
        <w:tabs>
          <w:tab w:leader="none" w:pos="1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gains on asset sales, disposals or abandonments (other than asset sales, disposals or abandonments in the ordinary course of</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198" w:lineRule="exact"/>
        <w:rPr>
          <w:rFonts w:ascii="Arial" w:cs="Arial" w:eastAsia="Arial" w:hAnsi="Arial"/>
          <w:sz w:val="17"/>
          <w:szCs w:val="17"/>
          <w:color w:val="auto"/>
        </w:rPr>
      </w:pPr>
    </w:p>
    <w:p>
      <w:pPr>
        <w:ind w:left="1740" w:hanging="475"/>
        <w:spacing w:after="0"/>
        <w:tabs>
          <w:tab w:leader="none" w:pos="17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amount of any net income from discontinued operations in accordance with GAAP;</w:t>
      </w:r>
    </w:p>
    <w:p>
      <w:pPr>
        <w:spacing w:after="0" w:line="214" w:lineRule="exact"/>
        <w:rPr>
          <w:rFonts w:ascii="Arial" w:cs="Arial" w:eastAsia="Arial" w:hAnsi="Arial"/>
          <w:sz w:val="19"/>
          <w:szCs w:val="19"/>
          <w:color w:val="auto"/>
        </w:rPr>
      </w:pPr>
    </w:p>
    <w:p>
      <w:pPr>
        <w:jc w:val="both"/>
        <w:ind w:left="640" w:firstLine="625"/>
        <w:spacing w:after="0" w:line="273" w:lineRule="auto"/>
        <w:tabs>
          <w:tab w:leader="none" w:pos="1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w:t>
      </w:r>
    </w:p>
    <w:p>
      <w:pPr>
        <w:spacing w:after="0" w:line="160" w:lineRule="exact"/>
        <w:rPr>
          <w:rFonts w:ascii="Arial" w:cs="Arial" w:eastAsia="Arial" w:hAnsi="Arial"/>
          <w:sz w:val="18"/>
          <w:szCs w:val="18"/>
          <w:color w:val="auto"/>
        </w:rPr>
      </w:pPr>
    </w:p>
    <w:p>
      <w:pPr>
        <w:jc w:val="both"/>
        <w:ind w:left="640" w:firstLine="625"/>
        <w:spacing w:after="0" w:line="259" w:lineRule="auto"/>
        <w:tabs>
          <w:tab w:leader="none" w:pos="1799"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71" w:lineRule="exact"/>
        <w:rPr>
          <w:rFonts w:ascii="Arial" w:cs="Arial" w:eastAsia="Arial" w:hAnsi="Arial"/>
          <w:sz w:val="19"/>
          <w:szCs w:val="19"/>
          <w:color w:val="auto"/>
        </w:rPr>
      </w:pPr>
    </w:p>
    <w:p>
      <w:pPr>
        <w:jc w:val="both"/>
        <w:ind w:left="640" w:firstLine="625"/>
        <w:spacing w:after="0" w:line="304"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w:t>
      </w:r>
    </w:p>
    <w:p>
      <w:pPr>
        <w:spacing w:after="0" w:line="136" w:lineRule="exact"/>
        <w:rPr>
          <w:rFonts w:ascii="Arial" w:cs="Arial" w:eastAsia="Arial" w:hAnsi="Arial"/>
          <w:sz w:val="17"/>
          <w:szCs w:val="17"/>
          <w:color w:val="auto"/>
        </w:rPr>
      </w:pPr>
    </w:p>
    <w:p>
      <w:pPr>
        <w:jc w:val="both"/>
        <w:ind w:left="640" w:firstLine="625"/>
        <w:spacing w:after="0" w:line="335" w:lineRule="auto"/>
        <w:tabs>
          <w:tab w:leader="none" w:pos="19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any minority interest income consisting of subsidiary loss attributable to minority equity interests of third parties in any Non-Wholly Owned Subsidiary of Holdings added (and not deducted in such period in calculating Consolidated Net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as determined on a consolidated basis for Holdings and the Restricted Subsidiaries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6" w:lineRule="exact"/>
        <w:rPr>
          <w:sz w:val="20"/>
          <w:szCs w:val="20"/>
          <w:color w:val="auto"/>
        </w:rPr>
      </w:pPr>
    </w:p>
    <w:p>
      <w:pPr>
        <w:jc w:val="both"/>
        <w:ind w:left="640" w:firstLine="625"/>
        <w:spacing w:after="0" w:line="273" w:lineRule="auto"/>
        <w:tabs>
          <w:tab w:leader="none" w:pos="17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spacing w:after="0" w:line="161" w:lineRule="exact"/>
        <w:rPr>
          <w:sz w:val="20"/>
          <w:szCs w:val="20"/>
          <w:color w:val="auto"/>
        </w:rPr>
      </w:pPr>
    </w:p>
    <w:p>
      <w:pPr>
        <w:jc w:val="both"/>
        <w:ind w:left="640" w:firstLine="625"/>
        <w:spacing w:after="0" w:line="254" w:lineRule="auto"/>
        <w:tabs>
          <w:tab w:leader="none" w:pos="179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for any period any adjustments resulting from the application of Financial Accounting Standards Accounting Standards Codification No. 815– Derivatives and Hedging (other than with respect to any hedging obligations entered into in the ordinary course of the trading business of Holdings and its Restricted Subsidiaries),</w:t>
      </w:r>
    </w:p>
    <w:p>
      <w:pPr>
        <w:spacing w:after="0" w:line="178" w:lineRule="exact"/>
        <w:rPr>
          <w:sz w:val="20"/>
          <w:szCs w:val="20"/>
          <w:color w:val="auto"/>
        </w:rPr>
      </w:pPr>
    </w:p>
    <w:p>
      <w:pPr>
        <w:jc w:val="both"/>
        <w:ind w:left="640" w:firstLine="625"/>
        <w:spacing w:after="0" w:line="247" w:lineRule="auto"/>
        <w:tabs>
          <w:tab w:leader="none" w:pos="17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Arial" w:cs="Arial" w:eastAsia="Arial" w:hAnsi="Arial"/>
          <w:sz w:val="19"/>
          <w:szCs w:val="19"/>
          <w:b w:val="1"/>
          <w:bCs w:val="1"/>
          <w:color w:val="auto"/>
        </w:rPr>
        <w:t>Acquired Entity or Business</w:t>
      </w:r>
      <w:r>
        <w:rPr>
          <w:rFonts w:ascii="Arial" w:cs="Arial" w:eastAsia="Arial" w:hAnsi="Arial"/>
          <w:sz w:val="19"/>
          <w:szCs w:val="19"/>
          <w:color w:val="auto"/>
        </w:rPr>
        <w:t>”), and the Acquired EBITDA of any Unrestricted Subsidiary that is converted into a Restricted Subsidiary during such period (each, a “</w:t>
      </w:r>
      <w:r>
        <w:rPr>
          <w:rFonts w:ascii="Arial" w:cs="Arial" w:eastAsia="Arial" w:hAnsi="Arial"/>
          <w:sz w:val="19"/>
          <w:szCs w:val="19"/>
          <w:b w:val="1"/>
          <w:bCs w:val="1"/>
          <w:color w:val="auto"/>
        </w:rPr>
        <w:t>Converted Restricted Subsidiary</w:t>
      </w:r>
      <w:r>
        <w:rPr>
          <w:rFonts w:ascii="Arial" w:cs="Arial" w:eastAsia="Arial" w:hAnsi="Arial"/>
          <w:sz w:val="19"/>
          <w:szCs w:val="19"/>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89" w:lineRule="exact"/>
        <w:rPr>
          <w:sz w:val="20"/>
          <w:szCs w:val="20"/>
          <w:color w:val="auto"/>
        </w:rPr>
      </w:pPr>
    </w:p>
    <w:p>
      <w:pPr>
        <w:jc w:val="both"/>
        <w:ind w:left="640" w:firstLine="630"/>
        <w:spacing w:after="0" w:line="282" w:lineRule="auto"/>
        <w:rPr>
          <w:sz w:val="20"/>
          <w:szCs w:val="20"/>
          <w:color w:val="auto"/>
        </w:rPr>
      </w:pPr>
      <w:r>
        <w:rPr>
          <w:rFonts w:ascii="Arial" w:cs="Arial" w:eastAsia="Arial" w:hAnsi="Arial"/>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Arial" w:cs="Arial" w:eastAsia="Arial" w:hAnsi="Arial"/>
          <w:sz w:val="17"/>
          <w:szCs w:val="17"/>
          <w:b w:val="1"/>
          <w:bCs w:val="1"/>
          <w:color w:val="auto"/>
        </w:rPr>
        <w:t>Sold Entity or Business</w:t>
      </w:r>
      <w:r>
        <w:rPr>
          <w:rFonts w:ascii="Arial" w:cs="Arial" w:eastAsia="Arial" w:hAnsi="Arial"/>
          <w:sz w:val="17"/>
          <w:szCs w:val="17"/>
          <w:color w:val="auto"/>
        </w:rPr>
        <w:t>”), and the Disposed EBITDA of any Restricted Subsidiary that is converted into an Unrestricted Subsidiary during such period (each, a “</w:t>
      </w:r>
      <w:r>
        <w:rPr>
          <w:rFonts w:ascii="Arial" w:cs="Arial" w:eastAsia="Arial" w:hAnsi="Arial"/>
          <w:sz w:val="17"/>
          <w:szCs w:val="17"/>
          <w:b w:val="1"/>
          <w:bCs w:val="1"/>
          <w:color w:val="auto"/>
        </w:rPr>
        <w:t>Converted Unrestricted Subsidiary</w:t>
      </w:r>
      <w:r>
        <w:rPr>
          <w:rFonts w:ascii="Arial" w:cs="Arial" w:eastAsia="Arial" w:hAnsi="Arial"/>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w:t>
      </w:r>
    </w:p>
    <w:p>
      <w:pPr>
        <w:sectPr>
          <w:pgSz w:w="11900" w:h="16899" w:orient="portrait"/>
          <w:cols w:equalWidth="0" w:num="1">
            <w:col w:w="11420"/>
          </w:cols>
          <w:pgMar w:left="240" w:top="121" w:right="239" w:bottom="0" w:gutter="0" w:footer="0" w:header="0"/>
        </w:sectPr>
      </w:pPr>
    </w:p>
    <w:bookmarkStart w:id="97" w:name="page98"/>
    <w:bookmarkEnd w:id="97"/>
    <w:p>
      <w:pPr>
        <w:jc w:val="both"/>
        <w:ind w:left="640"/>
        <w:spacing w:after="0" w:line="273" w:lineRule="auto"/>
        <w:rPr>
          <w:sz w:val="20"/>
          <w:szCs w:val="20"/>
          <w:color w:val="auto"/>
        </w:rPr>
      </w:pPr>
      <w:r>
        <w:rPr>
          <w:rFonts w:ascii="Arial" w:cs="Arial" w:eastAsia="Arial" w:hAnsi="Arial"/>
          <w:sz w:val="18"/>
          <w:szCs w:val="18"/>
          <w:color w:val="auto"/>
        </w:rPr>
        <w:t>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56"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First Lien Debt</w:t>
      </w:r>
      <w:r>
        <w:rPr>
          <w:rFonts w:ascii="Arial" w:cs="Arial" w:eastAsia="Arial" w:hAnsi="Arial"/>
          <w:sz w:val="19"/>
          <w:szCs w:val="19"/>
          <w:color w:val="auto"/>
        </w:rPr>
        <w:t xml:space="preserve">” means, as of any date of determination, the aggregate amount of Consolidated Total Debt outstanding on such date, without duplication (x) constituting the Loan Document Obligations that are secured by a first priority Lien on the Collateral or (y) that is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Initial Term Loans by a first priority Lien on the Collateral.</w:t>
      </w:r>
    </w:p>
    <w:p>
      <w:pPr>
        <w:spacing w:after="0" w:line="161"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Net Debt</w:t>
      </w:r>
      <w:r>
        <w:rPr>
          <w:rFonts w:ascii="Arial" w:cs="Arial" w:eastAsia="Arial" w:hAnsi="Arial"/>
          <w:sz w:val="18"/>
          <w:szCs w:val="18"/>
          <w:color w:val="auto"/>
        </w:rPr>
        <w:t>” means, as of any date of determination, (a) the amount of Consolidated First Lien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spacing w:after="0" w:line="154"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Expense</w:t>
      </w:r>
      <w:r>
        <w:rPr>
          <w:rFonts w:ascii="Arial" w:cs="Arial" w:eastAsia="Arial" w:hAnsi="Arial"/>
          <w:sz w:val="17"/>
          <w:szCs w:val="17"/>
          <w:color w:val="auto"/>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w:t>
      </w:r>
    </w:p>
    <w:p>
      <w:pPr>
        <w:spacing w:after="0" w:line="151"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Income</w:t>
      </w:r>
      <w:r>
        <w:rPr>
          <w:rFonts w:ascii="Arial" w:cs="Arial" w:eastAsia="Arial" w:hAnsi="Arial"/>
          <w:sz w:val="17"/>
          <w:szCs w:val="17"/>
          <w:color w:val="auto"/>
        </w:rPr>
        <w:t>”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and (h) any income (loss) attributable to deferred compensation plans or trusts,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Closing Date, the Acquisition and any Permitted Acquisition or the amortization or write-off of any amounts thereof.</w:t>
      </w:r>
    </w:p>
    <w:p>
      <w:pPr>
        <w:spacing w:after="0" w:line="171"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In addition, to the extent not already included in Consolidated Net Income, Consolidated Net Income shall include (i)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and (ii) income from Investments in joint ventures in an amount equal to the greater of (A) the proportionate share of the Borrower or the applicable Restricted Subsidiary in the income of such joint venture and (B) the amount of actual distributions made by such joint venture to the Borrower or the applicable Restricted Subsidiary.</w:t>
      </w:r>
    </w:p>
    <w:p>
      <w:pPr>
        <w:spacing w:after="0" w:line="177"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Debt</w:t>
      </w:r>
      <w:r>
        <w:rPr>
          <w:rFonts w:ascii="Arial" w:cs="Arial" w:eastAsia="Arial" w:hAnsi="Arial"/>
          <w:sz w:val="19"/>
          <w:szCs w:val="19"/>
          <w:color w:val="auto"/>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the Acquisition or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spacing w:after="0" w:line="172"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thereto.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Converted Restricted Subsidiary</w:t>
      </w:r>
      <w:r>
        <w:rPr>
          <w:rFonts w:ascii="Arial" w:cs="Arial" w:eastAsia="Arial" w:hAnsi="Arial"/>
          <w:sz w:val="19"/>
          <w:szCs w:val="19"/>
          <w:color w:val="auto"/>
        </w:rPr>
        <w:t>” has the meaning given such term in the definition of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Converted Unrestricted Subsidiary</w:t>
      </w:r>
      <w:r>
        <w:rPr>
          <w:rFonts w:ascii="Arial" w:cs="Arial" w:eastAsia="Arial" w:hAnsi="Arial"/>
          <w:sz w:val="19"/>
          <w:szCs w:val="19"/>
          <w:color w:val="auto"/>
        </w:rPr>
        <w:t>” has the meaning given such term in the definition of “Consolidated EBITDA.”</w:t>
      </w:r>
    </w:p>
    <w:p>
      <w:pPr>
        <w:spacing w:after="0" w:line="215"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Agreement Refinancing Indebtedness</w:t>
      </w:r>
      <w:r>
        <w:rPr>
          <w:rFonts w:ascii="Arial" w:cs="Arial" w:eastAsia="Arial" w:hAnsi="Arial"/>
          <w:sz w:val="17"/>
          <w:szCs w:val="17"/>
          <w:color w:val="auto"/>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Arial" w:cs="Arial" w:eastAsia="Arial" w:hAnsi="Arial"/>
          <w:sz w:val="17"/>
          <w:szCs w:val="17"/>
          <w:b w:val="1"/>
          <w:bCs w:val="1"/>
          <w:color w:val="auto"/>
        </w:rPr>
        <w:t>Refinanced Debt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w:t>
      </w:r>
    </w:p>
    <w:p>
      <w:pPr>
        <w:sectPr>
          <w:pgSz w:w="11900" w:h="16838" w:orient="portrait"/>
          <w:cols w:equalWidth="0" w:num="1">
            <w:col w:w="11420"/>
          </w:cols>
          <w:pgMar w:left="240" w:top="121" w:right="239" w:bottom="0" w:gutter="0" w:footer="0" w:header="0"/>
        </w:sectPr>
      </w:pPr>
    </w:p>
    <w:bookmarkStart w:id="98" w:name="page99"/>
    <w:bookmarkEnd w:id="98"/>
    <w:p>
      <w:pPr>
        <w:jc w:val="both"/>
        <w:spacing w:after="0" w:line="262" w:lineRule="auto"/>
        <w:rPr>
          <w:sz w:val="20"/>
          <w:szCs w:val="20"/>
          <w:color w:val="auto"/>
        </w:rPr>
      </w:pPr>
      <w:r>
        <w:rPr>
          <w:rFonts w:ascii="Arial" w:cs="Arial" w:eastAsia="Arial" w:hAnsi="Arial"/>
          <w:sz w:val="18"/>
          <w:szCs w:val="18"/>
          <w:color w:val="auto"/>
        </w:rPr>
        <w:t xml:space="preserve">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Party</w:t>
      </w:r>
      <w:r>
        <w:rPr>
          <w:rFonts w:ascii="Arial" w:cs="Arial" w:eastAsia="Arial" w:hAnsi="Arial"/>
          <w:sz w:val="19"/>
          <w:szCs w:val="19"/>
          <w:color w:val="auto"/>
        </w:rPr>
        <w:t>” means the Administrative Agent, the Issuing Bank, the Swingline Lender or any other Lender.</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Cumulative Credit</w:t>
      </w:r>
      <w:r>
        <w:rPr>
          <w:rFonts w:ascii="Arial" w:cs="Arial" w:eastAsia="Arial" w:hAnsi="Arial"/>
          <w:sz w:val="19"/>
          <w:szCs w:val="19"/>
          <w:color w:val="auto"/>
        </w:rPr>
        <w:t>” means at any time, an amount equal to:</w:t>
      </w:r>
    </w:p>
    <w:p>
      <w:pPr>
        <w:spacing w:after="0" w:line="221" w:lineRule="exact"/>
        <w:rPr>
          <w:sz w:val="20"/>
          <w:szCs w:val="20"/>
          <w:color w:val="auto"/>
        </w:rPr>
      </w:pPr>
    </w:p>
    <w:p>
      <w:pPr>
        <w:ind w:left="1680" w:hanging="415"/>
        <w:spacing w:after="0"/>
        <w:tabs>
          <w:tab w:leader="none" w:pos="1680"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the greater of $190,000,000 and 25% of Consolidated EBITDA for the most recently ended Test Period; </w:t>
      </w:r>
      <w:r>
        <w:rPr>
          <w:rFonts w:ascii="Arial" w:cs="Arial" w:eastAsia="Arial" w:hAnsi="Arial"/>
          <w:sz w:val="19"/>
          <w:szCs w:val="19"/>
          <w:i w:val="1"/>
          <w:iCs w:val="1"/>
          <w:color w:val="auto"/>
        </w:rPr>
        <w:t>plus</w:t>
      </w:r>
    </w:p>
    <w:p>
      <w:pPr>
        <w:spacing w:after="0" w:line="214" w:lineRule="exact"/>
        <w:rPr>
          <w:rFonts w:ascii="Arial" w:cs="Arial" w:eastAsia="Arial" w:hAnsi="Arial"/>
          <w:sz w:val="19"/>
          <w:szCs w:val="19"/>
          <w:color w:val="auto"/>
        </w:rPr>
      </w:pPr>
    </w:p>
    <w:p>
      <w:pPr>
        <w:jc w:val="both"/>
        <w:ind w:left="640" w:firstLine="625"/>
        <w:spacing w:after="0" w:line="252" w:lineRule="auto"/>
        <w:tabs>
          <w:tab w:leader="none" w:pos="1746"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50% of Consolidated Net Income (or 100% of losses) for the period (taken as a single period) commencing with the fiscal quarter ended December 31, 2019 and ending on and including the last day of the most recently ended Test Period for which for which (A) with respect to any of the first three fiscal quarters in a given fiscal year, the Borrower has delivered financial statements pursuant to Section 5.01(b) or (B) with respect to the fourth fiscal quarter of any fiscal year, the Borrower has delivered financial statements pursuant to Section 5.01(a); </w:t>
      </w:r>
      <w:r>
        <w:rPr>
          <w:rFonts w:ascii="Arial" w:cs="Arial" w:eastAsia="Arial" w:hAnsi="Arial"/>
          <w:sz w:val="19"/>
          <w:szCs w:val="19"/>
          <w:i w:val="1"/>
          <w:iCs w:val="1"/>
          <w:color w:val="auto"/>
        </w:rPr>
        <w:t>plus</w:t>
      </w:r>
    </w:p>
    <w:p>
      <w:pPr>
        <w:spacing w:after="0" w:line="178" w:lineRule="exact"/>
        <w:rPr>
          <w:rFonts w:ascii="Arial" w:cs="Arial" w:eastAsia="Arial" w:hAnsi="Arial"/>
          <w:sz w:val="19"/>
          <w:szCs w:val="19"/>
          <w:color w:val="auto"/>
        </w:rPr>
      </w:pPr>
    </w:p>
    <w:p>
      <w:pPr>
        <w:jc w:val="both"/>
        <w:ind w:left="640" w:firstLine="625"/>
        <w:spacing w:after="0" w:line="280" w:lineRule="auto"/>
        <w:tabs>
          <w:tab w:leader="none" w:pos="1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aggregate amount of the Net Proceeds of the issuance or sale by Holdings of Qualified Equity Interests (other than to the Borrower or any of its Restricted Subsidiaries) that is contributed to the Borrower or any of its Restricted Subsidiaries after the Closing Date (other than Cure Amounts and the Net Proceeds of any such issuance made pursuant to Section 6.04(p)); </w:t>
      </w:r>
      <w:r>
        <w:rPr>
          <w:rFonts w:ascii="Arial" w:cs="Arial" w:eastAsia="Arial" w:hAnsi="Arial"/>
          <w:sz w:val="18"/>
          <w:szCs w:val="18"/>
          <w:i w:val="1"/>
          <w:iCs w:val="1"/>
          <w:color w:val="auto"/>
        </w:rPr>
        <w:t>plus</w:t>
      </w:r>
    </w:p>
    <w:p>
      <w:pPr>
        <w:spacing w:after="0" w:line="154" w:lineRule="exact"/>
        <w:rPr>
          <w:rFonts w:ascii="Arial" w:cs="Arial" w:eastAsia="Arial" w:hAnsi="Arial"/>
          <w:sz w:val="18"/>
          <w:szCs w:val="18"/>
          <w:color w:val="auto"/>
        </w:rPr>
      </w:pPr>
    </w:p>
    <w:p>
      <w:pPr>
        <w:ind w:left="640" w:firstLine="625"/>
        <w:spacing w:after="0" w:line="274" w:lineRule="auto"/>
        <w:tabs>
          <w:tab w:leader="none" w:pos="1748"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the aggregate amount of cash and the fair market value of assets contributed to the Borrower after the Closing Date (other than Cure Amount or any contribution from a Restricted Subsidiary); </w:t>
      </w:r>
      <w:r>
        <w:rPr>
          <w:rFonts w:ascii="Arial" w:cs="Arial" w:eastAsia="Arial" w:hAnsi="Arial"/>
          <w:sz w:val="19"/>
          <w:szCs w:val="19"/>
          <w:i w:val="1"/>
          <w:iCs w:val="1"/>
          <w:color w:val="auto"/>
        </w:rPr>
        <w:t>plus</w:t>
      </w:r>
    </w:p>
    <w:p>
      <w:pPr>
        <w:spacing w:after="0" w:line="157" w:lineRule="exact"/>
        <w:rPr>
          <w:rFonts w:ascii="Arial" w:cs="Arial" w:eastAsia="Arial" w:hAnsi="Arial"/>
          <w:sz w:val="19"/>
          <w:szCs w:val="19"/>
          <w:color w:val="auto"/>
        </w:rPr>
      </w:pPr>
    </w:p>
    <w:p>
      <w:pPr>
        <w:ind w:left="640" w:firstLine="625"/>
        <w:spacing w:after="0" w:line="335" w:lineRule="auto"/>
        <w:tabs>
          <w:tab w:leader="none" w:pos="1686"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the aggregate amount of Indebtedness of the Borrower and its Restricted Subsidiaries converted to or exchanged for Qualified Equity Interests of the Borrower (provided that in the case of an exchange, the applicable Indebtedness is promptly cancelled); </w:t>
      </w:r>
      <w:r>
        <w:rPr>
          <w:rFonts w:ascii="Arial" w:cs="Arial" w:eastAsia="Arial" w:hAnsi="Arial"/>
          <w:sz w:val="17"/>
          <w:szCs w:val="17"/>
          <w:i w:val="1"/>
          <w:iCs w:val="1"/>
          <w:color w:val="auto"/>
        </w:rPr>
        <w:t>plus</w:t>
      </w:r>
    </w:p>
    <w:p>
      <w:pPr>
        <w:spacing w:after="0" w:line="110" w:lineRule="exact"/>
        <w:rPr>
          <w:rFonts w:ascii="Arial" w:cs="Arial" w:eastAsia="Arial" w:hAnsi="Arial"/>
          <w:sz w:val="17"/>
          <w:szCs w:val="17"/>
          <w:color w:val="auto"/>
        </w:rPr>
      </w:pPr>
    </w:p>
    <w:p>
      <w:pPr>
        <w:jc w:val="both"/>
        <w:ind w:left="640" w:firstLine="625"/>
        <w:spacing w:after="0" w:line="280" w:lineRule="auto"/>
        <w:tabs>
          <w:tab w:leader="none" w:pos="1723"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the extent actually received by the Borrower or any Restricted Subsidiary, an amount equal to (i) any returns (including dividends, interest, distributions, returns of principal, repayments, income and similar amounts and cancellations of guarantees or otherwise) in cash or other property (valued at the fair market value thereof as reasonably determined by the Borrower), in respect of, and</w:t>
      </w:r>
    </w:p>
    <w:p>
      <w:pPr>
        <w:spacing w:after="0" w:line="1" w:lineRule="exact"/>
        <w:rPr>
          <w:rFonts w:ascii="Arial" w:cs="Arial" w:eastAsia="Arial" w:hAnsi="Arial"/>
          <w:sz w:val="17"/>
          <w:szCs w:val="17"/>
          <w:color w:val="auto"/>
        </w:rPr>
      </w:pPr>
    </w:p>
    <w:p>
      <w:pPr>
        <w:ind w:left="640" w:hanging="5"/>
        <w:spacing w:after="0" w:line="257" w:lineRule="auto"/>
        <w:tabs>
          <w:tab w:leader="none" w:pos="937"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cash or other property (valued at the fair market value thereof as reasonably determined by the Borrower) for the Disposition of, any Investments made pursuant to Section 6.04(n)(ii); </w:t>
      </w:r>
      <w:r>
        <w:rPr>
          <w:rFonts w:ascii="Arial" w:cs="Arial" w:eastAsia="Arial" w:hAnsi="Arial"/>
          <w:sz w:val="19"/>
          <w:szCs w:val="19"/>
          <w:i w:val="1"/>
          <w:iCs w:val="1"/>
          <w:color w:val="auto"/>
        </w:rPr>
        <w:t>plus</w:t>
      </w:r>
    </w:p>
    <w:p>
      <w:pPr>
        <w:spacing w:after="0" w:line="172" w:lineRule="exact"/>
        <w:rPr>
          <w:rFonts w:ascii="Arial" w:cs="Arial" w:eastAsia="Arial" w:hAnsi="Arial"/>
          <w:sz w:val="19"/>
          <w:szCs w:val="19"/>
          <w:color w:val="auto"/>
        </w:rPr>
      </w:pPr>
    </w:p>
    <w:p>
      <w:pPr>
        <w:jc w:val="both"/>
        <w:ind w:left="640" w:firstLine="625"/>
        <w:spacing w:after="0" w:line="250" w:lineRule="auto"/>
        <w:tabs>
          <w:tab w:leader="none" w:pos="182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in the event any Unrestricted Subsidiary has been re-designated as a Restricted Subsidiary or merged, consolidated or amalgamated with or into, or transferred or conveyed all or substantially all of its assets to, or is liquidated into, the Borrower or any Restricted Subsidiary, an amount equal to the lesser of (i) the fair market value of the Investments of the Borrower and its Restricted Subsidiaries made pursuant to Section 6.04(n)(ii) in such Unrestricted Subsidiary at the time of such re-designation, combination, transfer or liquidation and (ii) the amount originally invested by the Borrower and its Restricted Subsidiaries in such Unrestricted Subsidiary pursuant to Section 6.04(n)(ii); </w:t>
      </w:r>
      <w:r>
        <w:rPr>
          <w:rFonts w:ascii="Arial" w:cs="Arial" w:eastAsia="Arial" w:hAnsi="Arial"/>
          <w:sz w:val="19"/>
          <w:szCs w:val="19"/>
          <w:i w:val="1"/>
          <w:iCs w:val="1"/>
          <w:color w:val="auto"/>
        </w:rPr>
        <w:t>plus</w:t>
      </w:r>
    </w:p>
    <w:p>
      <w:pPr>
        <w:spacing w:after="0" w:line="183" w:lineRule="exact"/>
        <w:rPr>
          <w:rFonts w:ascii="Arial" w:cs="Arial" w:eastAsia="Arial" w:hAnsi="Arial"/>
          <w:sz w:val="19"/>
          <w:szCs w:val="19"/>
          <w:color w:val="auto"/>
        </w:rPr>
      </w:pPr>
    </w:p>
    <w:p>
      <w:pPr>
        <w:ind w:left="1680" w:hanging="415"/>
        <w:spacing w:after="0"/>
        <w:tabs>
          <w:tab w:leader="none" w:pos="16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an amount equal to Retained Declined Proceeds, </w:t>
      </w:r>
      <w:r>
        <w:rPr>
          <w:rFonts w:ascii="Arial" w:cs="Arial" w:eastAsia="Arial" w:hAnsi="Arial"/>
          <w:sz w:val="19"/>
          <w:szCs w:val="19"/>
          <w:i w:val="1"/>
          <w:iCs w:val="1"/>
          <w:color w:val="auto"/>
        </w:rPr>
        <w:t>minus</w:t>
      </w:r>
    </w:p>
    <w:p>
      <w:pPr>
        <w:spacing w:after="0" w:line="214" w:lineRule="exact"/>
        <w:rPr>
          <w:rFonts w:ascii="Arial" w:cs="Arial" w:eastAsia="Arial" w:hAnsi="Arial"/>
          <w:sz w:val="19"/>
          <w:szCs w:val="19"/>
          <w:color w:val="auto"/>
        </w:rPr>
      </w:pPr>
    </w:p>
    <w:p>
      <w:pPr>
        <w:jc w:val="both"/>
        <w:ind w:left="640" w:firstLine="625"/>
        <w:spacing w:after="0" w:line="252" w:lineRule="auto"/>
        <w:tabs>
          <w:tab w:leader="none" w:pos="1689"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the aggregate amount of Investments (net of amounts received in respect of such Investments, whether as principal, interest, dividends, repayments, cancellations of guarantees or otherwise) made prior to such time pursuant to Section 6.04(n)(ii), Restricted Payments made prior to such time pursuant to paragraph Section 6.08(a)(viii) (or loans or advances made in lieu thereof pursuant to Section 6.04(k) or Indebtedness incurred using the Available RP Capacity Amount in lieu thereof) and payments in respect of any Junior Financing made prior to such time pursuant to Section 6.08(b)(iv); </w:t>
      </w:r>
      <w:r>
        <w:rPr>
          <w:rFonts w:ascii="Arial" w:cs="Arial" w:eastAsia="Arial" w:hAnsi="Arial"/>
          <w:sz w:val="19"/>
          <w:szCs w:val="19"/>
          <w:i w:val="1"/>
          <w:iCs w:val="1"/>
          <w:color w:val="auto"/>
        </w:rPr>
        <w:t>minus</w:t>
      </w:r>
    </w:p>
    <w:p>
      <w:pPr>
        <w:spacing w:after="0" w:line="178" w:lineRule="exact"/>
        <w:rPr>
          <w:rFonts w:ascii="Arial" w:cs="Arial" w:eastAsia="Arial" w:hAnsi="Arial"/>
          <w:sz w:val="19"/>
          <w:szCs w:val="19"/>
          <w:color w:val="auto"/>
        </w:rPr>
      </w:pPr>
    </w:p>
    <w:p>
      <w:pPr>
        <w:ind w:left="1640" w:hanging="375"/>
        <w:spacing w:after="0"/>
        <w:tabs>
          <w:tab w:leader="none" w:pos="16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payments pursuant to Section 6.08(a)(iii) (but not in excess of the amount which would reduce the Cumulative Credit to below</w:t>
      </w:r>
    </w:p>
    <w:p>
      <w:pPr>
        <w:spacing w:after="0" w:line="43"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$0).</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 Amount</w:t>
      </w:r>
      <w:r>
        <w:rPr>
          <w:rFonts w:ascii="Arial" w:cs="Arial" w:eastAsia="Arial" w:hAnsi="Arial"/>
          <w:sz w:val="19"/>
          <w:szCs w:val="19"/>
          <w:color w:val="auto"/>
        </w:rPr>
        <w:t>” has the meaning assigned to such term in Section 7.02(a).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 Deadline</w:t>
      </w:r>
      <w:r>
        <w:rPr>
          <w:rFonts w:ascii="Arial" w:cs="Arial" w:eastAsia="Arial" w:hAnsi="Arial"/>
          <w:sz w:val="19"/>
          <w:szCs w:val="19"/>
          <w:color w:val="auto"/>
        </w:rPr>
        <w:t>” has the meaning assigned to such term in Section 7.02(a).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 Notice</w:t>
      </w:r>
      <w:r>
        <w:rPr>
          <w:rFonts w:ascii="Arial" w:cs="Arial" w:eastAsia="Arial" w:hAnsi="Arial"/>
          <w:sz w:val="19"/>
          <w:szCs w:val="19"/>
          <w:color w:val="auto"/>
        </w:rPr>
        <w:t>” has the meaning assigned to such term in Section 7.02(a).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 Right</w:t>
      </w:r>
      <w:r>
        <w:rPr>
          <w:rFonts w:ascii="Arial" w:cs="Arial" w:eastAsia="Arial" w:hAnsi="Arial"/>
          <w:sz w:val="19"/>
          <w:szCs w:val="19"/>
          <w:color w:val="auto"/>
        </w:rPr>
        <w:t>” has the meaning assigned to such term in Section 7.02(a).</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w:t>
      </w:r>
      <w:r>
        <w:rPr>
          <w:rFonts w:ascii="Arial" w:cs="Arial" w:eastAsia="Arial" w:hAnsi="Arial"/>
          <w:sz w:val="19"/>
          <w:szCs w:val="19"/>
          <w:color w:val="auto"/>
        </w:rPr>
        <w:t>” means any event or condition that constitutes an Event of Default or that upon notice, lapse of time or both would, unless cured or waived, become an Event of Default.</w:t>
      </w:r>
    </w:p>
    <w:p>
      <w:pPr>
        <w:sectPr>
          <w:pgSz w:w="11900" w:h="16838" w:orient="portrait"/>
          <w:cols w:equalWidth="0" w:num="1">
            <w:col w:w="11420"/>
          </w:cols>
          <w:pgMar w:left="240" w:top="121" w:right="239" w:bottom="40" w:gutter="0" w:footer="0" w:header="0"/>
        </w:sectPr>
      </w:pPr>
    </w:p>
    <w:bookmarkStart w:id="99" w:name="page100"/>
    <w:bookmarkEnd w:id="99"/>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means any Revolving Lender that (a) has failed, within one Business Day of the date required to be funded or paid, to</w:t>
      </w:r>
    </w:p>
    <w:p>
      <w:pPr>
        <w:spacing w:after="0" w:line="49" w:lineRule="exact"/>
        <w:rPr>
          <w:sz w:val="20"/>
          <w:szCs w:val="20"/>
          <w:color w:val="auto"/>
        </w:rPr>
      </w:pPr>
    </w:p>
    <w:p>
      <w:pPr>
        <w:jc w:val="both"/>
        <w:ind w:firstLine="5"/>
        <w:spacing w:after="0" w:line="276" w:lineRule="auto"/>
        <w:tabs>
          <w:tab w:leader="none" w:pos="23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fund any portion of its Revolving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or Swingline Loans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w:t>
      </w:r>
    </w:p>
    <w:p>
      <w:pPr>
        <w:spacing w:after="0" w:line="163"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Non-Cash Consideration</w:t>
      </w:r>
      <w:r>
        <w:rPr>
          <w:rFonts w:ascii="Arial" w:cs="Arial" w:eastAsia="Arial" w:hAnsi="Arial"/>
          <w:sz w:val="19"/>
          <w:szCs w:val="19"/>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 within 180 days following the consummation of the applicable Disposition).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Designation Date</w:t>
      </w:r>
      <w:r>
        <w:rPr>
          <w:rFonts w:ascii="Arial" w:cs="Arial" w:eastAsia="Arial" w:hAnsi="Arial"/>
          <w:sz w:val="19"/>
          <w:szCs w:val="19"/>
          <w:color w:val="auto"/>
        </w:rPr>
        <w:t>” has the meaning assigned to such term in Section 5.13.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Prepayment Accepting Lender</w:t>
      </w:r>
      <w:r>
        <w:rPr>
          <w:rFonts w:ascii="Arial" w:cs="Arial" w:eastAsia="Arial" w:hAnsi="Arial"/>
          <w:sz w:val="19"/>
          <w:szCs w:val="19"/>
          <w:color w:val="auto"/>
        </w:rPr>
        <w:t>” has the meaning assigned to such term in Section 2.09(a)(ii)(B)(2).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w:t>
      </w:r>
      <w:r>
        <w:rPr>
          <w:rFonts w:ascii="Arial" w:cs="Arial" w:eastAsia="Arial" w:hAnsi="Arial"/>
          <w:sz w:val="19"/>
          <w:szCs w:val="19"/>
          <w:color w:val="auto"/>
        </w:rPr>
        <w:t>” has the meaning assigned to such term in Section 2.09(a)(ii)(C)(1).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Amount</w:t>
      </w:r>
      <w:r>
        <w:rPr>
          <w:rFonts w:ascii="Arial" w:cs="Arial" w:eastAsia="Arial" w:hAnsi="Arial"/>
          <w:sz w:val="19"/>
          <w:szCs w:val="19"/>
          <w:color w:val="auto"/>
        </w:rPr>
        <w:t>” has the meaning assigned to such term in Section 2.09(a)(ii)(C)(1).</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Notice</w:t>
      </w:r>
      <w:r>
        <w:rPr>
          <w:rFonts w:ascii="Arial" w:cs="Arial" w:eastAsia="Arial" w:hAnsi="Arial"/>
          <w:sz w:val="19"/>
          <w:szCs w:val="19"/>
          <w:color w:val="auto"/>
        </w:rPr>
        <w:t>” means a written notice of a Borrower Solicitation of Discount Range Prepayment Offers made pursuant to Section 2.09(a)(ii)(C) substantially in the form of Exhibit K.</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Offer</w:t>
      </w:r>
      <w:r>
        <w:rPr>
          <w:rFonts w:ascii="Arial" w:cs="Arial" w:eastAsia="Arial" w:hAnsi="Arial"/>
          <w:sz w:val="19"/>
          <w:szCs w:val="19"/>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Response Date</w:t>
      </w:r>
      <w:r>
        <w:rPr>
          <w:rFonts w:ascii="Arial" w:cs="Arial" w:eastAsia="Arial" w:hAnsi="Arial"/>
          <w:sz w:val="19"/>
          <w:szCs w:val="19"/>
          <w:color w:val="auto"/>
        </w:rPr>
        <w:t>” has the meaning assigned to such term in Section 2.09(a)(ii)(C)(1).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Proration</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Determination Date</w:t>
      </w:r>
      <w:r>
        <w:rPr>
          <w:rFonts w:ascii="Arial" w:cs="Arial" w:eastAsia="Arial" w:hAnsi="Arial"/>
          <w:sz w:val="19"/>
          <w:szCs w:val="19"/>
          <w:color w:val="auto"/>
        </w:rPr>
        <w:t>” has the meaning assigned to such term in Section 2.09(a)(ii)(D)(3).</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Effective Date</w:t>
      </w:r>
      <w:r>
        <w:rPr>
          <w:rFonts w:ascii="Arial" w:cs="Arial" w:eastAsia="Arial" w:hAnsi="Arial"/>
          <w:sz w:val="19"/>
          <w:szCs w:val="19"/>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Term Loan Prepayment</w:t>
      </w:r>
      <w:r>
        <w:rPr>
          <w:rFonts w:ascii="Arial" w:cs="Arial" w:eastAsia="Arial" w:hAnsi="Arial"/>
          <w:sz w:val="19"/>
          <w:szCs w:val="19"/>
          <w:color w:val="auto"/>
        </w:rPr>
        <w:t>” has the meaning assigned to such term in Section 2.09(a)(ii)(A).</w:t>
      </w:r>
    </w:p>
    <w:p>
      <w:pPr>
        <w:spacing w:after="0" w:line="215"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has the meaning assigned to such term in Section 6.05.</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Equity Interest</w:t>
      </w:r>
      <w:r>
        <w:rPr>
          <w:rFonts w:ascii="Arial" w:cs="Arial" w:eastAsia="Arial" w:hAnsi="Arial"/>
          <w:sz w:val="19"/>
          <w:szCs w:val="19"/>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67" w:lineRule="exact"/>
        <w:rPr>
          <w:sz w:val="20"/>
          <w:szCs w:val="20"/>
          <w:color w:val="auto"/>
        </w:rPr>
      </w:pPr>
    </w:p>
    <w:p>
      <w:pPr>
        <w:jc w:val="both"/>
        <w:ind w:left="640" w:firstLine="625"/>
        <w:spacing w:after="0" w:line="259" w:lineRule="auto"/>
        <w:tabs>
          <w:tab w:leader="none" w:pos="1728" w:val="left"/>
        </w:tabs>
        <w:numPr>
          <w:ilvl w:val="0"/>
          <w:numId w:val="32"/>
        </w:numPr>
        <w:rPr>
          <w:rFonts w:ascii="Arial" w:cs="Arial" w:eastAsia="Arial" w:hAnsi="Arial"/>
          <w:sz w:val="19"/>
          <w:szCs w:val="19"/>
          <w:color w:val="auto"/>
        </w:rPr>
      </w:pPr>
      <w:r>
        <w:rPr>
          <w:rFonts w:ascii="Arial" w:cs="Arial" w:eastAsia="Arial" w:hAnsi="Arial"/>
          <w:sz w:val="19"/>
          <w:szCs w:val="19"/>
          <w:color w:val="auto"/>
        </w:rPr>
        <w:t>matures or is mandatorily redeemable (other than solely for Equity Interests in such Person or in VFI that do not constitute Disqualified Equity Interests and cash in lieu of fractional shares of such Equity Interests), whether pursuant to a sinking fund obligation or otherwise;</w:t>
      </w:r>
    </w:p>
    <w:p>
      <w:pPr>
        <w:spacing w:after="0" w:line="171" w:lineRule="exact"/>
        <w:rPr>
          <w:rFonts w:ascii="Arial" w:cs="Arial" w:eastAsia="Arial" w:hAnsi="Arial"/>
          <w:sz w:val="19"/>
          <w:szCs w:val="19"/>
          <w:color w:val="auto"/>
        </w:rPr>
      </w:pPr>
    </w:p>
    <w:p>
      <w:pPr>
        <w:jc w:val="both"/>
        <w:ind w:left="640" w:firstLine="625"/>
        <w:spacing w:after="0" w:line="259" w:lineRule="auto"/>
        <w:tabs>
          <w:tab w:leader="none" w:pos="1722" w:val="left"/>
        </w:tabs>
        <w:numPr>
          <w:ilvl w:val="0"/>
          <w:numId w:val="32"/>
        </w:numPr>
        <w:rPr>
          <w:rFonts w:ascii="Arial" w:cs="Arial" w:eastAsia="Arial" w:hAnsi="Arial"/>
          <w:sz w:val="19"/>
          <w:szCs w:val="19"/>
          <w:color w:val="auto"/>
        </w:rPr>
      </w:pPr>
      <w:r>
        <w:rPr>
          <w:rFonts w:ascii="Arial" w:cs="Arial" w:eastAsia="Arial" w:hAnsi="Arial"/>
          <w:sz w:val="19"/>
          <w:szCs w:val="19"/>
          <w:color w:val="auto"/>
        </w:rPr>
        <w:t>is convertible or exchangeable, either mandatorily or at the option of the holder thereof, for Indebtedness or Equity Interests (other than solely for Equity Interests in such Person or in VFI that do not constitute Disqualified Equity Interests and cash in lieu of fractional shares of such Equity Interests);</w:t>
      </w:r>
    </w:p>
    <w:p>
      <w:pPr>
        <w:spacing w:after="0" w:line="171" w:lineRule="exact"/>
        <w:rPr>
          <w:rFonts w:ascii="Arial" w:cs="Arial" w:eastAsia="Arial" w:hAnsi="Arial"/>
          <w:sz w:val="19"/>
          <w:szCs w:val="19"/>
          <w:color w:val="auto"/>
        </w:rPr>
      </w:pPr>
    </w:p>
    <w:p>
      <w:pPr>
        <w:ind w:left="1680" w:hanging="415"/>
        <w:spacing w:after="0"/>
        <w:tabs>
          <w:tab w:leader="none" w:pos="16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provides for the scheduled payments of dividends in cash; or</w:t>
      </w:r>
    </w:p>
    <w:p>
      <w:pPr>
        <w:spacing w:after="0" w:line="214" w:lineRule="exact"/>
        <w:rPr>
          <w:rFonts w:ascii="Arial" w:cs="Arial" w:eastAsia="Arial" w:hAnsi="Arial"/>
          <w:sz w:val="19"/>
          <w:szCs w:val="19"/>
          <w:color w:val="auto"/>
        </w:rPr>
      </w:pPr>
    </w:p>
    <w:p>
      <w:pPr>
        <w:jc w:val="both"/>
        <w:ind w:left="640" w:firstLine="625"/>
        <w:spacing w:after="0" w:line="259" w:lineRule="auto"/>
        <w:tabs>
          <w:tab w:leader="none" w:pos="178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is redeemable (other than solely for Equity Interests in such Person or in VFI that do not constitute Disqualified Equity Interests and cash in lieu of fractional shares of such Equity Interests) or is required to be repurchased by such Person or VFI or any of its Affiliates, in whole or in part, at the option of the holder thereof;</w:t>
      </w:r>
    </w:p>
    <w:p>
      <w:pPr>
        <w:sectPr>
          <w:pgSz w:w="11900" w:h="16845" w:orient="portrait"/>
          <w:cols w:equalWidth="0" w:num="1">
            <w:col w:w="11420"/>
          </w:cols>
          <w:pgMar w:left="240" w:top="118" w:right="239" w:bottom="0" w:gutter="0" w:footer="0" w:header="0"/>
        </w:sectPr>
      </w:pPr>
    </w:p>
    <w:bookmarkStart w:id="100" w:name="page101"/>
    <w:bookmarkEnd w:id="100"/>
    <w:p>
      <w:pPr>
        <w:jc w:val="both"/>
        <w:spacing w:after="0" w:line="248" w:lineRule="auto"/>
        <w:rPr>
          <w:sz w:val="20"/>
          <w:szCs w:val="20"/>
          <w:color w:val="auto"/>
        </w:rPr>
      </w:pPr>
      <w:r>
        <w:rPr>
          <w:rFonts w:ascii="Arial" w:cs="Arial" w:eastAsia="Arial" w:hAnsi="Arial"/>
          <w:sz w:val="19"/>
          <w:szCs w:val="19"/>
          <w:color w:val="auto"/>
        </w:rPr>
        <w:t xml:space="preserve">in each case, on or prior to the date 91 days after the Latest Maturity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0"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Disqualified Lender</w:t>
      </w:r>
      <w:r>
        <w:rPr>
          <w:rFonts w:ascii="Arial" w:cs="Arial" w:eastAsia="Arial" w:hAnsi="Arial"/>
          <w:sz w:val="19"/>
          <w:szCs w:val="19"/>
          <w:color w:val="auto"/>
        </w:rPr>
        <w:t>” means each Person identified as a “Disqualified Lender” on Part A of Schedule 1.01(a), which Schedule may be provided to any Lender or prospective Lender upon request.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refers to lawful money of the United States of America.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Domestic Subsidiary</w:t>
      </w:r>
      <w:r>
        <w:rPr>
          <w:rFonts w:ascii="Arial" w:cs="Arial" w:eastAsia="Arial" w:hAnsi="Arial"/>
          <w:sz w:val="19"/>
          <w:szCs w:val="19"/>
          <w:color w:val="auto"/>
        </w:rPr>
        <w:t>” means any Subsidiary that is not a Foreign Subsidiary.</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 (a) or (b) of this definition and is subject to consolidated supervision with its parent.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ECF Percentage</w:t>
      </w:r>
      <w:r>
        <w:rPr>
          <w:rFonts w:ascii="Arial" w:cs="Arial" w:eastAsia="Arial" w:hAnsi="Arial"/>
          <w:sz w:val="19"/>
          <w:szCs w:val="19"/>
          <w:color w:val="auto"/>
        </w:rPr>
        <w:t>” means, with respect to any prepayment required by Section 2.09(c) with respect to any fiscal quarter (or other applicable period) of the Borrower, if the First Lien Leverage Ratio (prior to giving effect to the applicable prepayment pursuant to Section 2.09(c)) as of the end of such fiscal quarter (or other applicable period) is (a) greater than 1.30 to 1.00, 50% of Excess Cash Flow for such period, (b) equal to or less than 1.30 to 1.00 but greater than 0.80 to 1.00, 25% of Excess Cash Flow for such period and (c) equal to or less than 0.80 to 1.00, 0% of Excess Cash Flow for such period.</w:t>
      </w:r>
    </w:p>
    <w:p>
      <w:pPr>
        <w:spacing w:after="0" w:line="16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61"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Holding Vehicles</w:t>
      </w:r>
      <w:r>
        <w:rPr>
          <w:rFonts w:ascii="Arial" w:cs="Arial" w:eastAsia="Arial" w:hAnsi="Arial"/>
          <w:sz w:val="18"/>
          <w:szCs w:val="18"/>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spacing w:after="0" w:line="15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69"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Liability</w:t>
      </w:r>
      <w:r>
        <w:rPr>
          <w:rFonts w:ascii="Arial" w:cs="Arial" w:eastAsia="Arial" w:hAnsi="Arial"/>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60"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means the Employee Retirement Income Security Act of 1974, as amended from time to time, and the rules and regulations promulgated thereunder.</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Affiliate</w:t>
      </w:r>
      <w:r>
        <w:rPr>
          <w:rFonts w:ascii="Arial" w:cs="Arial" w:eastAsia="Arial" w:hAnsi="Arial"/>
          <w:sz w:val="19"/>
          <w:szCs w:val="19"/>
          <w:color w:val="auto"/>
        </w:rPr>
        <w:t>” means any trade or business (whether or not incorporated) that, together with the Borrower or any Subsidiary, is treated as a single employer under Section 414(b) or 414(c) of the Code or, solely for purposes of Section 302 of ERISA and Section 412 of the Code, is treated as a single employer under Section 414 of the Code.</w:t>
      </w:r>
    </w:p>
    <w:p>
      <w:pPr>
        <w:spacing w:after="0" w:line="161"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w:t>
      </w:r>
    </w:p>
    <w:p>
      <w:pPr>
        <w:sectPr>
          <w:pgSz w:w="11900" w:h="16838" w:orient="portrait"/>
          <w:cols w:equalWidth="0" w:num="1">
            <w:col w:w="11420"/>
          </w:cols>
          <w:pgMar w:left="240" w:top="241" w:right="239" w:bottom="0" w:gutter="0" w:footer="0" w:header="0"/>
        </w:sectPr>
      </w:pPr>
    </w:p>
    <w:bookmarkStart w:id="101" w:name="page102"/>
    <w:bookmarkEnd w:id="101"/>
    <w:p>
      <w:pPr>
        <w:jc w:val="both"/>
        <w:spacing w:after="0" w:line="282" w:lineRule="auto"/>
        <w:rPr>
          <w:sz w:val="20"/>
          <w:szCs w:val="20"/>
          <w:color w:val="auto"/>
        </w:rPr>
      </w:pPr>
      <w:r>
        <w:rPr>
          <w:rFonts w:ascii="Arial" w:cs="Arial" w:eastAsia="Arial" w:hAnsi="Arial"/>
          <w:sz w:val="17"/>
          <w:szCs w:val="17"/>
          <w:color w:val="auto"/>
        </w:rPr>
        <w:t>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53"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Eurodollar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LIBO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has the meaning assigned to such term in Section 7.01.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Cash Flow</w:t>
      </w:r>
      <w:r>
        <w:rPr>
          <w:rFonts w:ascii="Arial" w:cs="Arial" w:eastAsia="Arial" w:hAnsi="Arial"/>
          <w:sz w:val="19"/>
          <w:szCs w:val="19"/>
          <w:color w:val="auto"/>
        </w:rPr>
        <w:t>” means, for any period, an amount equal to the excess of:</w:t>
      </w:r>
    </w:p>
    <w:p>
      <w:pPr>
        <w:spacing w:after="0" w:line="221" w:lineRule="exact"/>
        <w:rPr>
          <w:sz w:val="20"/>
          <w:szCs w:val="20"/>
          <w:color w:val="auto"/>
        </w:rPr>
      </w:pPr>
    </w:p>
    <w:p>
      <w:pPr>
        <w:ind w:left="1040" w:hanging="405"/>
        <w:spacing w:after="0"/>
        <w:tabs>
          <w:tab w:leader="none" w:pos="10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4" w:lineRule="exact"/>
        <w:rPr>
          <w:rFonts w:ascii="Arial" w:cs="Arial" w:eastAsia="Arial" w:hAnsi="Arial"/>
          <w:sz w:val="19"/>
          <w:szCs w:val="19"/>
          <w:color w:val="auto"/>
        </w:rPr>
      </w:pPr>
    </w:p>
    <w:p>
      <w:pPr>
        <w:ind w:left="1640" w:hanging="375"/>
        <w:spacing w:after="0"/>
        <w:tabs>
          <w:tab w:leader="none" w:pos="16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Consolidated Net Income for such period,</w:t>
      </w:r>
    </w:p>
    <w:p>
      <w:pPr>
        <w:spacing w:after="0" w:line="214" w:lineRule="exact"/>
        <w:rPr>
          <w:rFonts w:ascii="Arial" w:cs="Arial" w:eastAsia="Arial" w:hAnsi="Arial"/>
          <w:sz w:val="19"/>
          <w:szCs w:val="19"/>
          <w:color w:val="auto"/>
        </w:rPr>
      </w:pPr>
    </w:p>
    <w:p>
      <w:pPr>
        <w:ind w:left="640" w:firstLine="625"/>
        <w:spacing w:after="0" w:line="274" w:lineRule="auto"/>
        <w:tabs>
          <w:tab w:leader="none" w:pos="1722"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 amount equal to the amount of all Non-Cash Charges (including in respect of depreciation and amortization) to the extent deducted in arriving at such Consolidated Net Income,</w:t>
      </w:r>
    </w:p>
    <w:p>
      <w:pPr>
        <w:spacing w:after="0" w:line="157" w:lineRule="exact"/>
        <w:rPr>
          <w:rFonts w:ascii="Arial" w:cs="Arial" w:eastAsia="Arial" w:hAnsi="Arial"/>
          <w:sz w:val="19"/>
          <w:szCs w:val="19"/>
          <w:color w:val="auto"/>
        </w:rPr>
      </w:pPr>
    </w:p>
    <w:p>
      <w:pPr>
        <w:ind w:left="640" w:firstLine="625"/>
        <w:spacing w:after="0" w:line="335" w:lineRule="auto"/>
        <w:tabs>
          <w:tab w:leader="none" w:pos="178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 amount equal to the aggregate net non-cash loss on dispositions by Holdings and the Restricted Subsidiaries during such period (other than dispositions in the ordinary course of business) to the extent deducted in arriving at such Consolidated Net Income;</w:t>
      </w:r>
    </w:p>
    <w:p>
      <w:pPr>
        <w:spacing w:after="0" w:line="110" w:lineRule="exact"/>
        <w:rPr>
          <w:rFonts w:ascii="Arial" w:cs="Arial" w:eastAsia="Arial" w:hAnsi="Arial"/>
          <w:sz w:val="17"/>
          <w:szCs w:val="17"/>
          <w:color w:val="auto"/>
        </w:rPr>
      </w:pPr>
    </w:p>
    <w:p>
      <w:pPr>
        <w:ind w:left="640" w:firstLine="625"/>
        <w:spacing w:after="0" w:line="274" w:lineRule="auto"/>
        <w:tabs>
          <w:tab w:leader="none" w:pos="1774"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amount of tax expenses deducted in determining Consolidated Net Income for such period to the extent they exceed the amount of cash taxes paid in such period; and</w:t>
      </w:r>
    </w:p>
    <w:p>
      <w:pPr>
        <w:spacing w:after="0" w:line="157" w:lineRule="exact"/>
        <w:rPr>
          <w:rFonts w:ascii="Arial" w:cs="Arial" w:eastAsia="Arial" w:hAnsi="Arial"/>
          <w:sz w:val="19"/>
          <w:szCs w:val="19"/>
          <w:color w:val="auto"/>
        </w:rPr>
      </w:pPr>
    </w:p>
    <w:p>
      <w:pPr>
        <w:ind w:left="1680" w:hanging="415"/>
        <w:spacing w:after="0"/>
        <w:tabs>
          <w:tab w:leader="none" w:pos="168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extraordinary cash gains during such period;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over</w:t>
      </w:r>
    </w:p>
    <w:p>
      <w:pPr>
        <w:spacing w:after="0" w:line="215" w:lineRule="exact"/>
        <w:rPr>
          <w:sz w:val="20"/>
          <w:szCs w:val="20"/>
          <w:color w:val="auto"/>
        </w:rPr>
      </w:pPr>
    </w:p>
    <w:p>
      <w:pPr>
        <w:ind w:left="1060" w:hanging="425"/>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sum, without duplication, of:</w:t>
      </w:r>
    </w:p>
    <w:p>
      <w:pPr>
        <w:spacing w:after="0" w:line="214" w:lineRule="exact"/>
        <w:rPr>
          <w:rFonts w:ascii="Arial" w:cs="Arial" w:eastAsia="Arial" w:hAnsi="Arial"/>
          <w:sz w:val="19"/>
          <w:szCs w:val="19"/>
          <w:color w:val="auto"/>
        </w:rPr>
      </w:pPr>
    </w:p>
    <w:p>
      <w:pPr>
        <w:jc w:val="both"/>
        <w:ind w:left="640" w:firstLine="625"/>
        <w:spacing w:after="0" w:line="273" w:lineRule="auto"/>
        <w:tabs>
          <w:tab w:leader="none" w:pos="16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spacing w:after="0" w:line="160" w:lineRule="exact"/>
        <w:rPr>
          <w:rFonts w:ascii="Arial" w:cs="Arial" w:eastAsia="Arial" w:hAnsi="Arial"/>
          <w:sz w:val="18"/>
          <w:szCs w:val="18"/>
          <w:color w:val="auto"/>
        </w:rPr>
      </w:pPr>
    </w:p>
    <w:p>
      <w:pPr>
        <w:jc w:val="both"/>
        <w:ind w:left="640" w:firstLine="625"/>
        <w:spacing w:after="0" w:line="254" w:lineRule="auto"/>
        <w:tabs>
          <w:tab w:leader="none" w:pos="1872" w:val="left"/>
        </w:tabs>
        <w:numPr>
          <w:ilvl w:val="1"/>
          <w:numId w:val="34"/>
        </w:numPr>
        <w:rPr>
          <w:rFonts w:ascii="Arial" w:cs="Arial" w:eastAsia="Arial" w:hAnsi="Arial"/>
          <w:sz w:val="19"/>
          <w:szCs w:val="19"/>
          <w:color w:val="auto"/>
        </w:rPr>
      </w:pPr>
      <w:r>
        <w:rPr>
          <w:rFonts w:ascii="Arial" w:cs="Arial" w:eastAsia="Arial" w:hAnsi="Arial"/>
          <w:sz w:val="19"/>
          <w:szCs w:val="19"/>
          <w:color w:val="auto"/>
        </w:rPr>
        <w:t>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w:t>
      </w:r>
    </w:p>
    <w:p>
      <w:pPr>
        <w:spacing w:after="0" w:line="177" w:lineRule="exact"/>
        <w:rPr>
          <w:rFonts w:ascii="Arial" w:cs="Arial" w:eastAsia="Arial" w:hAnsi="Arial"/>
          <w:sz w:val="19"/>
          <w:szCs w:val="19"/>
          <w:color w:val="auto"/>
        </w:rPr>
      </w:pPr>
    </w:p>
    <w:p>
      <w:pPr>
        <w:jc w:val="both"/>
        <w:ind w:left="640" w:firstLine="625"/>
        <w:spacing w:after="0" w:line="262" w:lineRule="auto"/>
        <w:tabs>
          <w:tab w:leader="none" w:pos="17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(Y) all prepayments of revolving loans (including any Revolving Loans and Swingline Loans) and any Trading Debt unless accompanied by a permanent reduction of commitments or termination of a credit line in respect of such revolving loans or such Trading Debt and (Z) the Closing Date Refinancings) made during such period, to the extent financed with internally generated funds of Holdings and the Restricted Subsidiaries (it being agreed that any amount not permitted to be deducted pursuant to this clause (b)(iii) may not be deducted pursuant to any other provision of this clause (b)),</w:t>
      </w:r>
    </w:p>
    <w:p>
      <w:pPr>
        <w:spacing w:after="0" w:line="175" w:lineRule="exact"/>
        <w:rPr>
          <w:rFonts w:ascii="Arial" w:cs="Arial" w:eastAsia="Arial" w:hAnsi="Arial"/>
          <w:sz w:val="18"/>
          <w:szCs w:val="18"/>
          <w:color w:val="auto"/>
        </w:rPr>
      </w:pPr>
    </w:p>
    <w:p>
      <w:pPr>
        <w:ind w:left="640" w:firstLine="625"/>
        <w:spacing w:after="0" w:line="335" w:lineRule="auto"/>
        <w:tabs>
          <w:tab w:leader="none" w:pos="176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dispositions by Holdings and the Restricted Subsidiaries during such period (other than dispositions in the ordinary course of business) to the extent included in arriving at such Consolidated Net Income,</w:t>
      </w:r>
    </w:p>
    <w:p>
      <w:pPr>
        <w:spacing w:after="0" w:line="110" w:lineRule="exact"/>
        <w:rPr>
          <w:rFonts w:ascii="Arial" w:cs="Arial" w:eastAsia="Arial" w:hAnsi="Arial"/>
          <w:sz w:val="17"/>
          <w:szCs w:val="17"/>
          <w:color w:val="auto"/>
        </w:rPr>
      </w:pPr>
    </w:p>
    <w:p>
      <w:pPr>
        <w:jc w:val="both"/>
        <w:ind w:left="640" w:firstLine="625"/>
        <w:spacing w:after="0" w:line="280" w:lineRule="auto"/>
        <w:tabs>
          <w:tab w:leader="none" w:pos="17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spacing w:after="0" w:line="154" w:lineRule="exact"/>
        <w:rPr>
          <w:rFonts w:ascii="Arial" w:cs="Arial" w:eastAsia="Arial" w:hAnsi="Arial"/>
          <w:sz w:val="18"/>
          <w:szCs w:val="18"/>
          <w:color w:val="auto"/>
        </w:rPr>
      </w:pPr>
    </w:p>
    <w:p>
      <w:pPr>
        <w:jc w:val="both"/>
        <w:ind w:left="640" w:firstLine="625"/>
        <w:spacing w:after="0" w:line="252" w:lineRule="auto"/>
        <w:tabs>
          <w:tab w:leader="none" w:pos="1764" w:val="left"/>
        </w:tabs>
        <w:numPr>
          <w:ilvl w:val="1"/>
          <w:numId w:val="34"/>
        </w:numPr>
        <w:rPr>
          <w:rFonts w:ascii="Arial" w:cs="Arial" w:eastAsia="Arial" w:hAnsi="Arial"/>
          <w:sz w:val="19"/>
          <w:szCs w:val="19"/>
          <w:color w:val="auto"/>
        </w:rPr>
      </w:pPr>
      <w:r>
        <w:rPr>
          <w:rFonts w:ascii="Arial" w:cs="Arial" w:eastAsia="Arial" w:hAnsi="Arial"/>
          <w:sz w:val="19"/>
          <w:szCs w:val="19"/>
          <w:color w:val="auto"/>
        </w:rPr>
        <w:t>without duplication of amounts deducted pursuant to clause (x) below in prior fiscal periods, the amount of Investments and acquisitions made in cash during such period pursuant to Section 6.04 (other than (1) to the extent made pursuant to Section 6.04(a) and (2)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sectPr>
          <w:pgSz w:w="11900" w:h="16838" w:orient="portrait"/>
          <w:cols w:equalWidth="0" w:num="1">
            <w:col w:w="11420"/>
          </w:cols>
          <w:pgMar w:left="240" w:top="121" w:right="239" w:bottom="68" w:gutter="0" w:footer="0" w:header="0"/>
        </w:sectPr>
      </w:pPr>
    </w:p>
    <w:bookmarkStart w:id="102" w:name="page103"/>
    <w:bookmarkEnd w:id="102"/>
    <w:p>
      <w:pPr>
        <w:jc w:val="both"/>
        <w:ind w:left="640" w:firstLine="625"/>
        <w:spacing w:after="0" w:line="260" w:lineRule="auto"/>
        <w:tabs>
          <w:tab w:leader="none" w:pos="191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 of dividends, distributions and other restricted payments paid in cash during such period by the Borrower pursuant to Section 6.08 (including any permitted quarterly tax distribution) to the extent such payments were financed with internally generated funds of Holdings and the Restricted Subsidiaries,</w:t>
      </w:r>
    </w:p>
    <w:p>
      <w:pPr>
        <w:spacing w:after="0" w:line="170" w:lineRule="exact"/>
        <w:rPr>
          <w:rFonts w:ascii="Arial" w:cs="Arial" w:eastAsia="Arial" w:hAnsi="Arial"/>
          <w:sz w:val="19"/>
          <w:szCs w:val="19"/>
          <w:color w:val="auto"/>
        </w:rPr>
      </w:pPr>
    </w:p>
    <w:p>
      <w:pPr>
        <w:jc w:val="both"/>
        <w:ind w:left="640" w:firstLine="625"/>
        <w:spacing w:after="0" w:line="259" w:lineRule="auto"/>
        <w:tabs>
          <w:tab w:leader="none" w:pos="1859"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w:t>
      </w:r>
    </w:p>
    <w:p>
      <w:pPr>
        <w:spacing w:after="0" w:line="171" w:lineRule="exact"/>
        <w:rPr>
          <w:rFonts w:ascii="Arial" w:cs="Arial" w:eastAsia="Arial" w:hAnsi="Arial"/>
          <w:sz w:val="19"/>
          <w:szCs w:val="19"/>
          <w:color w:val="auto"/>
        </w:rPr>
      </w:pPr>
    </w:p>
    <w:p>
      <w:pPr>
        <w:jc w:val="both"/>
        <w:ind w:left="640" w:firstLine="625"/>
        <w:spacing w:after="0" w:line="254" w:lineRule="auto"/>
        <w:tabs>
          <w:tab w:leader="none" w:pos="174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w:t>
      </w:r>
    </w:p>
    <w:p>
      <w:pPr>
        <w:spacing w:after="0" w:line="177" w:lineRule="exact"/>
        <w:rPr>
          <w:rFonts w:ascii="Arial" w:cs="Arial" w:eastAsia="Arial" w:hAnsi="Arial"/>
          <w:sz w:val="19"/>
          <w:szCs w:val="19"/>
          <w:color w:val="auto"/>
        </w:rPr>
      </w:pPr>
    </w:p>
    <w:p>
      <w:pPr>
        <w:jc w:val="both"/>
        <w:ind w:left="640" w:firstLine="625"/>
        <w:spacing w:after="0" w:line="263" w:lineRule="auto"/>
        <w:tabs>
          <w:tab w:leader="none" w:pos="17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w:t>
      </w:r>
      <w:r>
        <w:rPr>
          <w:rFonts w:ascii="Arial" w:cs="Arial" w:eastAsia="Arial" w:hAnsi="Arial"/>
          <w:sz w:val="18"/>
          <w:szCs w:val="18"/>
          <w:b w:val="1"/>
          <w:bCs w:val="1"/>
          <w:color w:val="auto"/>
        </w:rPr>
        <w:t>Contract Consideration</w:t>
      </w:r>
      <w:r>
        <w:rPr>
          <w:rFonts w:ascii="Arial" w:cs="Arial" w:eastAsia="Arial" w:hAnsi="Arial"/>
          <w:sz w:val="18"/>
          <w:szCs w:val="18"/>
          <w:color w:val="auto"/>
        </w:rPr>
        <w:t xml:space="preserve">”) entered into prior to or during such period relating to Permitted Acquisitions, other Investments or capital expenditures (including Capitalized Software Expenditures or other purchases of intellectual property but excluding any contracts where the counterparty is Holdings or any of the Restricted Subsidiaries) to be consummated or made during the period of four consecutive fiscal quarters of Holdings following the end of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72" w:lineRule="exact"/>
        <w:rPr>
          <w:rFonts w:ascii="Arial" w:cs="Arial" w:eastAsia="Arial" w:hAnsi="Arial"/>
          <w:sz w:val="18"/>
          <w:szCs w:val="18"/>
          <w:color w:val="auto"/>
        </w:rPr>
      </w:pPr>
    </w:p>
    <w:p>
      <w:pPr>
        <w:ind w:left="640" w:firstLine="625"/>
        <w:spacing w:after="0" w:line="274" w:lineRule="auto"/>
        <w:tabs>
          <w:tab w:leader="none" w:pos="179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amount of cash taxes paid in such period to the extent they exceed the amount of tax expense deducted in determining Consolidated Net Income for such period, and</w:t>
      </w:r>
    </w:p>
    <w:p>
      <w:pPr>
        <w:spacing w:after="0" w:line="157" w:lineRule="exact"/>
        <w:rPr>
          <w:rFonts w:ascii="Arial" w:cs="Arial" w:eastAsia="Arial" w:hAnsi="Arial"/>
          <w:sz w:val="19"/>
          <w:szCs w:val="19"/>
          <w:color w:val="auto"/>
        </w:rPr>
      </w:pPr>
    </w:p>
    <w:p>
      <w:pPr>
        <w:ind w:left="1780" w:hanging="515"/>
        <w:spacing w:after="0"/>
        <w:tabs>
          <w:tab w:leader="none" w:pos="1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extraordinary cash losses for such period.</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United States Securities Exchange Act of 1934, as amended from time to time.</w:t>
      </w:r>
    </w:p>
    <w:p>
      <w:pPr>
        <w:spacing w:after="0" w:line="215"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Assets</w:t>
      </w:r>
      <w:r>
        <w:rPr>
          <w:rFonts w:ascii="Arial" w:cs="Arial" w:eastAsia="Arial" w:hAnsi="Arial"/>
          <w:sz w:val="17"/>
          <w:szCs w:val="17"/>
          <w:color w:val="auto"/>
        </w:rPr>
        <w:t>” means (a) any fee-owned real property with a fair market value of less than $5,000,000 and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$5,000,000 (but only to the extent that a security interest in any such asset cannot be perfected by filing of a financing statement), (d) Equity Interests in any Person (other than the Borrower or any Wholly Owned Restricted Subsidiaries) to the extent not permitted by the terms of such Person’s organizational or joint venture documents, (e) voting Equity Interests constituting an amount greater than 65% of the voting Equity Interests of any Foreign Subsidiary, (f)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(g)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 the extent any of the foregoing is not rendered ineffective by, or is otherwise unenforceable under, the Uniform Commercial Code or any Requirements of Law), (h) any intent-to-use trademark applications filed in the United States Patent and Trademark Office, (i)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and (j)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w:t>
      </w:r>
    </w:p>
    <w:p>
      <w:pPr>
        <w:spacing w:after="0" w:line="394"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Domestic Subsidiary</w:t>
      </w:r>
      <w:r>
        <w:rPr>
          <w:rFonts w:ascii="Arial" w:cs="Arial" w:eastAsia="Arial" w:hAnsi="Arial"/>
          <w:sz w:val="18"/>
          <w:szCs w:val="18"/>
          <w:color w:val="auto"/>
        </w:rPr>
        <w:t>” means: (i) any direct or indirect Domestic Subsidiary of a direct or indirect Foreign Subsidiary of the Borrower that is a “controlled foreign corporation” within the meaning of Section 957 of the Code (a “CFC”) and (ii) any direct or indirect U.S. subsidiary of the Borrower that has no material assets other than equity of one or more direct or indirect non-U.S. subsidiaries that are CFCs.</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and (e) any other Subsidiary excused from becoming a Loan Party pursuant to the last paragraph of the definition of the term “Collateral and Guarantee Requirement.”</w:t>
      </w:r>
    </w:p>
    <w:p>
      <w:pPr>
        <w:spacing w:after="0" w:line="169" w:lineRule="exact"/>
        <w:rPr>
          <w:sz w:val="20"/>
          <w:szCs w:val="20"/>
          <w:color w:val="auto"/>
        </w:rPr>
      </w:pPr>
    </w:p>
    <w:p>
      <w:pPr>
        <w:jc w:val="both"/>
        <w:ind w:firstLine="630"/>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with respect to the Administrative Agent, any Lender, any Issuing Bank or any other recipient of any payment to be made by or on account of any obligation of any Loan Party hereunder or under any other Loan Document, (a) Taxes imposed on (or measured</w:t>
      </w:r>
    </w:p>
    <w:p>
      <w:pPr>
        <w:sectPr>
          <w:pgSz w:w="11900" w:h="16838" w:orient="portrait"/>
          <w:cols w:equalWidth="0" w:num="1">
            <w:col w:w="11420"/>
          </w:cols>
          <w:pgMar w:left="240" w:top="121" w:right="239" w:bottom="0" w:gutter="0" w:footer="0" w:header="0"/>
        </w:sectPr>
      </w:pPr>
    </w:p>
    <w:bookmarkStart w:id="103" w:name="page104"/>
    <w:bookmarkEnd w:id="103"/>
    <w:p>
      <w:pPr>
        <w:jc w:val="both"/>
        <w:spacing w:after="0" w:line="280" w:lineRule="auto"/>
        <w:rPr>
          <w:sz w:val="20"/>
          <w:szCs w:val="20"/>
          <w:color w:val="auto"/>
        </w:rPr>
      </w:pPr>
      <w:r>
        <w:rPr>
          <w:rFonts w:ascii="Arial" w:cs="Arial" w:eastAsia="Arial" w:hAnsi="Arial"/>
          <w:sz w:val="17"/>
          <w:szCs w:val="17"/>
          <w:color w:val="auto"/>
        </w:rPr>
        <w:t>by) its net income (however denominated) and franchise Taxes imposed on it (in lieu of net income Taxes) by (i) the jurisdiction under the laws of which such recipient is organized or in which its principal office is located or, in the case of any Lender, in which its applicable lending office is located, or (ii) any other jurisdiction as a result of a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any withholding Tax that is attributable to a Lender’s failure to comply with Section 2.15(e), (d) except in the case of an assignee or lending office pursuant to a request by the Borrower under Section 2.17, any U.S. federal withholding Taxes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 and (e) any withholding Taxes imposed under FATCA.</w:t>
      </w:r>
    </w:p>
    <w:p>
      <w:pPr>
        <w:spacing w:after="0" w:line="15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means that certain Fourth Amended and Restated Credit Agreement, dated as of June 30, 2017 (as amended, modified or supplemented prior to the Closing Date), among Holdings, the Refinancing Borrower, the lenders party thereto and JPMorgan Chase Bank, N.A., as administrative agent and collateral agent.</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Credit Agreement Refinancing</w:t>
      </w:r>
      <w:r>
        <w:rPr>
          <w:rFonts w:ascii="Arial" w:cs="Arial" w:eastAsia="Arial" w:hAnsi="Arial"/>
          <w:sz w:val="19"/>
          <w:szCs w:val="19"/>
          <w:color w:val="auto"/>
        </w:rPr>
        <w:t>” means the repayment of all the existing Indebtedness outstanding under the Existing Credit Agreement and the termination of all guarantees and releases of all security interests with respect thereto.</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Yen Bonds</w:t>
      </w:r>
      <w:r>
        <w:rPr>
          <w:rFonts w:ascii="Arial" w:cs="Arial" w:eastAsia="Arial" w:hAnsi="Arial"/>
          <w:sz w:val="19"/>
          <w:szCs w:val="19"/>
          <w:color w:val="auto"/>
        </w:rPr>
        <w:t>” means the Borrower’s Japanese Yen Bonds issued on July 25, 2016 in the aggregate principal amount of JPY 3,500,000,000 in favor of SBI Life Insurance Co., Ltd. and SBI Insurance Col., Ltd., and guaranteed by Holdings.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Extension Notice</w:t>
      </w:r>
      <w:r>
        <w:rPr>
          <w:rFonts w:ascii="Arial" w:cs="Arial" w:eastAsia="Arial" w:hAnsi="Arial"/>
          <w:sz w:val="19"/>
          <w:szCs w:val="19"/>
          <w:color w:val="auto"/>
        </w:rPr>
        <w:t>” has the meaning assigned to such term in Section 2.19(b).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w:t>
      </w:r>
      <w:r>
        <w:rPr>
          <w:rFonts w:ascii="Arial" w:cs="Arial" w:eastAsia="Arial" w:hAnsi="Arial"/>
          <w:sz w:val="19"/>
          <w:szCs w:val="19"/>
          <w:color w:val="auto"/>
        </w:rPr>
        <w:t>” means any series of Loans.</w:t>
      </w:r>
    </w:p>
    <w:p>
      <w:pPr>
        <w:spacing w:after="0" w:line="21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intergovernmental agreement, treaty or convention among Governmental Authorities (and any related fiscal or regulatory legislation, rules or official practices) implementing the foregoing.</w:t>
      </w:r>
    </w:p>
    <w:p>
      <w:pPr>
        <w:spacing w:after="0" w:line="169"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the NYFRB shall set forth on its public website from time to time, as published on the next succeeding Business Day by the NYFRB as the federal funds effective rate;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the Federal Funds Effective Rate will be deemed to be 0.00% per annum if the Federal Funds Effective Rate determined pursuant to this definition would otherwise be less than 0.00% per annum.</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means that certain Fee Letter, dated November 6, 2018, by and among the Jefferies Finance LLC, Royal Bank of Canada, RBC Capital Markets, VFI, Virtu and Impala Borrower.</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Officer</w:t>
      </w:r>
      <w:r>
        <w:rPr>
          <w:rFonts w:ascii="Arial" w:cs="Arial" w:eastAsia="Arial" w:hAnsi="Arial"/>
          <w:sz w:val="19"/>
          <w:szCs w:val="19"/>
          <w:color w:val="auto"/>
        </w:rPr>
        <w:t>” means the chief financial officer, chief operating officer, principal accounting officer, treasurer or controller of Holdings.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Financial Performance Covenant</w:t>
      </w:r>
      <w:r>
        <w:rPr>
          <w:rFonts w:ascii="Arial" w:cs="Arial" w:eastAsia="Arial" w:hAnsi="Arial"/>
          <w:sz w:val="19"/>
          <w:szCs w:val="19"/>
          <w:color w:val="auto"/>
        </w:rPr>
        <w:t>” means the covenant set forth in Section 6.12.</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Performance Covenant Test Period</w:t>
      </w:r>
      <w:r>
        <w:rPr>
          <w:rFonts w:ascii="Arial" w:cs="Arial" w:eastAsia="Arial" w:hAnsi="Arial"/>
          <w:sz w:val="18"/>
          <w:szCs w:val="18"/>
          <w:color w:val="auto"/>
        </w:rPr>
        <w:t>” means any Test Period (commencing with the Test Period ending on the last day of the first full fiscal quarter occurring after the Closing Date) on the last day of which the aggregate Revolving Exposure (excluding the aggregate undrawn amount of any outstanding Letters of Credit in an amount not to exceed $5,000,000 and any Letters of Credit that have been cash collateralized pursuant to the terms of this Agreement) is greater than 35% of the aggregate Revolving Commitments then in effect.</w:t>
      </w:r>
    </w:p>
    <w:p>
      <w:pPr>
        <w:spacing w:after="0" w:line="15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Financing Transactions</w:t>
      </w:r>
      <w:r>
        <w:rPr>
          <w:rFonts w:ascii="Arial" w:cs="Arial" w:eastAsia="Arial" w:hAnsi="Arial"/>
          <w:sz w:val="19"/>
          <w:szCs w:val="19"/>
          <w:color w:val="auto"/>
        </w:rPr>
        <w:t>” means the execution, delivery and performance by each Loan Party of the Loan Documents to which it is to be a party, the borrowing of Loans hereunder and the use of the proceeds thereof.</w:t>
      </w:r>
    </w:p>
    <w:p>
      <w:pPr>
        <w:spacing w:after="0" w:line="14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Intercreditor Agreement</w:t>
      </w:r>
      <w:r>
        <w:rPr>
          <w:rFonts w:ascii="Arial" w:cs="Arial" w:eastAsia="Arial" w:hAnsi="Arial"/>
          <w:sz w:val="19"/>
          <w:szCs w:val="19"/>
          <w:color w:val="auto"/>
        </w:rPr>
        <w:t xml:space="preserve">” means the First Lien Intercreditor Agreement substantially in the form of Exhibit F-1 among the Administrative Agent and one or more Senior Representatives for holders of Permitted First Priority Refinancing Debt and any secured Indebtedness (to the extent permitted to be secured by Liens of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Initial Term Loans or Initial Revolving Loans) incurred pursuant to Section 6.01(a)(viii) or 6.01(a)(ix) or Incremental Equivalent Debt incurred pursuant to Section 6.01(a)(xxii), with such modifications thereto as the Administrative Agent may reasonably agree.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Incurrence Ratio</w:t>
      </w:r>
      <w:r>
        <w:rPr>
          <w:rFonts w:ascii="Arial" w:cs="Arial" w:eastAsia="Arial" w:hAnsi="Arial"/>
          <w:sz w:val="19"/>
          <w:szCs w:val="19"/>
          <w:color w:val="auto"/>
        </w:rPr>
        <w:t>” has the meaning assigned to such term in the definition of “Incremental Cap.”</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Leverage Ratio</w:t>
      </w:r>
      <w:r>
        <w:rPr>
          <w:rFonts w:ascii="Arial" w:cs="Arial" w:eastAsia="Arial" w:hAnsi="Arial"/>
          <w:sz w:val="19"/>
          <w:szCs w:val="19"/>
          <w:color w:val="auto"/>
        </w:rPr>
        <w:t>” means, on any date, the ratio of (a) Consolidated First Lien Debt as of such date to (b) Consolidated EBITDA for the Test Period most recently 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Charge Coverage Incurrence Ratio</w:t>
      </w:r>
      <w:r>
        <w:rPr>
          <w:rFonts w:ascii="Arial" w:cs="Arial" w:eastAsia="Arial" w:hAnsi="Arial"/>
          <w:sz w:val="19"/>
          <w:szCs w:val="19"/>
          <w:color w:val="auto"/>
        </w:rPr>
        <w:t>” has the meaning assigned to such term in the definition of “Incremental Cap.”</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Charge Coverage Ratio</w:t>
      </w:r>
      <w:r>
        <w:rPr>
          <w:rFonts w:ascii="Arial" w:cs="Arial" w:eastAsia="Arial" w:hAnsi="Arial"/>
          <w:sz w:val="19"/>
          <w:szCs w:val="19"/>
          <w:color w:val="auto"/>
        </w:rPr>
        <w:t>” means, on any date, the ratio of (a) Consolidated EBITDA for the Test Period most recently ended to (b) Fixed Charges for such Test Period.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Fixed Charges</w:t>
      </w:r>
      <w:r>
        <w:rPr>
          <w:rFonts w:ascii="Arial" w:cs="Arial" w:eastAsia="Arial" w:hAnsi="Arial"/>
          <w:sz w:val="19"/>
          <w:szCs w:val="19"/>
          <w:color w:val="auto"/>
        </w:rPr>
        <w:t>” means, for any period, the sum without duplication, of the following for such period:</w:t>
      </w:r>
    </w:p>
    <w:p>
      <w:pPr>
        <w:spacing w:after="0" w:line="22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the Consolidated Interest Expense for such period, plus</w:t>
      </w:r>
    </w:p>
    <w:p>
      <w:pPr>
        <w:sectPr>
          <w:pgSz w:w="11900" w:h="16838" w:orient="portrait"/>
          <w:cols w:equalWidth="0" w:num="1">
            <w:col w:w="11420"/>
          </w:cols>
          <w:pgMar w:left="240" w:top="121" w:right="239" w:bottom="118" w:gutter="0" w:footer="0" w:header="0"/>
        </w:sectPr>
      </w:pPr>
    </w:p>
    <w:bookmarkStart w:id="104" w:name="page105"/>
    <w:bookmarkEnd w:id="104"/>
    <w:p>
      <w:pPr>
        <w:spacing w:after="0" w:line="61" w:lineRule="exact"/>
        <w:rPr>
          <w:sz w:val="20"/>
          <w:szCs w:val="20"/>
          <w:color w:val="auto"/>
        </w:rPr>
      </w:pPr>
    </w:p>
    <w:p>
      <w:pPr>
        <w:jc w:val="both"/>
        <w:ind w:firstLine="635"/>
        <w:spacing w:after="0" w:line="260" w:lineRule="auto"/>
        <w:tabs>
          <w:tab w:leader="none" w:pos="11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sum of all dividends, whether paid or accrued and whether or not in cash, on any series of preferred stock of Holdings, the Borrower or any Restricted Subsidiary (other than dividends payable solely in Equity Interests of Holdings (other than Disqualified Equity Interests) or to Holdings, the Borrower or any Restricted Subsidiary made during such period.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Flow-Through Entity</w:t>
      </w:r>
      <w:r>
        <w:rPr>
          <w:rFonts w:ascii="Arial" w:cs="Arial" w:eastAsia="Arial" w:hAnsi="Arial"/>
          <w:sz w:val="19"/>
          <w:szCs w:val="19"/>
          <w:color w:val="auto"/>
        </w:rPr>
        <w:t>” has the meaning assigned to such term in Section 6.08(a)(vi).</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Subsidiary</w:t>
      </w:r>
      <w:r>
        <w:rPr>
          <w:rFonts w:ascii="Arial" w:cs="Arial" w:eastAsia="Arial" w:hAnsi="Arial"/>
          <w:sz w:val="19"/>
          <w:szCs w:val="19"/>
          <w:color w:val="auto"/>
        </w:rPr>
        <w:t>” means any Subsidiary that is organized under the laws of a jurisdiction other than the United States of America, any State thereof or the District of Columbia.</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 of America, as in effect from time to time but subject to Section 1.04.</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Approvals</w:t>
      </w:r>
      <w:r>
        <w:rPr>
          <w:rFonts w:ascii="Arial" w:cs="Arial" w:eastAsia="Arial" w:hAnsi="Arial"/>
          <w:sz w:val="19"/>
          <w:szCs w:val="19"/>
          <w:color w:val="auto"/>
        </w:rPr>
        <w:t>” means all authorizations, consents, approvals, permits, licenses and exemptions of, registrations and filings with, and reports to, Governmental Authorities or Regulatory Supervising Organizations.</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7"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of or by any Person (the “</w:t>
      </w:r>
      <w:r>
        <w:rPr>
          <w:rFonts w:ascii="Arial" w:cs="Arial" w:eastAsia="Arial" w:hAnsi="Arial"/>
          <w:sz w:val="17"/>
          <w:szCs w:val="17"/>
          <w:b w:val="1"/>
          <w:bCs w:val="1"/>
          <w:color w:val="auto"/>
        </w:rPr>
        <w:t>Guarantor</w:t>
      </w:r>
      <w:r>
        <w:rPr>
          <w:rFonts w:ascii="Arial" w:cs="Arial" w:eastAsia="Arial" w:hAnsi="Arial"/>
          <w:sz w:val="17"/>
          <w:szCs w:val="17"/>
          <w:color w:val="auto"/>
        </w:rPr>
        <w:t>” or “</w:t>
      </w:r>
      <w:r>
        <w:rPr>
          <w:rFonts w:ascii="Arial" w:cs="Arial" w:eastAsia="Arial" w:hAnsi="Arial"/>
          <w:sz w:val="17"/>
          <w:szCs w:val="17"/>
          <w:b w:val="1"/>
          <w:bCs w:val="1"/>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b w:val="1"/>
          <w:bCs w:val="1"/>
          <w:color w:val="auto"/>
        </w:rPr>
        <w:t>primary obligor</w:t>
      </w:r>
      <w:r>
        <w:rPr>
          <w:rFonts w:ascii="Arial" w:cs="Arial" w:eastAsia="Arial" w:hAnsi="Arial"/>
          <w:sz w:val="17"/>
          <w:szCs w:val="17"/>
          <w:color w:val="auto"/>
        </w:rPr>
        <w:t>”)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w:t>
      </w:r>
    </w:p>
    <w:p>
      <w:pPr>
        <w:spacing w:after="0" w:line="2" w:lineRule="exact"/>
        <w:rPr>
          <w:sz w:val="20"/>
          <w:szCs w:val="20"/>
          <w:color w:val="auto"/>
        </w:rPr>
      </w:pPr>
    </w:p>
    <w:p>
      <w:pPr>
        <w:jc w:val="both"/>
        <w:ind w:firstLine="5"/>
        <w:spacing w:after="0" w:line="261" w:lineRule="auto"/>
        <w:tabs>
          <w:tab w:leader="none" w:pos="2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70"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 Agreement</w:t>
      </w:r>
      <w:r>
        <w:rPr>
          <w:rFonts w:ascii="Arial" w:cs="Arial" w:eastAsia="Arial" w:hAnsi="Arial"/>
          <w:sz w:val="19"/>
          <w:szCs w:val="19"/>
          <w:color w:val="auto"/>
        </w:rPr>
        <w:t>” means the Master Guarantee Agreement, dated as of March 1, 2019, among the Loan Parties and the Administrative Agent, substantially in the form of Exhibit B.</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Holdings</w:t>
      </w:r>
      <w:r>
        <w:rPr>
          <w:rFonts w:ascii="Arial" w:cs="Arial" w:eastAsia="Arial" w:hAnsi="Arial"/>
          <w:sz w:val="19"/>
          <w:szCs w:val="19"/>
          <w:color w:val="auto"/>
        </w:rPr>
        <w:t>” has the meaning given to such term in the preamble hereto.</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Holdings LLC Agreement</w:t>
      </w:r>
      <w:r>
        <w:rPr>
          <w:rFonts w:ascii="Arial" w:cs="Arial" w:eastAsia="Arial" w:hAnsi="Arial"/>
          <w:sz w:val="19"/>
          <w:szCs w:val="19"/>
          <w:color w:val="auto"/>
        </w:rPr>
        <w:t>” means the Limited Liability Company Agreement of Holdings pursuant to which the members of Holdings hold limited liability interests of Holdings, together with all exhibits and schedules thereto, as in effect as of the Closing Date.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Identified Participating Lenders</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Identified Qualifying Lenders</w:t>
      </w:r>
      <w:r>
        <w:rPr>
          <w:rFonts w:ascii="Arial" w:cs="Arial" w:eastAsia="Arial" w:hAnsi="Arial"/>
          <w:sz w:val="19"/>
          <w:szCs w:val="19"/>
          <w:color w:val="auto"/>
        </w:rPr>
        <w:t>” has the meaning specified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Immaterial Subsidiary</w:t>
      </w:r>
      <w:r>
        <w:rPr>
          <w:rFonts w:ascii="Arial" w:cs="Arial" w:eastAsia="Arial" w:hAnsi="Arial"/>
          <w:sz w:val="19"/>
          <w:szCs w:val="19"/>
          <w:color w:val="auto"/>
        </w:rPr>
        <w:t>” means any Subsidiary other than a Material Subsidiary.</w:t>
      </w:r>
    </w:p>
    <w:p>
      <w:pPr>
        <w:spacing w:after="0" w:line="215" w:lineRule="exact"/>
        <w:rPr>
          <w:sz w:val="20"/>
          <w:szCs w:val="20"/>
          <w:color w:val="auto"/>
        </w:rPr>
      </w:pPr>
    </w:p>
    <w:p>
      <w:pPr>
        <w:ind w:left="640" w:right="2940"/>
        <w:spacing w:after="0" w:line="4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Impacted Interest Period</w:t>
      </w:r>
      <w:r>
        <w:rPr>
          <w:rFonts w:ascii="Arial" w:cs="Arial" w:eastAsia="Arial" w:hAnsi="Arial"/>
          <w:sz w:val="19"/>
          <w:szCs w:val="19"/>
          <w:color w:val="auto"/>
        </w:rPr>
        <w:t>” has the meaning assigned to such term in the definition of “LIBO Rate.” “</w:t>
      </w:r>
      <w:r>
        <w:rPr>
          <w:rFonts w:ascii="Arial" w:cs="Arial" w:eastAsia="Arial" w:hAnsi="Arial"/>
          <w:sz w:val="19"/>
          <w:szCs w:val="19"/>
          <w:b w:val="1"/>
          <w:bCs w:val="1"/>
          <w:color w:val="auto"/>
        </w:rPr>
        <w:t>Impala Borrower</w:t>
      </w:r>
      <w:r>
        <w:rPr>
          <w:rFonts w:ascii="Arial" w:cs="Arial" w:eastAsia="Arial" w:hAnsi="Arial"/>
          <w:sz w:val="19"/>
          <w:szCs w:val="19"/>
          <w:color w:val="auto"/>
        </w:rPr>
        <w:t>” has the meaning assigned to such term in the preamble.</w:t>
      </w:r>
    </w:p>
    <w:p>
      <w:pPr>
        <w:spacing w:after="0" w:line="1"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Cap</w:t>
      </w:r>
      <w:r>
        <w:rPr>
          <w:rFonts w:ascii="Arial" w:cs="Arial" w:eastAsia="Arial" w:hAnsi="Arial"/>
          <w:sz w:val="17"/>
          <w:szCs w:val="17"/>
          <w:color w:val="auto"/>
        </w:rPr>
        <w:t xml:space="preserve">” means, at any time, an aggregate principal amount not to exceed the sum of (a) the excess of (i) the greater of $600,000,000 and 80% of Consolidated EBITDA for the most recently ended Test Period for which financial statements are available (as of the date of establishment or incurrence of the applicable Incremental Facility or Incremental Equivalent Debt (or, at the option of the Borrower, as of the date of establishment of the commitments in respect thereof)), over (ii) the aggregate amount of Incremental Facilities established and Incremental Equivalent Debt incurred, in each case, after the Closing Date and prior to such time utilizing this clause (a),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 additional amount so long as, in the case of this clause (b), on the date of incurrence thereof (or, at the option of the Borrower, on the date of establishment of the commitments in respect thereof), after giving effect to the incurrence of such Indebtedness and the use of the proceeds thereof (assuming, in the case of testing at time establishment of Commitments, that the committed amounts are fully drawn) (i) if such Incremental Facility or Incremental Equivalent Debt is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Liens on the Collateral securing the Initial Term Loans, either</w:t>
      </w:r>
    </w:p>
    <w:p>
      <w:pPr>
        <w:spacing w:after="0" w:line="7" w:lineRule="exact"/>
        <w:rPr>
          <w:sz w:val="20"/>
          <w:szCs w:val="20"/>
          <w:color w:val="auto"/>
        </w:rPr>
      </w:pPr>
    </w:p>
    <w:p>
      <w:pPr>
        <w:jc w:val="both"/>
        <w:ind w:firstLine="5"/>
        <w:spacing w:after="0" w:line="279" w:lineRule="auto"/>
        <w:tabs>
          <w:tab w:leader="none" w:pos="3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First Lien Leverage Ratio calculated on a Pro Forma Basis as of the end of the most recent Test Period for which financial statements are available does not exceed 1.80:1.00 (the “</w:t>
      </w:r>
      <w:r>
        <w:rPr>
          <w:rFonts w:ascii="Arial" w:cs="Arial" w:eastAsia="Arial" w:hAnsi="Arial"/>
          <w:sz w:val="17"/>
          <w:szCs w:val="17"/>
          <w:b w:val="1"/>
          <w:bCs w:val="1"/>
          <w:color w:val="auto"/>
        </w:rPr>
        <w:t>First Lien Incurrence Ratio</w:t>
      </w:r>
      <w:r>
        <w:rPr>
          <w:rFonts w:ascii="Arial" w:cs="Arial" w:eastAsia="Arial" w:hAnsi="Arial"/>
          <w:sz w:val="17"/>
          <w:szCs w:val="17"/>
          <w:color w:val="auto"/>
        </w:rPr>
        <w:t>”) or (B) in the case of any Incremental Facility or Incremental Equivalent Debt incurred in connection with a Permitted Acquisition or any other Investment permitted under Section 6.04 or New Project not prohibited hereunder (“</w:t>
      </w:r>
      <w:r>
        <w:rPr>
          <w:rFonts w:ascii="Arial" w:cs="Arial" w:eastAsia="Arial" w:hAnsi="Arial"/>
          <w:sz w:val="17"/>
          <w:szCs w:val="17"/>
          <w:b w:val="1"/>
          <w:bCs w:val="1"/>
          <w:color w:val="auto"/>
        </w:rPr>
        <w:t>Acquisition Debt</w:t>
      </w:r>
      <w:r>
        <w:rPr>
          <w:rFonts w:ascii="Arial" w:cs="Arial" w:eastAsia="Arial" w:hAnsi="Arial"/>
          <w:sz w:val="17"/>
          <w:szCs w:val="17"/>
          <w:color w:val="auto"/>
        </w:rPr>
        <w:t>”), the First Lien Leverage Ratio calculated on a Pro Forma Basis as of the end of the most recent Test Period for which financial statements are available either (x) does not exceed the First Lien Incurrence Ratio or (y) is not greater than the First Lien Leverage Ratio immediately prior to such incurrence of Indebtedness and Permitted Acquisition, other Investment or New Project, (ii) if such Incremental Facility or Incremental Equivalent Debt is secured by Liens on the Collateral on a junior basis to the Liens on the Collateral securing the Initial Term Loans, either (A) the Secured Leverage Ratio calculated on a Pro Forma Basis as of the end of the most recent Test Period for which financial statements are available does not exceed 2.50:1.00 (the “</w:t>
      </w:r>
      <w:r>
        <w:rPr>
          <w:rFonts w:ascii="Arial" w:cs="Arial" w:eastAsia="Arial" w:hAnsi="Arial"/>
          <w:sz w:val="17"/>
          <w:szCs w:val="17"/>
          <w:b w:val="1"/>
          <w:bCs w:val="1"/>
          <w:color w:val="auto"/>
        </w:rPr>
        <w:t>Secured Leverage Incurrence Ratio</w:t>
      </w:r>
      <w:r>
        <w:rPr>
          <w:rFonts w:ascii="Arial" w:cs="Arial" w:eastAsia="Arial" w:hAnsi="Arial"/>
          <w:sz w:val="17"/>
          <w:szCs w:val="17"/>
          <w:color w:val="auto"/>
        </w:rPr>
        <w:t>”) or (B) in the case of any Incremental Facility or</w:t>
      </w:r>
    </w:p>
    <w:p>
      <w:pPr>
        <w:sectPr>
          <w:pgSz w:w="11900" w:h="16900" w:orient="portrait"/>
          <w:cols w:equalWidth="0" w:num="1">
            <w:col w:w="11420"/>
          </w:cols>
          <w:pgMar w:left="240" w:top="121" w:right="239" w:bottom="0" w:gutter="0" w:footer="0" w:header="0"/>
        </w:sectPr>
      </w:pPr>
    </w:p>
    <w:bookmarkStart w:id="105" w:name="page106"/>
    <w:bookmarkEnd w:id="105"/>
    <w:p>
      <w:pPr>
        <w:jc w:val="both"/>
        <w:spacing w:after="0" w:line="280" w:lineRule="auto"/>
        <w:rPr>
          <w:sz w:val="20"/>
          <w:szCs w:val="20"/>
          <w:color w:val="auto"/>
        </w:rPr>
      </w:pPr>
      <w:r>
        <w:rPr>
          <w:rFonts w:ascii="Arial" w:cs="Arial" w:eastAsia="Arial" w:hAnsi="Arial"/>
          <w:sz w:val="17"/>
          <w:szCs w:val="17"/>
          <w:color w:val="auto"/>
        </w:rPr>
        <w:t>Incremental Equivalent Debt that is Acquisition Debt, the Secured Leverage Ratio calculated on a Pro Forma Basis as of the end of the most recent Test Period for which financial statements are available either (x) does not exceed the Secured Leverage Incurrence Ratio or (y) is not greater than the Secured Leverage Ratio immediately prior to such incurrence of Indebtedness and Permitted Acquisition, other Investment or New Project, and</w:t>
      </w:r>
    </w:p>
    <w:p>
      <w:pPr>
        <w:spacing w:after="0" w:line="2" w:lineRule="exact"/>
        <w:rPr>
          <w:sz w:val="20"/>
          <w:szCs w:val="20"/>
          <w:color w:val="auto"/>
        </w:rPr>
      </w:pPr>
    </w:p>
    <w:p>
      <w:pPr>
        <w:jc w:val="both"/>
        <w:ind w:firstLine="5"/>
        <w:spacing w:after="0" w:line="260" w:lineRule="auto"/>
        <w:tabs>
          <w:tab w:leader="none" w:pos="3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such Incremental Facility or Incremental Equivalent Debt is unsecured, either (A) (x) the Fixed Charge Coverage Ratio calculated on a Pro Forma Basis as of the end of the most recent Test Period for which financial statements are available would be at least 2.00 to 1.00 (the “</w:t>
      </w:r>
      <w:r>
        <w:rPr>
          <w:rFonts w:ascii="Arial" w:cs="Arial" w:eastAsia="Arial" w:hAnsi="Arial"/>
          <w:sz w:val="18"/>
          <w:szCs w:val="18"/>
          <w:b w:val="1"/>
          <w:bCs w:val="1"/>
          <w:color w:val="auto"/>
        </w:rPr>
        <w:t>Fixed</w:t>
      </w:r>
      <w:r>
        <w:rPr>
          <w:rFonts w:ascii="Arial" w:cs="Arial" w:eastAsia="Arial" w:hAnsi="Arial"/>
          <w:sz w:val="18"/>
          <w:szCs w:val="18"/>
          <w:color w:val="auto"/>
        </w:rPr>
        <w:t xml:space="preserve"> </w:t>
      </w:r>
      <w:r>
        <w:rPr>
          <w:rFonts w:ascii="Arial" w:cs="Arial" w:eastAsia="Arial" w:hAnsi="Arial"/>
          <w:sz w:val="18"/>
          <w:szCs w:val="18"/>
          <w:b w:val="1"/>
          <w:bCs w:val="1"/>
          <w:color w:val="auto"/>
        </w:rPr>
        <w:t>Charge Coverage Incurrence Ratio</w:t>
      </w:r>
      <w:r>
        <w:rPr>
          <w:rFonts w:ascii="Arial" w:cs="Arial" w:eastAsia="Arial" w:hAnsi="Arial"/>
          <w:sz w:val="18"/>
          <w:szCs w:val="18"/>
          <w:color w:val="auto"/>
        </w:rPr>
        <w:t>”) or (y) the Total Leverage Ratio calculated on a Pro Forma Basis as of the end of the most recent Test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for which financial statements are available does not exceed 2.50:1.00 (the “</w:t>
      </w:r>
      <w:r>
        <w:rPr>
          <w:rFonts w:ascii="Arial" w:cs="Arial" w:eastAsia="Arial" w:hAnsi="Arial"/>
          <w:sz w:val="18"/>
          <w:szCs w:val="18"/>
          <w:b w:val="1"/>
          <w:bCs w:val="1"/>
          <w:color w:val="auto"/>
        </w:rPr>
        <w:t>Total Leverage Incurrence Ratio</w:t>
      </w:r>
      <w:r>
        <w:rPr>
          <w:rFonts w:ascii="Arial" w:cs="Arial" w:eastAsia="Arial" w:hAnsi="Arial"/>
          <w:sz w:val="18"/>
          <w:szCs w:val="18"/>
          <w:color w:val="auto"/>
        </w:rPr>
        <w:t>”) or (B) in the case of any Incremental Facility or Incremental Equivalent Debt that is Acquisition Debt, either (x) the Total Leverage Ratio calculated on a Pro Forma Basis as of the end of the most recent Test Period for which financial statements are available either (I) does not exceed the Total Leverage Incurrence Ratio or (II) is not greater than the Total Leverage Ratio immediately prior to such incurrence of Indebtedness and Permitted Acquisition, other Investment or New Project or (y) the Fixed Charge Coverage Ratio calculated on a Pro Forma Basis as of the end of the most recent Test Period for which financial statements are available would either (I) be not greater than the Fixed Charge Coverage Incurrence Ratio or (II) be at least equal to the Fixed Charge Coverage Ratio immediately prior to such incurrence of Indebtedness and Permitted Acquisition, other Investment or New Project (this clause (iii), the “</w:t>
      </w:r>
      <w:r>
        <w:rPr>
          <w:rFonts w:ascii="Arial" w:cs="Arial" w:eastAsia="Arial" w:hAnsi="Arial"/>
          <w:sz w:val="18"/>
          <w:szCs w:val="18"/>
          <w:b w:val="1"/>
          <w:bCs w:val="1"/>
          <w:color w:val="auto"/>
        </w:rPr>
        <w:t>Unsecured Leverage Test</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an amount equal to the excess of (i) the aggregate amount of any voluntary prepayments of the Initial Term Loans or Term Loans incurred pursuant to clause (a) or (c) of this definition prior to such time and permanent reductions in the Revolving Commitment or Incremental Revolving Commitment incurred pursuant to clause (a) or (c) of this definition effected prior to such time, over (ii) the aggregate amount of Incremental Facilities established and Incremental Equivalent Debt incurred, in each case, after the Closing Date and prior to such time utilizing this clause (c), in each case assuming, in the case of the establishment of any Incremental Facilities constituting increases to the Revolving Facility or additional revolving credit facilities or other undrawn commitments, that such facilities were fully drawn on the date of effectiveness thereof, so long as, in the case of any such optional prepayment, such prepayment was not funded with the proceeds of any long-term Indebtedness.</w:t>
      </w:r>
    </w:p>
    <w:p>
      <w:pPr>
        <w:spacing w:after="0" w:line="174"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When calculating any ratio for purposes of determining the “Incremental Cap” or the ability to incur any Indebtedness under Section 2.18, Section 6.01(a)(viii), Section 6.01(a)(ix) or Section 6.01(a)(xxii), Pro Forma Basis shall mean that such calculation shall be made after giving effect to the incurrence of the relevant Indebtedness and the use of proceeds thereof (assuming that the full amount of any revolving commitment being established at such time is fully drawn).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Equivalent Debt</w:t>
      </w:r>
      <w:r>
        <w:rPr>
          <w:rFonts w:ascii="Arial" w:cs="Arial" w:eastAsia="Arial" w:hAnsi="Arial"/>
          <w:sz w:val="19"/>
          <w:szCs w:val="19"/>
          <w:color w:val="auto"/>
        </w:rPr>
        <w:t>” has the meaning assigned to such term in Section 6.01(a)(xxii).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Facility</w:t>
      </w:r>
      <w:r>
        <w:rPr>
          <w:rFonts w:ascii="Arial" w:cs="Arial" w:eastAsia="Arial" w:hAnsi="Arial"/>
          <w:sz w:val="19"/>
          <w:szCs w:val="19"/>
          <w:color w:val="auto"/>
        </w:rPr>
        <w:t>” has the meaning assigned to such term in Section 2.18(a)(ii).</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Revolving Commitment</w:t>
      </w:r>
      <w:r>
        <w:rPr>
          <w:rFonts w:ascii="Arial" w:cs="Arial" w:eastAsia="Arial" w:hAnsi="Arial"/>
          <w:sz w:val="19"/>
          <w:szCs w:val="19"/>
          <w:color w:val="auto"/>
        </w:rPr>
        <w:t>” means the commitment of the Additional Revolving Lenders to make loans pursuant to an Incremental Revolving Facility in accordance with Section 2.18.</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Revolving Facility</w:t>
      </w:r>
      <w:r>
        <w:rPr>
          <w:rFonts w:ascii="Arial" w:cs="Arial" w:eastAsia="Arial" w:hAnsi="Arial"/>
          <w:sz w:val="19"/>
          <w:szCs w:val="19"/>
          <w:color w:val="auto"/>
        </w:rPr>
        <w:t>” has the meaning assigned to such term in Section 2.18(a)(i).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Revolving Facility Amendment</w:t>
      </w:r>
      <w:r>
        <w:rPr>
          <w:rFonts w:ascii="Arial" w:cs="Arial" w:eastAsia="Arial" w:hAnsi="Arial"/>
          <w:sz w:val="19"/>
          <w:szCs w:val="19"/>
          <w:color w:val="auto"/>
        </w:rPr>
        <w:t>” has the meaning assigned to such term in Section 2.18(b)(ii).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Revolving Facility Closing Date</w:t>
      </w:r>
      <w:r>
        <w:rPr>
          <w:rFonts w:ascii="Arial" w:cs="Arial" w:eastAsia="Arial" w:hAnsi="Arial"/>
          <w:sz w:val="19"/>
          <w:szCs w:val="19"/>
          <w:color w:val="auto"/>
        </w:rPr>
        <w:t>” has the meaning assigned to such term in Section 2.18(b)(ii).</w:t>
      </w:r>
    </w:p>
    <w:p>
      <w:pPr>
        <w:spacing w:after="0" w:line="215" w:lineRule="exact"/>
        <w:rPr>
          <w:sz w:val="20"/>
          <w:szCs w:val="20"/>
          <w:color w:val="auto"/>
        </w:rPr>
      </w:pPr>
    </w:p>
    <w:p>
      <w:pPr>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Commitment</w:t>
      </w:r>
      <w:r>
        <w:rPr>
          <w:rFonts w:ascii="Arial" w:cs="Arial" w:eastAsia="Arial" w:hAnsi="Arial"/>
          <w:sz w:val="19"/>
          <w:szCs w:val="19"/>
          <w:color w:val="auto"/>
        </w:rPr>
        <w:t>” means the commitment of the Additional Term Lenders to make Incremental Term Loans pursuant to Section 2.18.</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w:t>
      </w:r>
      <w:r>
        <w:rPr>
          <w:rFonts w:ascii="Arial" w:cs="Arial" w:eastAsia="Arial" w:hAnsi="Arial"/>
          <w:sz w:val="19"/>
          <w:szCs w:val="19"/>
          <w:color w:val="auto"/>
        </w:rPr>
        <w:t>” has the meaning assigned to such term in Section 2.18(a)(ii).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 Amendment</w:t>
      </w:r>
      <w:r>
        <w:rPr>
          <w:rFonts w:ascii="Arial" w:cs="Arial" w:eastAsia="Arial" w:hAnsi="Arial"/>
          <w:sz w:val="19"/>
          <w:szCs w:val="19"/>
          <w:color w:val="auto"/>
        </w:rPr>
        <w:t>” has the meaning assigned to such term in Section 2.18(b)(iii).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Facility Closing Date</w:t>
      </w:r>
      <w:r>
        <w:rPr>
          <w:rFonts w:ascii="Arial" w:cs="Arial" w:eastAsia="Arial" w:hAnsi="Arial"/>
          <w:sz w:val="19"/>
          <w:szCs w:val="19"/>
          <w:color w:val="auto"/>
        </w:rPr>
        <w:t>” has the meaning assigned to such term in Section 2.18(b)(iii).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Incremental Term Loans</w:t>
      </w:r>
      <w:r>
        <w:rPr>
          <w:rFonts w:ascii="Arial" w:cs="Arial" w:eastAsia="Arial" w:hAnsi="Arial"/>
          <w:sz w:val="19"/>
          <w:szCs w:val="19"/>
          <w:color w:val="auto"/>
        </w:rPr>
        <w:t>” means term loans established pursuant to Section 2.18(b).</w:t>
      </w:r>
    </w:p>
    <w:p>
      <w:pPr>
        <w:spacing w:after="0" w:line="215"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any earn-out obligation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“Indebtedness” shall not include (x) deferred or prepaid revenue and (y) purchase price holdbacks 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5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Taxes</w:t>
      </w:r>
      <w:r>
        <w:rPr>
          <w:rFonts w:ascii="Arial" w:cs="Arial" w:eastAsia="Arial" w:hAnsi="Arial"/>
          <w:sz w:val="19"/>
          <w:szCs w:val="19"/>
          <w:color w:val="auto"/>
        </w:rPr>
        <w:t>” means Taxes, other than Excluded Taxes, imposed on or with respect to any payment made by or on account of any obligation of the Borrower under any Loan Document.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has the meaning assigned to such term in Section 9.03(b).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Information</w:t>
      </w:r>
      <w:r>
        <w:rPr>
          <w:rFonts w:ascii="Arial" w:cs="Arial" w:eastAsia="Arial" w:hAnsi="Arial"/>
          <w:sz w:val="19"/>
          <w:szCs w:val="19"/>
          <w:color w:val="auto"/>
        </w:rPr>
        <w:t>” has the meaning assigned to such term in Section 9.12.</w:t>
      </w:r>
    </w:p>
    <w:p>
      <w:pPr>
        <w:sectPr>
          <w:pgSz w:w="11900" w:h="16838" w:orient="portrait"/>
          <w:cols w:equalWidth="0" w:num="1">
            <w:col w:w="11420"/>
          </w:cols>
          <w:pgMar w:left="240" w:top="121" w:right="239" w:bottom="0" w:gutter="0" w:footer="0" w:header="0"/>
        </w:sectPr>
      </w:pPr>
    </w:p>
    <w:bookmarkStart w:id="106" w:name="page107"/>
    <w:bookmarkEnd w:id="106"/>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Information Materials</w:t>
      </w:r>
      <w:r>
        <w:rPr>
          <w:rFonts w:ascii="Arial" w:cs="Arial" w:eastAsia="Arial" w:hAnsi="Arial"/>
          <w:sz w:val="19"/>
          <w:szCs w:val="19"/>
          <w:color w:val="auto"/>
        </w:rPr>
        <w:t>” means the presentation to the Lenders dated January 11, 2019.</w:t>
      </w:r>
    </w:p>
    <w:p>
      <w:pPr>
        <w:spacing w:after="0" w:line="214"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Commitment</w:t>
      </w:r>
      <w:r>
        <w:rPr>
          <w:rFonts w:ascii="Arial" w:cs="Arial" w:eastAsia="Arial" w:hAnsi="Arial"/>
          <w:sz w:val="18"/>
          <w:szCs w:val="18"/>
          <w:color w:val="auto"/>
        </w:rPr>
        <w:t>” means with respect to each Lender, the aggregate commitment, if any, of such Lender to make a Refinancing Term Loan and Acquisition Term Loan hereunder on the Closing Date, expressed as an amount representing the maximum principal amount, in the aggregate, of the Refinancing Term Loan and Acquisition Term Loan to be made by such Lender hereunder, as such commitment may be reduced or increased from time to time pursuant to assignments by or to such Lender pursuant to an Assignment and Assumption. The amount of each Lender’s Initial Term Commitment as of the Closing Date is set forth on Schedule 2.01.</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 Loans</w:t>
      </w:r>
      <w:r>
        <w:rPr>
          <w:rFonts w:ascii="Arial" w:cs="Arial" w:eastAsia="Arial" w:hAnsi="Arial"/>
          <w:sz w:val="19"/>
          <w:szCs w:val="19"/>
          <w:color w:val="auto"/>
        </w:rPr>
        <w:t>” has the meaning assigned to such term in Section 2.01(a).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Revolving Loans</w:t>
      </w:r>
      <w:r>
        <w:rPr>
          <w:rFonts w:ascii="Arial" w:cs="Arial" w:eastAsia="Arial" w:hAnsi="Arial"/>
          <w:sz w:val="19"/>
          <w:szCs w:val="19"/>
          <w:color w:val="auto"/>
        </w:rPr>
        <w:t>” means Revolving Loans made pursuant to Revolving Commitments in effect as of the Closing Date.</w:t>
      </w:r>
    </w:p>
    <w:p>
      <w:pPr>
        <w:spacing w:after="0" w:line="215"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Insolvent</w:t>
      </w:r>
      <w:r>
        <w:rPr>
          <w:rFonts w:ascii="Arial" w:cs="Arial" w:eastAsia="Arial" w:hAnsi="Arial"/>
          <w:sz w:val="17"/>
          <w:szCs w:val="17"/>
          <w:color w:val="auto"/>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Election Request</w:t>
      </w:r>
      <w:r>
        <w:rPr>
          <w:rFonts w:ascii="Arial" w:cs="Arial" w:eastAsia="Arial" w:hAnsi="Arial"/>
          <w:sz w:val="18"/>
          <w:szCs w:val="18"/>
          <w:color w:val="auto"/>
        </w:rPr>
        <w:t>” means a request by the Borrower to convert or continue a Borrowing in accordance with Section 2.05.</w:t>
      </w:r>
    </w:p>
    <w:p>
      <w:pPr>
        <w:spacing w:after="0" w:line="226"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 with respect to any ABR Loan (including a Swingline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54"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Interest Election Request, as applicable (or, to the extent agreed to by each Lender participating therein, twelve months or such other period less than one month thereafter as the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Initial Term Loans, the Term Maturity Date, and (ii) in the case of Revolving Loans, the Revolving Maturity Date (or other applicable maturity date). For purposes hereof, the date of a Borrowing initially shall be the date on which such Borrowing is made and thereafter shall be the effective date of the most recent conversion or continuation of such Borrowing.</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Intermediate Parent</w:t>
      </w:r>
      <w:r>
        <w:rPr>
          <w:rFonts w:ascii="Arial" w:cs="Arial" w:eastAsia="Arial" w:hAnsi="Arial"/>
          <w:sz w:val="19"/>
          <w:szCs w:val="19"/>
          <w:color w:val="auto"/>
        </w:rPr>
        <w:t>” means any Subsidiary of Holdings and of which the Borrower is a Subsidiary.</w:t>
      </w:r>
    </w:p>
    <w:p>
      <w:pPr>
        <w:spacing w:after="0" w:line="21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Interpolated Rate</w:t>
      </w:r>
      <w:r>
        <w:rPr>
          <w:rFonts w:ascii="Arial" w:cs="Arial" w:eastAsia="Arial" w:hAnsi="Arial"/>
          <w:sz w:val="19"/>
          <w:szCs w:val="19"/>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69"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7"/>
          <w:szCs w:val="17"/>
          <w:i w:val="1"/>
          <w:iCs w:val="1"/>
          <w:color w:val="auto"/>
        </w:rPr>
        <w:t>minus</w:t>
      </w:r>
      <w:r>
        <w:rPr>
          <w:rFonts w:ascii="Arial" w:cs="Arial" w:eastAsia="Arial" w:hAnsi="Arial"/>
          <w:sz w:val="17"/>
          <w:szCs w:val="17"/>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7"/>
          <w:szCs w:val="17"/>
          <w:i w:val="1"/>
          <w:iCs w:val="1"/>
          <w:color w:val="auto"/>
        </w:rPr>
        <w:t>plus</w:t>
      </w:r>
      <w:r>
        <w:rPr>
          <w:rFonts w:ascii="Arial" w:cs="Arial" w:eastAsia="Arial" w:hAnsi="Arial"/>
          <w:sz w:val="17"/>
          <w:szCs w:val="17"/>
          <w:color w:val="auto"/>
        </w:rPr>
        <w:t xml:space="preserve"> (i) the cost of all additions thereto and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w:t>
      </w:r>
    </w:p>
    <w:p>
      <w:pPr>
        <w:sectPr>
          <w:pgSz w:w="11900" w:h="16838" w:orient="portrait"/>
          <w:cols w:equalWidth="0" w:num="1">
            <w:col w:w="11420"/>
          </w:cols>
          <w:pgMar w:left="240" w:top="118" w:right="239" w:bottom="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9"/>
          <w:szCs w:val="19"/>
          <w:color w:val="auto"/>
        </w:rPr>
        <w:t xml:space="preserve">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pending the final determination of the amounts to be so allocated in accordance with GAAP, such allocation shall be as reasonably determined by a Financial Officer.</w:t>
      </w:r>
    </w:p>
    <w:p>
      <w:pPr>
        <w:spacing w:after="0" w:line="169"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each of (a) (i) Jefferies Finance LLC and (ii) Royal Bank of Canada and (b) each Revolving Lender that shall have become an Issuing Bank hereunder as provided in Section 2.22(i) (other than any Person that shall have ceased to be an Issuing Bank as provided in Section 2.22(j)),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 Jefferies Finance LLC will cause Letters of Credit to be issued by unaffiliated financial institutions and such Letters of Credit shall be treated as issued by Jefferies Finance LLC for all purposes under the Loan Documents.</w:t>
      </w:r>
    </w:p>
    <w:p>
      <w:pPr>
        <w:spacing w:after="0" w:line="160"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ITG</w:t>
      </w:r>
      <w:r>
        <w:rPr>
          <w:rFonts w:ascii="Arial" w:cs="Arial" w:eastAsia="Arial" w:hAnsi="Arial"/>
          <w:sz w:val="18"/>
          <w:szCs w:val="18"/>
          <w:color w:val="auto"/>
        </w:rPr>
        <w:t>” means Investment Technology Group, Inc., a Delaware corporation (to be converted to a Delaware limited liability company and renamed Virtu ITG Holdings LLC on the Closing Date immediately after the Merger and immediately prior to the Asset Contribution).</w:t>
      </w:r>
    </w:p>
    <w:p>
      <w:pPr>
        <w:spacing w:after="0" w:line="121"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ITG Refinancing</w:t>
      </w:r>
      <w:r>
        <w:rPr>
          <w:rFonts w:ascii="Arial" w:cs="Arial" w:eastAsia="Arial" w:hAnsi="Arial"/>
          <w:sz w:val="18"/>
          <w:szCs w:val="18"/>
          <w:color w:val="auto"/>
        </w:rPr>
        <w:t>” means the repayment in full of all outstanding amounts under that certain Credit Agreement, dated as of June 26, 2018, among ITG Inc., as borrower, ITG, as guarantor, the several banks and other financial institutions or entities from time to time party thereto, as lenders, Bank of America, N.A. and Bank of Montreal, as syndication agents, and JPMorgan Chase Bank, N.A., as administrative agent, the termination of all commitments and guarantees thereunder and the release of all security interests with respect thereto.</w:t>
      </w:r>
    </w:p>
    <w:p>
      <w:pPr>
        <w:spacing w:after="0" w:line="154"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Joint Venture</w:t>
      </w:r>
      <w:r>
        <w:rPr>
          <w:rFonts w:ascii="Arial" w:cs="Arial" w:eastAsia="Arial" w:hAnsi="Arial"/>
          <w:sz w:val="19"/>
          <w:szCs w:val="19"/>
          <w:color w:val="auto"/>
        </w:rPr>
        <w:t>” means any Person, other than an individual or a Wholly Owned Subsidiary of the Borrower, in which the Borrower or a Restricted Subsidiary holds or acquires an ownership interest (whether by way of capital stock, partnership or limited liability company interest, or other evidence of ownership).</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Financing</w:t>
      </w:r>
      <w:r>
        <w:rPr>
          <w:rFonts w:ascii="Arial" w:cs="Arial" w:eastAsia="Arial" w:hAnsi="Arial"/>
          <w:sz w:val="19"/>
          <w:szCs w:val="19"/>
          <w:color w:val="auto"/>
        </w:rPr>
        <w:t>” means any Subordinated Indebtedness and any Permitted Refinancing in respect of any of the foregoing owing by Holdings or a Restricted Subsidiary (other than intercompany Indebtedness owing to Holdings or a Restricted Subsidiary).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Financing Prepayments</w:t>
      </w:r>
      <w:r>
        <w:rPr>
          <w:rFonts w:ascii="Arial" w:cs="Arial" w:eastAsia="Arial" w:hAnsi="Arial"/>
          <w:sz w:val="19"/>
          <w:szCs w:val="19"/>
          <w:color w:val="auto"/>
        </w:rPr>
        <w:t>” has the meaning assigned to such term in Section 6.08(b)(iv).</w:t>
      </w:r>
    </w:p>
    <w:p>
      <w:pPr>
        <w:spacing w:after="0" w:line="21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Intercreditor Agreement</w:t>
      </w:r>
      <w:r>
        <w:rPr>
          <w:rFonts w:ascii="Arial" w:cs="Arial" w:eastAsia="Arial" w:hAnsi="Arial"/>
          <w:sz w:val="19"/>
          <w:szCs w:val="19"/>
          <w:color w:val="auto"/>
        </w:rPr>
        <w:t>” means the Junior Lien Intercreditor Agreement, dated as of July 20, 2017, among the Administrative Agent and one or more Senior Representatives for holders of Second Lien Notes, Permitted Junior Lien Refinancing Debt, any junior Lien secured Indebtedness incurred pursuant to Section 6.01(a)(viii) or Section 6.01(a)(ix) or any junior Lien secured Incremental Equivalent Debt incurred pursuant to Section 6.01(a)(xxii), executed by the Administrative Agent and the Loan Parties, with such modifications thereto (including the Junior Lien Intercreditor Joinder) as the Administrative Agent may reasonably agree. A copy of the Junior Lien Intercreditor Agreement is attached hereto as Exhibit F-2.</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Intercreditor Joinder</w:t>
      </w:r>
      <w:r>
        <w:rPr>
          <w:rFonts w:ascii="Arial" w:cs="Arial" w:eastAsia="Arial" w:hAnsi="Arial"/>
          <w:sz w:val="19"/>
          <w:szCs w:val="19"/>
          <w:color w:val="auto"/>
        </w:rPr>
        <w:t>” means Representative Supplement No. 1, dated as of the date hereof to the Junior Lien Intercreditor Agreement, substantially in the form attached to the Junior Lien Intercreditor Agreement.</w:t>
      </w:r>
    </w:p>
    <w:p>
      <w:pPr>
        <w:spacing w:after="0" w:line="14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Cash Collateral Account</w:t>
      </w:r>
      <w:r>
        <w:rPr>
          <w:rFonts w:ascii="Arial" w:cs="Arial" w:eastAsia="Arial" w:hAnsi="Arial"/>
          <w:sz w:val="19"/>
          <w:szCs w:val="19"/>
          <w:color w:val="auto"/>
        </w:rPr>
        <w:t>” has the meaning assigned to such term in Section 2.22.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Commitment</w:t>
      </w:r>
      <w:r>
        <w:rPr>
          <w:rFonts w:ascii="Arial" w:cs="Arial" w:eastAsia="Arial" w:hAnsi="Arial"/>
          <w:sz w:val="19"/>
          <w:szCs w:val="19"/>
          <w:color w:val="auto"/>
        </w:rPr>
        <w:t>” means $5,000,000.</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Disbursement</w:t>
      </w:r>
      <w:r>
        <w:rPr>
          <w:rFonts w:ascii="Arial" w:cs="Arial" w:eastAsia="Arial" w:hAnsi="Arial"/>
          <w:sz w:val="19"/>
          <w:szCs w:val="19"/>
          <w:color w:val="auto"/>
        </w:rPr>
        <w:t>” means a payment made by an Issuing Bank pursuant to a Letter of Credit.</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Exposure</w:t>
      </w:r>
      <w:r>
        <w:rPr>
          <w:rFonts w:ascii="Arial" w:cs="Arial" w:eastAsia="Arial" w:hAnsi="Arial"/>
          <w:sz w:val="19"/>
          <w:szCs w:val="19"/>
          <w:color w:val="auto"/>
        </w:rPr>
        <w:t>” means, at any time, the total LC Obligations. The LC Exposure of any Revolving Lender at any time shall be its Applicable Percentage of the aggregate LC Exposure at such time.</w:t>
      </w:r>
    </w:p>
    <w:p>
      <w:pPr>
        <w:spacing w:after="0" w:line="145"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Obligations</w:t>
      </w:r>
      <w:r>
        <w:rPr>
          <w:rFonts w:ascii="Arial" w:cs="Arial" w:eastAsia="Arial" w:hAnsi="Arial"/>
          <w:sz w:val="18"/>
          <w:szCs w:val="18"/>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by the Borrower pursuant to Section 2.22.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Participants</w:t>
      </w:r>
      <w:r>
        <w:rPr>
          <w:rFonts w:ascii="Arial" w:cs="Arial" w:eastAsia="Arial" w:hAnsi="Arial"/>
          <w:sz w:val="19"/>
          <w:szCs w:val="19"/>
          <w:color w:val="auto"/>
        </w:rPr>
        <w:t>” means the collective reference to all the Revolving Lenders other than the Issuing Bank.</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Lead Arranger</w:t>
      </w:r>
      <w:r>
        <w:rPr>
          <w:rFonts w:ascii="Arial" w:cs="Arial" w:eastAsia="Arial" w:hAnsi="Arial"/>
          <w:sz w:val="19"/>
          <w:szCs w:val="19"/>
          <w:color w:val="auto"/>
        </w:rPr>
        <w:t>” means each of Jefferies Finance LLC and RBC Capital Markets.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 Parent</w:t>
      </w:r>
      <w:r>
        <w:rPr>
          <w:rFonts w:ascii="Arial" w:cs="Arial" w:eastAsia="Arial" w:hAnsi="Arial"/>
          <w:sz w:val="19"/>
          <w:szCs w:val="19"/>
          <w:color w:val="auto"/>
        </w:rPr>
        <w:t>” means, with respect to any Lender, any Person as to which such Lender is, directly or indirectly, a Subsidiary.</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means the Persons listed on Schedule 2.01 and any other Person that shall have become a party hereto (as a lender) pursuant to an Assignment and Assumption, an Incremental Revolving Facility Amendment, an Incremental Term Facility Amendment or a Refinancing Amendment, in each case, other than any such Person that ceases to be a party hereto pursuant to an Assignment and Assumption. Unless the context requires otherwise, the term “Lenders” includes the Swingline Lender.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Letters of Credit</w:t>
      </w:r>
      <w:r>
        <w:rPr>
          <w:rFonts w:ascii="Arial" w:cs="Arial" w:eastAsia="Arial" w:hAnsi="Arial"/>
          <w:sz w:val="19"/>
          <w:szCs w:val="19"/>
          <w:color w:val="auto"/>
        </w:rPr>
        <w:t>” has the meaning assigned to such term in Section 2.22(a).</w:t>
      </w:r>
    </w:p>
    <w:p>
      <w:pPr>
        <w:sectPr>
          <w:pgSz w:w="11900" w:h="16838" w:orient="portrait"/>
          <w:cols w:equalWidth="0" w:num="1">
            <w:col w:w="11420"/>
          </w:cols>
          <w:pgMar w:left="240" w:top="121" w:right="239" w:bottom="0" w:gutter="0" w:footer="0" w:header="0"/>
        </w:sectPr>
      </w:pPr>
    </w:p>
    <w:bookmarkStart w:id="108" w:name="page109"/>
    <w:bookmarkEnd w:id="108"/>
    <w:p>
      <w:pPr>
        <w:jc w:val="both"/>
        <w:ind w:firstLine="63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with respect to any Eurodollar Borrowing for any Interest Period, the rate per annum equal to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8"/>
          <w:szCs w:val="18"/>
          <w:b w:val="1"/>
          <w:bCs w:val="1"/>
          <w:color w:val="auto"/>
        </w:rPr>
        <w:t>LIBO Screen Rate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LIBO Screen Rate determined pursuant to this definition would be less than zero, such rate shall be deemed to be zero for the purposes of this Agreement) at approximately 11:00 a.m., London time, two Business Days prior to the commencement of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LIBO Screen Rate shall not be available at such time for such Interest Period (an “</w:t>
      </w:r>
      <w:r>
        <w:rPr>
          <w:rFonts w:ascii="Arial" w:cs="Arial" w:eastAsia="Arial" w:hAnsi="Arial"/>
          <w:sz w:val="18"/>
          <w:szCs w:val="18"/>
          <w:b w:val="1"/>
          <w:bCs w:val="1"/>
          <w:color w:val="auto"/>
        </w:rPr>
        <w:t>Impacted Interest Period</w:t>
      </w:r>
      <w:r>
        <w:rPr>
          <w:rFonts w:ascii="Arial" w:cs="Arial" w:eastAsia="Arial" w:hAnsi="Arial"/>
          <w:sz w:val="18"/>
          <w:szCs w:val="18"/>
          <w:color w:val="auto"/>
        </w:rPr>
        <w:t>”), then the LIBO Rate shall be the Interpolated Rate comparable to such period as of approximately 11:00 a.m., London time, on such date.</w:t>
      </w:r>
    </w:p>
    <w:p>
      <w:pPr>
        <w:spacing w:after="0" w:line="170"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Notwithstanding the foregoing, with respect to the Initial Term Loans and Revolving Loans, the LIBO Rate with respect to any applicable Interest Period will be deemed to be zero if the LIBO Rate for such Interest Period determined pursuant to this definition would otherwise be less than zero.</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 Screen Rate</w:t>
      </w:r>
      <w:r>
        <w:rPr>
          <w:rFonts w:ascii="Arial" w:cs="Arial" w:eastAsia="Arial" w:hAnsi="Arial"/>
          <w:sz w:val="19"/>
          <w:szCs w:val="19"/>
          <w:color w:val="auto"/>
        </w:rPr>
        <w:t>” shall have the meaning set forth in the definition of “LIBO Rate.”</w:t>
      </w:r>
    </w:p>
    <w:p>
      <w:pPr>
        <w:spacing w:after="0" w:line="21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Limited Condition Acquisition</w:t>
      </w:r>
      <w:r>
        <w:rPr>
          <w:rFonts w:ascii="Arial" w:cs="Arial" w:eastAsia="Arial" w:hAnsi="Arial"/>
          <w:sz w:val="19"/>
          <w:szCs w:val="19"/>
          <w:color w:val="auto"/>
        </w:rPr>
        <w:t>” means any acquisition, including by way of merger, amalgamation or consolidation, which the Borrower or one or more of the Restricted Subsidiaries permitted pursuant to the Loan Documents has contractually committed to consummate, the terms of which do not condition the Borrower’s or such Restricted Subsidiary’s, as applicable, obligation to close such acquisition on the availability of, or on obtaining, third party financing.</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 Obligations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means this Agreement, any Refinancing Amendment, the Guarantee Agreement, the Collateral Agreement, the other Security Documents, any First Lien Intercreditor Agreement, the Junior Lien Intercreditor Agreement, any Notes delivered pursuant to Section 2.07(e) (except for purposes of Section 9.02), the Fee Letter and any other agreement, document or instrument to which any Loan Party is a party and which is designated as a Loan Document.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Parties</w:t>
      </w:r>
      <w:r>
        <w:rPr>
          <w:rFonts w:ascii="Arial" w:cs="Arial" w:eastAsia="Arial" w:hAnsi="Arial"/>
          <w:sz w:val="19"/>
          <w:szCs w:val="19"/>
          <w:color w:val="auto"/>
        </w:rPr>
        <w:t>” means Holdings, any Intermediate Parent, the Borrower and the Subsidiary Loan Parties.</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Loans</w:t>
      </w:r>
      <w:r>
        <w:rPr>
          <w:rFonts w:ascii="Arial" w:cs="Arial" w:eastAsia="Arial" w:hAnsi="Arial"/>
          <w:sz w:val="19"/>
          <w:szCs w:val="19"/>
          <w:color w:val="auto"/>
        </w:rPr>
        <w:t>” means the loans made by the Lenders to the Borrower pursuant to this Agreement. Unless the context otherwise requires, the term “Loans” includes Swingline Loans.</w:t>
      </w:r>
    </w:p>
    <w:p>
      <w:pPr>
        <w:spacing w:after="0" w:line="145"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in Interest</w:t>
      </w:r>
      <w:r>
        <w:rPr>
          <w:rFonts w:ascii="Arial" w:cs="Arial" w:eastAsia="Arial" w:hAnsi="Arial"/>
          <w:sz w:val="18"/>
          <w:szCs w:val="18"/>
          <w:color w:val="auto"/>
        </w:rPr>
        <w:t xml:space="preserve">” means, when used in reference to Lenders of any Class,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spacing w:after="0" w:line="160"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spacing w:after="0" w:line="16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Indebtedness</w:t>
      </w:r>
      <w:r>
        <w:rPr>
          <w:rFonts w:ascii="Arial" w:cs="Arial" w:eastAsia="Arial" w:hAnsi="Arial"/>
          <w:sz w:val="19"/>
          <w:szCs w:val="19"/>
          <w:color w:val="auto"/>
        </w:rPr>
        <w:t>” means Indebtedness (other than the Loan Document Obligations), or obligations in respect of one or more Swap Agreements, of any one or more of Holdings and the Restricted Subsidiaries in an aggregate principal amount exceeding $40,000,000.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69" w:lineRule="exact"/>
        <w:rPr>
          <w:sz w:val="20"/>
          <w:szCs w:val="20"/>
          <w:color w:val="auto"/>
        </w:rPr>
      </w:pPr>
    </w:p>
    <w:p>
      <w:pPr>
        <w:jc w:val="both"/>
        <w:ind w:firstLine="63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Subsidiary</w:t>
      </w:r>
      <w:r>
        <w:rPr>
          <w:rFonts w:ascii="Arial" w:cs="Arial" w:eastAsia="Arial" w:hAnsi="Arial"/>
          <w:sz w:val="19"/>
          <w:szCs w:val="19"/>
          <w:color w:val="auto"/>
        </w:rPr>
        <w:t xml:space="preserve">” means (i) each Wholly Owned Restricted Subsidiary that, as of the last day of the fiscal quarter of Holdings most recently ended, had revenues or total assets for such quarter in excess of 2.5%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5% of the consolidated revenues or total assets, as applicable, of Holdings for such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solely for purposes of Sections 7.01(h) and (i) each such Subsidiary forming part of such group is subject to an Event of Default under one or more of such Sections.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Rate</w:t>
      </w:r>
      <w:r>
        <w:rPr>
          <w:rFonts w:ascii="Arial" w:cs="Arial" w:eastAsia="Arial" w:hAnsi="Arial"/>
          <w:sz w:val="19"/>
          <w:szCs w:val="19"/>
          <w:color w:val="auto"/>
        </w:rPr>
        <w:t>” has the meaning assigned to such term in Section 9.16.</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Agreement</w:t>
      </w:r>
      <w:r>
        <w:rPr>
          <w:rFonts w:ascii="Arial" w:cs="Arial" w:eastAsia="Arial" w:hAnsi="Arial"/>
          <w:sz w:val="17"/>
          <w:szCs w:val="17"/>
          <w:color w:val="auto"/>
        </w:rPr>
        <w:t>” means that certain Agreement and Plan of Merger, dated as of November 6, 2018, among VFI, Merger Sub and ITG.</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w:t>
      </w:r>
      <w:r>
        <w:rPr>
          <w:rFonts w:ascii="Arial" w:cs="Arial" w:eastAsia="Arial" w:hAnsi="Arial"/>
          <w:sz w:val="19"/>
          <w:szCs w:val="19"/>
          <w:color w:val="auto"/>
        </w:rPr>
        <w:t>” means the merger of Merger Sub with and into ITG, with ITG surviving such merger.</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Sub</w:t>
      </w:r>
      <w:r>
        <w:rPr>
          <w:rFonts w:ascii="Arial" w:cs="Arial" w:eastAsia="Arial" w:hAnsi="Arial"/>
          <w:sz w:val="19"/>
          <w:szCs w:val="19"/>
          <w:color w:val="auto"/>
        </w:rPr>
        <w:t>” means Impala Merger Sub, Inc., a Delaware corporation.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MFN Protections</w:t>
      </w:r>
      <w:r>
        <w:rPr>
          <w:rFonts w:ascii="Arial" w:cs="Arial" w:eastAsia="Arial" w:hAnsi="Arial"/>
          <w:sz w:val="19"/>
          <w:szCs w:val="19"/>
          <w:color w:val="auto"/>
        </w:rPr>
        <w:t>” shall have the meaning specified in Section 2.18(a)(ii).</w:t>
      </w:r>
    </w:p>
    <w:p>
      <w:pPr>
        <w:sectPr>
          <w:pgSz w:w="11900" w:h="16838" w:orient="portrait"/>
          <w:cols w:equalWidth="0" w:num="1">
            <w:col w:w="11420"/>
          </w:cols>
          <w:pgMar w:left="240" w:top="235" w:right="239" w:bottom="0" w:gutter="0" w:footer="0" w:header="0"/>
        </w:sectPr>
      </w:pPr>
    </w:p>
    <w:bookmarkStart w:id="109" w:name="page110"/>
    <w:bookmarkEnd w:id="109"/>
    <w:p>
      <w:pPr>
        <w:spacing w:after="0" w:line="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Moody’s</w:t>
      </w:r>
      <w:r>
        <w:rPr>
          <w:rFonts w:ascii="Arial" w:cs="Arial" w:eastAsia="Arial" w:hAnsi="Arial"/>
          <w:sz w:val="19"/>
          <w:szCs w:val="19"/>
          <w:color w:val="auto"/>
        </w:rPr>
        <w:t>” means Moody’s Investors Service, Inc. and any successor to its rating agency business.</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w:t>
      </w:r>
      <w:r>
        <w:rPr>
          <w:rFonts w:ascii="Arial" w:cs="Arial" w:eastAsia="Arial" w:hAnsi="Arial"/>
          <w:sz w:val="19"/>
          <w:szCs w:val="19"/>
          <w:color w:val="auto"/>
        </w:rPr>
        <w:t>” means a mortgage, deed of trust, assignment of leases and rents, leasehold mortgage or other security document granting a Lien on any Mortgaged Property to secure the Secured Obligations. Each Mortgage shall be in form and substance reasonably satisfactory to the Administrative Agent and the Borrower.</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Mortgaged Property</w:t>
      </w:r>
      <w:r>
        <w:rPr>
          <w:rFonts w:ascii="Arial" w:cs="Arial" w:eastAsia="Arial" w:hAnsi="Arial"/>
          <w:sz w:val="19"/>
          <w:szCs w:val="19"/>
          <w:color w:val="auto"/>
        </w:rPr>
        <w:t>” means each parcel of real property and the improvements thereto owned by a Loan Party with respect to which a Mortgage is granted pursuant to Section 5.11 or Section 5.12.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means a multiemployer plan as defined in Section 4001(a)(3) of ERISA.</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First Lien Leverage Ratio</w:t>
      </w:r>
      <w:r>
        <w:rPr>
          <w:rFonts w:ascii="Arial" w:cs="Arial" w:eastAsia="Arial" w:hAnsi="Arial"/>
          <w:sz w:val="19"/>
          <w:szCs w:val="19"/>
          <w:color w:val="auto"/>
        </w:rPr>
        <w:t>” means, on any date, the ratio of (a) Consolidated First Lien Net Debt as of such date to (b) Consolidated EBITDA for the Test Period most recently ended.</w:t>
      </w:r>
    </w:p>
    <w:p>
      <w:pPr>
        <w:spacing w:after="0" w:line="145"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the Second Lien Notes, any secured Indebtedness incurred pursuant to Section 6.01(a)(viii) or Section 6.01(a)(ix) or any secured Incremental Equivalent Debt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5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Project</w:t>
      </w:r>
      <w:r>
        <w:rPr>
          <w:rFonts w:ascii="Arial" w:cs="Arial" w:eastAsia="Arial" w:hAnsi="Arial"/>
          <w:sz w:val="19"/>
          <w:szCs w:val="19"/>
          <w:color w:val="auto"/>
        </w:rPr>
        <w:t>” means (a) each facility, branch or office which is either a new facility, branch or office or an expansion, relocation, remodeling or substantial modernization of an existing facility, branch or office owned by the Borrower or its Restricted Subsidiaries which in fact commences operations and (y) each creation (in one or a series of related transactions) of a business unit to the extent such business unit commences operations or each expansion (in one or a series of related transactions) of business into a new market.</w:t>
      </w:r>
    </w:p>
    <w:p>
      <w:pPr>
        <w:spacing w:after="0" w:line="167"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Charges</w:t>
      </w:r>
      <w:r>
        <w:rPr>
          <w:rFonts w:ascii="Arial" w:cs="Arial" w:eastAsia="Arial" w:hAnsi="Arial"/>
          <w:sz w:val="19"/>
          <w:szCs w:val="19"/>
          <w:color w:val="auto"/>
        </w:rPr>
        <w:t>”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Compensation Expense</w:t>
      </w:r>
      <w:r>
        <w:rPr>
          <w:rFonts w:ascii="Arial" w:cs="Arial" w:eastAsia="Arial" w:hAnsi="Arial"/>
          <w:sz w:val="19"/>
          <w:szCs w:val="19"/>
          <w:color w:val="auto"/>
        </w:rPr>
        <w:t>” means any non-cash expenses and costs that result from the issuance of stock-based awards, partnership interest-based awards and similar incentive based compensation awards or arrangements.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Non-Consenting Lender</w:t>
      </w:r>
      <w:r>
        <w:rPr>
          <w:rFonts w:ascii="Arial" w:cs="Arial" w:eastAsia="Arial" w:hAnsi="Arial"/>
          <w:sz w:val="19"/>
          <w:szCs w:val="19"/>
          <w:color w:val="auto"/>
        </w:rPr>
        <w:t>” has the meaning assigned to such term in Section 9.02(c).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Non-Loan Party Investment Amount</w:t>
      </w:r>
      <w:r>
        <w:rPr>
          <w:rFonts w:ascii="Arial" w:cs="Arial" w:eastAsia="Arial" w:hAnsi="Arial"/>
          <w:sz w:val="19"/>
          <w:szCs w:val="19"/>
          <w:color w:val="auto"/>
        </w:rPr>
        <w:t>” means, at any time, the greater of $300,000,000 and 40% of Consolidated EBITDA for the most recently ended Test Period.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Non-Wholly Owned Subsidiary</w:t>
      </w:r>
      <w:r>
        <w:rPr>
          <w:rFonts w:ascii="Arial" w:cs="Arial" w:eastAsia="Arial" w:hAnsi="Arial"/>
          <w:sz w:val="19"/>
          <w:szCs w:val="19"/>
          <w:color w:val="auto"/>
        </w:rPr>
        <w:t>” of any Person means any Subsidiary of such Person other than a Wholly Owned Subsidiary.</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w:t>
      </w:r>
      <w:r>
        <w:rPr>
          <w:rFonts w:ascii="Arial" w:cs="Arial" w:eastAsia="Arial" w:hAnsi="Arial"/>
          <w:sz w:val="19"/>
          <w:szCs w:val="19"/>
          <w:color w:val="auto"/>
        </w:rPr>
        <w:t>” means a promissory note of the Borrower, in substantially the form of Exhibit E, payable to a Lender in a principal amount equal to the principal amount of the Revolving Commitment or Term Loans, as applicable, of such Lender.</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NYFRB</w:t>
      </w:r>
      <w:r>
        <w:rPr>
          <w:rFonts w:ascii="Arial" w:cs="Arial" w:eastAsia="Arial" w:hAnsi="Arial"/>
          <w:sz w:val="19"/>
          <w:szCs w:val="19"/>
          <w:color w:val="auto"/>
        </w:rPr>
        <w:t>” means the Federal Reserve Bank of New York.</w:t>
      </w:r>
    </w:p>
    <w:p>
      <w:pPr>
        <w:spacing w:after="0" w:line="215" w:lineRule="exact"/>
        <w:rPr>
          <w:sz w:val="20"/>
          <w:szCs w:val="20"/>
          <w:color w:val="auto"/>
        </w:rPr>
      </w:pPr>
    </w:p>
    <w:p>
      <w:pPr>
        <w:jc w:val="both"/>
        <w:ind w:firstLine="63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date (or for any day that is not a Business Day, for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none of such rates for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w:t>
      </w:r>
      <w:r>
        <w:rPr>
          <w:rFonts w:ascii="Arial" w:cs="Arial" w:eastAsia="Arial" w:hAnsi="Arial"/>
          <w:sz w:val="19"/>
          <w:szCs w:val="19"/>
          <w:color w:val="auto"/>
        </w:rPr>
        <w:t>” has the meaning assigned to such term in Section 3.19(c).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OID</w:t>
      </w:r>
      <w:r>
        <w:rPr>
          <w:rFonts w:ascii="Arial" w:cs="Arial" w:eastAsia="Arial" w:hAnsi="Arial"/>
          <w:sz w:val="19"/>
          <w:szCs w:val="19"/>
          <w:color w:val="auto"/>
        </w:rPr>
        <w:t>” has the meaning assigned to such term in Section 2.18(a)(ii).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Offered Amount</w:t>
      </w:r>
      <w:r>
        <w:rPr>
          <w:rFonts w:ascii="Arial" w:cs="Arial" w:eastAsia="Arial" w:hAnsi="Arial"/>
          <w:sz w:val="19"/>
          <w:szCs w:val="19"/>
          <w:color w:val="auto"/>
        </w:rPr>
        <w:t>” has the meaning assigned to such term in Section 2.09(a)(ii)(D).</w:t>
      </w:r>
    </w:p>
    <w:p>
      <w:pPr>
        <w:sectPr>
          <w:pgSz w:w="11900" w:h="16862" w:orient="portrait"/>
          <w:cols w:equalWidth="0" w:num="1">
            <w:col w:w="11420"/>
          </w:cols>
          <w:pgMar w:left="240" w:top="156" w:right="239" w:bottom="0" w:gutter="0" w:footer="0" w:header="0"/>
        </w:sectPr>
      </w:pPr>
    </w:p>
    <w:bookmarkStart w:id="110" w:name="page111"/>
    <w:bookmarkEnd w:id="110"/>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Offered Discount</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Organizational Documents</w:t>
      </w:r>
      <w:r>
        <w:rPr>
          <w:rFonts w:ascii="Arial" w:cs="Arial" w:eastAsia="Arial" w:hAnsi="Arial"/>
          <w:sz w:val="19"/>
          <w:szCs w:val="19"/>
          <w:color w:val="auto"/>
        </w:rPr>
        <w:t>” means, with respect to any Person, the charter, articles or certificate of organization or incorporation and bylaws or other organizational or governing documents of such Person.</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Revolving Commitments</w:t>
      </w:r>
      <w:r>
        <w:rPr>
          <w:rFonts w:ascii="Arial" w:cs="Arial" w:eastAsia="Arial" w:hAnsi="Arial"/>
          <w:sz w:val="19"/>
          <w:szCs w:val="19"/>
          <w:color w:val="auto"/>
        </w:rPr>
        <w:t>” means one or more Classes of revolving credit commitments hereunder or extended Revolving Commitments that result from a Refinancing Amendment.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Revolving Loans</w:t>
      </w:r>
      <w:r>
        <w:rPr>
          <w:rFonts w:ascii="Arial" w:cs="Arial" w:eastAsia="Arial" w:hAnsi="Arial"/>
          <w:sz w:val="19"/>
          <w:szCs w:val="19"/>
          <w:color w:val="auto"/>
        </w:rPr>
        <w:t>” means the Revolving Loans made pursuant to any Other Revolving Commitment.</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any and all present or future recording, stamp, documentary, excise, transfer, sales, property, filing or similar Taxes, charges or levies arising from any payment made under any Loan Document or from the execution, delivery or enforcement of, or otherwise with respect to, any Loan Document.</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Term Commitments</w:t>
      </w:r>
      <w:r>
        <w:rPr>
          <w:rFonts w:ascii="Arial" w:cs="Arial" w:eastAsia="Arial" w:hAnsi="Arial"/>
          <w:sz w:val="19"/>
          <w:szCs w:val="19"/>
          <w:color w:val="auto"/>
        </w:rPr>
        <w:t>” means one or more Classes of term loan commitments hereunder that result from a Refinancing Amendment.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Term Loans</w:t>
      </w:r>
      <w:r>
        <w:rPr>
          <w:rFonts w:ascii="Arial" w:cs="Arial" w:eastAsia="Arial" w:hAnsi="Arial"/>
          <w:sz w:val="19"/>
          <w:szCs w:val="19"/>
          <w:color w:val="auto"/>
        </w:rPr>
        <w:t>” means one or more Classes of Term Loans that result from a Refinancing Amendment.</w:t>
      </w:r>
    </w:p>
    <w:p>
      <w:pPr>
        <w:spacing w:after="0" w:line="215"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has the meaning assigned to such term in Section 9.04(c).</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 Register</w:t>
      </w:r>
      <w:r>
        <w:rPr>
          <w:rFonts w:ascii="Arial" w:cs="Arial" w:eastAsia="Arial" w:hAnsi="Arial"/>
          <w:sz w:val="19"/>
          <w:szCs w:val="19"/>
          <w:color w:val="auto"/>
        </w:rPr>
        <w:t>” has the meaning assigned to such term in Section 9.04(c)(ii).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Lender</w:t>
      </w:r>
      <w:r>
        <w:rPr>
          <w:rFonts w:ascii="Arial" w:cs="Arial" w:eastAsia="Arial" w:hAnsi="Arial"/>
          <w:sz w:val="19"/>
          <w:szCs w:val="19"/>
          <w:color w:val="auto"/>
        </w:rPr>
        <w:t>” has the meaning assigned to such term in Section 2.09(a)(ii)(C).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PBGC</w:t>
      </w:r>
      <w:r>
        <w:rPr>
          <w:rFonts w:ascii="Arial" w:cs="Arial" w:eastAsia="Arial" w:hAnsi="Arial"/>
          <w:sz w:val="19"/>
          <w:szCs w:val="19"/>
          <w:color w:val="auto"/>
        </w:rPr>
        <w:t>” means the Pension Benefit Guaranty Corporation referred to and defined in ERISA and any successor entity performing similar functions.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Perfection Certificate</w:t>
      </w:r>
      <w:r>
        <w:rPr>
          <w:rFonts w:ascii="Arial" w:cs="Arial" w:eastAsia="Arial" w:hAnsi="Arial"/>
          <w:sz w:val="19"/>
          <w:szCs w:val="19"/>
          <w:color w:val="auto"/>
        </w:rPr>
        <w:t>” means a certificate substantially in the form of Exhibit C.</w:t>
      </w:r>
    </w:p>
    <w:p>
      <w:pPr>
        <w:spacing w:after="0" w:line="215"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(subject to Section 1.08 in connection with any Limited Condition Acquisition) and (B) the Borrower shall be in compliance with the Financial Performance Covenant (to the extent then in effect) on a Pro Forma Basis as of the end of the most recent Test Period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Encumbrances</w:t>
      </w:r>
      <w:r>
        <w:rPr>
          <w:rFonts w:ascii="Arial" w:cs="Arial" w:eastAsia="Arial" w:hAnsi="Arial"/>
          <w:sz w:val="19"/>
          <w:szCs w:val="19"/>
          <w:color w:val="auto"/>
        </w:rPr>
        <w:t>” means:</w:t>
      </w:r>
    </w:p>
    <w:p>
      <w:pPr>
        <w:spacing w:after="0" w:line="221" w:lineRule="exact"/>
        <w:rPr>
          <w:sz w:val="20"/>
          <w:szCs w:val="20"/>
          <w:color w:val="auto"/>
        </w:rPr>
      </w:pPr>
    </w:p>
    <w:p>
      <w:pPr>
        <w:jc w:val="both"/>
        <w:ind w:firstLine="635"/>
        <w:spacing w:after="0" w:line="259" w:lineRule="auto"/>
        <w:tabs>
          <w:tab w:leader="none" w:pos="1153"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71" w:lineRule="exact"/>
        <w:rPr>
          <w:rFonts w:ascii="Arial" w:cs="Arial" w:eastAsia="Arial" w:hAnsi="Arial"/>
          <w:sz w:val="19"/>
          <w:szCs w:val="19"/>
          <w:color w:val="auto"/>
        </w:rPr>
      </w:pPr>
    </w:p>
    <w:p>
      <w:pPr>
        <w:jc w:val="both"/>
        <w:ind w:firstLine="635"/>
        <w:spacing w:after="0" w:line="289" w:lineRule="auto"/>
        <w:tabs>
          <w:tab w:leader="none" w:pos="1079"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48" w:lineRule="exact"/>
        <w:rPr>
          <w:rFonts w:ascii="Arial" w:cs="Arial" w:eastAsia="Arial" w:hAnsi="Arial"/>
          <w:sz w:val="17"/>
          <w:szCs w:val="17"/>
          <w:color w:val="auto"/>
        </w:rPr>
      </w:pPr>
    </w:p>
    <w:p>
      <w:pPr>
        <w:jc w:val="both"/>
        <w:ind w:firstLine="635"/>
        <w:spacing w:after="0" w:line="254" w:lineRule="auto"/>
        <w:tabs>
          <w:tab w:leader="none" w:pos="1123"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p>
      <w:pPr>
        <w:spacing w:after="0" w:line="177" w:lineRule="exact"/>
        <w:rPr>
          <w:rFonts w:ascii="Arial" w:cs="Arial" w:eastAsia="Arial" w:hAnsi="Arial"/>
          <w:sz w:val="19"/>
          <w:szCs w:val="19"/>
          <w:color w:val="auto"/>
        </w:rPr>
      </w:pPr>
    </w:p>
    <w:p>
      <w:pPr>
        <w:jc w:val="both"/>
        <w:ind w:firstLine="635"/>
        <w:spacing w:after="0" w:line="259" w:lineRule="auto"/>
        <w:tabs>
          <w:tab w:leader="none" w:pos="1154"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104" w:val="left"/>
        </w:tabs>
        <w:numPr>
          <w:ilvl w:val="0"/>
          <w:numId w:val="40"/>
        </w:numPr>
        <w:rPr>
          <w:rFonts w:ascii="Arial" w:cs="Arial" w:eastAsia="Arial" w:hAnsi="Arial"/>
          <w:sz w:val="19"/>
          <w:szCs w:val="19"/>
          <w:color w:val="auto"/>
        </w:rPr>
      </w:pPr>
      <w:r>
        <w:rPr>
          <w:rFonts w:ascii="Arial" w:cs="Arial" w:eastAsia="Arial" w:hAnsi="Arial"/>
          <w:sz w:val="19"/>
          <w:szCs w:val="19"/>
          <w:color w:val="auto"/>
        </w:rPr>
        <w:t>easements, rights-of-way, restrictions, encroachments, protrusions and other similar encumbrances and minor title defects affecting real property that, in the aggregate, do not in any case materially interfere with the ordinary conduct of the business of Holdings and its Restricted Subsidiaries, taken as a whole, and zoning codes and other land use restrictions under applicable law;</w:t>
      </w:r>
    </w:p>
    <w:p>
      <w:pPr>
        <w:sectPr>
          <w:pgSz w:w="11900" w:h="16838" w:orient="portrait"/>
          <w:cols w:equalWidth="0" w:num="1">
            <w:col w:w="11420"/>
          </w:cols>
          <w:pgMar w:left="240" w:top="300" w:right="239" w:bottom="0" w:gutter="0" w:footer="0" w:header="0"/>
        </w:sectPr>
      </w:pPr>
    </w:p>
    <w:bookmarkStart w:id="111" w:name="page112"/>
    <w:bookmarkEnd w:id="111"/>
    <w:p>
      <w:pPr>
        <w:ind w:left="1020" w:hanging="385"/>
        <w:spacing w:after="0"/>
        <w:tabs>
          <w:tab w:leader="none" w:pos="1020" w:val="left"/>
        </w:tabs>
        <w:numPr>
          <w:ilvl w:val="1"/>
          <w:numId w:val="41"/>
        </w:numPr>
        <w:rPr>
          <w:rFonts w:ascii="Arial" w:cs="Arial" w:eastAsia="Arial" w:hAnsi="Arial"/>
          <w:sz w:val="19"/>
          <w:szCs w:val="19"/>
          <w:color w:val="auto"/>
        </w:rPr>
      </w:pPr>
      <w:r>
        <w:rPr>
          <w:rFonts w:ascii="Arial" w:cs="Arial" w:eastAsia="Arial" w:hAnsi="Arial"/>
          <w:sz w:val="19"/>
          <w:szCs w:val="19"/>
          <w:color w:val="auto"/>
        </w:rPr>
        <w:t>Liens securing, or otherwise arising from, judgments not constituting an Event of Default under Section 7.01(j);</w:t>
      </w:r>
    </w:p>
    <w:p>
      <w:pPr>
        <w:spacing w:after="0" w:line="214" w:lineRule="exact"/>
        <w:rPr>
          <w:rFonts w:ascii="Arial" w:cs="Arial" w:eastAsia="Arial" w:hAnsi="Arial"/>
          <w:sz w:val="19"/>
          <w:szCs w:val="19"/>
          <w:color w:val="auto"/>
        </w:rPr>
      </w:pPr>
    </w:p>
    <w:p>
      <w:pPr>
        <w:jc w:val="both"/>
        <w:ind w:firstLine="635"/>
        <w:spacing w:after="0" w:line="259" w:lineRule="auto"/>
        <w:tabs>
          <w:tab w:leader="none" w:pos="1065"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Liens on goods the purchase price of which is financed by a documentary letter of credit issued for the account of Holdings or any of its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 secures only the obligations of Holdings or such Restricted Subsidiaries in respect of such letter of credit to the extent such obligations are permitted by Section 6.01; and</w:t>
      </w:r>
    </w:p>
    <w:p>
      <w:pPr>
        <w:spacing w:after="0" w:line="171" w:lineRule="exact"/>
        <w:rPr>
          <w:rFonts w:ascii="Arial" w:cs="Arial" w:eastAsia="Arial" w:hAnsi="Arial"/>
          <w:sz w:val="19"/>
          <w:szCs w:val="19"/>
          <w:color w:val="auto"/>
        </w:rPr>
      </w:pPr>
    </w:p>
    <w:p>
      <w:pPr>
        <w:jc w:val="both"/>
        <w:ind w:firstLine="635"/>
        <w:spacing w:after="0" w:line="280" w:lineRule="auto"/>
        <w:tabs>
          <w:tab w:leader="none" w:pos="1141"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Liens arising from precautionary Uniform Commercial Code financing statements or similar filings made in respect of operating leases entered into by Holdings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“Permitted Encumbrances” shall not include any Lien securing Indebtedness other than Liens referred to in clause (c) above securing obligations under letters of credit or bank guarantees and in clause</w:t>
      </w:r>
    </w:p>
    <w:p>
      <w:pPr>
        <w:spacing w:after="0" w:line="1" w:lineRule="exact"/>
        <w:rPr>
          <w:rFonts w:ascii="Arial" w:cs="Arial" w:eastAsia="Arial" w:hAnsi="Arial"/>
          <w:sz w:val="17"/>
          <w:szCs w:val="17"/>
          <w:color w:val="auto"/>
        </w:rPr>
      </w:pPr>
    </w:p>
    <w:p>
      <w:pPr>
        <w:ind w:left="280" w:hanging="275"/>
        <w:spacing w:after="0"/>
        <w:tabs>
          <w:tab w:leader="none" w:pos="2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above.</w:t>
      </w:r>
    </w:p>
    <w:p>
      <w:pPr>
        <w:spacing w:after="0" w:line="193"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First Priority Refinancing Debt</w:t>
      </w:r>
      <w:r>
        <w:rPr>
          <w:rFonts w:ascii="Arial" w:cs="Arial" w:eastAsia="Arial" w:hAnsi="Arial"/>
          <w:sz w:val="18"/>
          <w:szCs w:val="18"/>
          <w:color w:val="auto"/>
        </w:rPr>
        <w:t xml:space="preserve">” means any secured Indebtedness incurred by the Borrower in the form of one or more series of senior secured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material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73"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Holders</w:t>
      </w:r>
      <w:r>
        <w:rPr>
          <w:rFonts w:ascii="Arial" w:cs="Arial" w:eastAsia="Arial" w:hAnsi="Arial"/>
          <w:sz w:val="19"/>
          <w:szCs w:val="19"/>
          <w:color w:val="auto"/>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Virtu Financial, Inc.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Virtu Financial, Inc. or any such Subsidiary, measured by voting power rather than number of shares, units or the like.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Investments</w:t>
      </w:r>
      <w:r>
        <w:rPr>
          <w:rFonts w:ascii="Arial" w:cs="Arial" w:eastAsia="Arial" w:hAnsi="Arial"/>
          <w:sz w:val="19"/>
          <w:szCs w:val="19"/>
          <w:color w:val="auto"/>
        </w:rPr>
        <w:t>” means any of the following, to the extent owned by Holdings or any Restricted Subsidiary:</w:t>
      </w:r>
    </w:p>
    <w:p>
      <w:pPr>
        <w:spacing w:after="0" w:line="221" w:lineRule="exact"/>
        <w:rPr>
          <w:sz w:val="20"/>
          <w:szCs w:val="20"/>
          <w:color w:val="auto"/>
        </w:rPr>
      </w:pPr>
    </w:p>
    <w:p>
      <w:pPr>
        <w:ind w:left="1040" w:hanging="405"/>
        <w:spacing w:after="0"/>
        <w:tabs>
          <w:tab w:leader="none" w:pos="1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dollars, euro or such other currencies held by it from time to time in the ordinary course of business;</w:t>
      </w:r>
    </w:p>
    <w:p>
      <w:pPr>
        <w:spacing w:after="0" w:line="214" w:lineRule="exact"/>
        <w:rPr>
          <w:rFonts w:ascii="Arial" w:cs="Arial" w:eastAsia="Arial" w:hAnsi="Arial"/>
          <w:sz w:val="19"/>
          <w:szCs w:val="19"/>
          <w:color w:val="auto"/>
        </w:rPr>
      </w:pPr>
    </w:p>
    <w:p>
      <w:pPr>
        <w:jc w:val="both"/>
        <w:ind w:firstLine="635"/>
        <w:spacing w:after="0" w:line="254" w:lineRule="auto"/>
        <w:tabs>
          <w:tab w:leader="none" w:pos="1075"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full faith and credit of the United States or a member nation of the European Union is pledged in support thereof;</w:t>
      </w:r>
    </w:p>
    <w:p>
      <w:pPr>
        <w:spacing w:after="0" w:line="177" w:lineRule="exact"/>
        <w:rPr>
          <w:rFonts w:ascii="Arial" w:cs="Arial" w:eastAsia="Arial" w:hAnsi="Arial"/>
          <w:sz w:val="19"/>
          <w:szCs w:val="19"/>
          <w:color w:val="auto"/>
        </w:rPr>
      </w:pPr>
    </w:p>
    <w:p>
      <w:pPr>
        <w:jc w:val="both"/>
        <w:ind w:firstLine="635"/>
        <w:spacing w:after="0" w:line="259" w:lineRule="auto"/>
        <w:tabs>
          <w:tab w:leader="none" w:pos="107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is a Lender or (ii) has combined capital and surplus of at least $250,000,000 (any such bank in the foregoing clause (i) or (ii) being an “</w:t>
      </w:r>
      <w:r>
        <w:rPr>
          <w:rFonts w:ascii="Arial" w:cs="Arial" w:eastAsia="Arial" w:hAnsi="Arial"/>
          <w:sz w:val="19"/>
          <w:szCs w:val="19"/>
          <w:b w:val="1"/>
          <w:bCs w:val="1"/>
          <w:color w:val="auto"/>
        </w:rPr>
        <w:t>Approved Bank</w:t>
      </w:r>
      <w:r>
        <w:rPr>
          <w:rFonts w:ascii="Arial" w:cs="Arial" w:eastAsia="Arial" w:hAnsi="Arial"/>
          <w:sz w:val="19"/>
          <w:szCs w:val="19"/>
          <w:color w:val="auto"/>
        </w:rPr>
        <w:t>”), in each case with average maturities of not more than 12 months from the date of acquisition thereof;</w:t>
      </w:r>
    </w:p>
    <w:p>
      <w:pPr>
        <w:spacing w:after="0" w:line="171" w:lineRule="exact"/>
        <w:rPr>
          <w:rFonts w:ascii="Arial" w:cs="Arial" w:eastAsia="Arial" w:hAnsi="Arial"/>
          <w:sz w:val="19"/>
          <w:szCs w:val="19"/>
          <w:color w:val="auto"/>
        </w:rPr>
      </w:pPr>
    </w:p>
    <w:p>
      <w:pPr>
        <w:jc w:val="both"/>
        <w:ind w:firstLine="635"/>
        <w:spacing w:after="0" w:line="280" w:lineRule="auto"/>
        <w:tabs>
          <w:tab w:leader="none" w:pos="10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54" w:lineRule="exact"/>
        <w:rPr>
          <w:rFonts w:ascii="Arial" w:cs="Arial" w:eastAsia="Arial" w:hAnsi="Arial"/>
          <w:sz w:val="18"/>
          <w:szCs w:val="18"/>
          <w:color w:val="auto"/>
        </w:rPr>
      </w:pPr>
    </w:p>
    <w:p>
      <w:pPr>
        <w:jc w:val="both"/>
        <w:ind w:firstLine="635"/>
        <w:spacing w:after="0" w:line="269" w:lineRule="auto"/>
        <w:tabs>
          <w:tab w:leader="none" w:pos="10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spacing w:after="0" w:line="165" w:lineRule="exact"/>
        <w:rPr>
          <w:rFonts w:ascii="Arial" w:cs="Arial" w:eastAsia="Arial" w:hAnsi="Arial"/>
          <w:sz w:val="18"/>
          <w:szCs w:val="18"/>
          <w:color w:val="auto"/>
        </w:rPr>
      </w:pPr>
    </w:p>
    <w:p>
      <w:pPr>
        <w:jc w:val="both"/>
        <w:ind w:firstLine="635"/>
        <w:spacing w:after="0" w:line="259" w:lineRule="auto"/>
        <w:tabs>
          <w:tab w:leader="none" w:pos="10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2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71" w:lineRule="exact"/>
        <w:rPr>
          <w:rFonts w:ascii="Arial" w:cs="Arial" w:eastAsia="Arial" w:hAnsi="Arial"/>
          <w:sz w:val="19"/>
          <w:szCs w:val="19"/>
          <w:color w:val="auto"/>
        </w:rPr>
      </w:pPr>
    </w:p>
    <w:p>
      <w:pPr>
        <w:ind w:firstLine="635"/>
        <w:spacing w:after="0" w:line="274" w:lineRule="auto"/>
        <w:tabs>
          <w:tab w:leader="none" w:pos="1076"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mutual funds rated AAA- (or the equivalent thereof) or better by S&amp;P or Aaa3 (or the equivalent thereof) or better by Moody’s;</w:t>
      </w:r>
    </w:p>
    <w:p>
      <w:pPr>
        <w:spacing w:after="0" w:line="157" w:lineRule="exact"/>
        <w:rPr>
          <w:rFonts w:ascii="Arial" w:cs="Arial" w:eastAsia="Arial" w:hAnsi="Arial"/>
          <w:sz w:val="19"/>
          <w:szCs w:val="19"/>
          <w:color w:val="auto"/>
        </w:rPr>
      </w:pPr>
    </w:p>
    <w:p>
      <w:pPr>
        <w:jc w:val="both"/>
        <w:ind w:firstLine="635"/>
        <w:spacing w:after="0" w:line="254" w:lineRule="auto"/>
        <w:tabs>
          <w:tab w:leader="none" w:pos="1118"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ectPr>
          <w:pgSz w:w="11900" w:h="16838" w:orient="portrait"/>
          <w:cols w:equalWidth="0" w:num="1">
            <w:col w:w="11420"/>
          </w:cols>
          <w:pgMar w:left="240" w:top="202" w:right="239" w:bottom="159" w:gutter="0" w:footer="0" w:header="0"/>
        </w:sectPr>
      </w:pPr>
    </w:p>
    <w:bookmarkStart w:id="112" w:name="page113"/>
    <w:bookmarkEnd w:id="112"/>
    <w:p>
      <w:pPr>
        <w:jc w:val="both"/>
        <w:ind w:firstLine="635"/>
        <w:spacing w:after="0" w:line="255" w:lineRule="auto"/>
        <w:tabs>
          <w:tab w:leader="none" w:pos="1139"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69"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Junior Lien Refinancing Debt</w:t>
      </w:r>
      <w:r>
        <w:rPr>
          <w:rFonts w:ascii="Arial" w:cs="Arial" w:eastAsia="Arial" w:hAnsi="Arial"/>
          <w:sz w:val="17"/>
          <w:szCs w:val="17"/>
          <w:color w:val="auto"/>
        </w:rPr>
        <w:t xml:space="preserve">” means secured Indebtedness incurred by the Borrower in the form of one or more series of junior lien secured notes or junior lien secured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is not secured by assets other than Collateral and (vi) a Senior Representative acting on behalf of the holders of such Indebtedness shall have become party to the Junior Lien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52"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Refinancing</w:t>
      </w:r>
      <w:r>
        <w:rPr>
          <w:rFonts w:ascii="Arial" w:cs="Arial" w:eastAsia="Arial" w:hAnsi="Arial"/>
          <w:sz w:val="17"/>
          <w:szCs w:val="17"/>
          <w:color w:val="auto"/>
        </w:rPr>
        <w:t xml:space="preserve">” means, with respect to any Person, any modification, refinancing, refunding, renewal or extension of any Indebtedness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modification, refinancing, refunding, renewal or extension is subordinated in right of payment or lien priority, as applicable, to the Loan Document Obligations on terms at least as favorable to the Lenders as those contained in the documentation governing the Indebtedness being modified, refinanced, refunded, renewed or extended and (e) if the Indebtedness being modified, refinanced, refunded, renewed or extended is the Second Lien Notes or Indebtedness permitted pursuant to Section 6.01(a)(ii), 6.01(a)(vii), 6.01(a)(xx) or 6.01(a)(xxi) or is otherwise a Junior Financing, (i) the terms and conditions (including, if applicable, as to collateral but excluding as to subordination, interest rate (including whether such interest is payable in cash or in kind)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as determined by the Borrower in good faith, (ii) the primary obligor in respect of, and the Persons (if any) that Guarantee, Indebtedness resulting from such modification, refinancing, refunding, renewal or extension are the primary obligor in respect of, and Persons (if any) that Guaranteed, respectively, the Indebtedness being modified, refinanced, refunded, renewed or extended and (iii) if secured, such Indebtedness resulting from such modification, refinancing, refunding, renewal or extension shall not be secured by assets that did not secure the Indebtedness being modified, refinanced, refunded, renewed or extended (other than assets that would have secured such Indebtedness pursuant to after acquired property clauses). For the avoidance of doubt, it is understood that a Permitted Refinancing may constitute a portion of an issuance of Indebtedness in excess of the amount of such Permitted Refinancing;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excess amount is otherwise permitted to be incurred under Section 6.01.</w:t>
      </w:r>
    </w:p>
    <w:p>
      <w:pPr>
        <w:spacing w:after="0" w:line="168"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Tax Distributions</w:t>
      </w:r>
      <w:r>
        <w:rPr>
          <w:rFonts w:ascii="Arial" w:cs="Arial" w:eastAsia="Arial" w:hAnsi="Arial"/>
          <w:sz w:val="18"/>
          <w:szCs w:val="18"/>
          <w:color w:val="auto"/>
        </w:rPr>
        <w:t xml:space="preserve">”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spacing w:after="0" w:line="173"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Unsecured Refinancing Debt</w:t>
      </w:r>
      <w:r>
        <w:rPr>
          <w:rFonts w:ascii="Arial" w:cs="Arial" w:eastAsia="Arial" w:hAnsi="Arial"/>
          <w:sz w:val="17"/>
          <w:szCs w:val="17"/>
          <w:color w:val="auto"/>
        </w:rPr>
        <w:t xml:space="preserve">” means unsecured Indebtedness incurred by any Loan Party in the form of one or more series of senior unsecured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spacing w:after="0" w:line="14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ectPr>
          <w:pgSz w:w="11900" w:h="16838" w:orient="portrait"/>
          <w:cols w:equalWidth="0" w:num="1">
            <w:col w:w="11420"/>
          </w:cols>
          <w:pgMar w:left="240" w:top="121" w:right="239" w:bottom="0" w:gutter="0" w:footer="0" w:header="0"/>
        </w:sectPr>
      </w:pPr>
    </w:p>
    <w:bookmarkStart w:id="113" w:name="page114"/>
    <w:bookmarkEnd w:id="113"/>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Platform</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Post-Transaction Period</w:t>
      </w:r>
      <w:r>
        <w:rPr>
          <w:rFonts w:ascii="Arial" w:cs="Arial" w:eastAsia="Arial" w:hAnsi="Arial"/>
          <w:sz w:val="19"/>
          <w:szCs w:val="19"/>
          <w:color w:val="auto"/>
        </w:rPr>
        <w:t>” has the meaning assigned to such term in the definition of “Pro Forma Adjustment.”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Event</w:t>
      </w:r>
      <w:r>
        <w:rPr>
          <w:rFonts w:ascii="Arial" w:cs="Arial" w:eastAsia="Arial" w:hAnsi="Arial"/>
          <w:sz w:val="19"/>
          <w:szCs w:val="19"/>
          <w:color w:val="auto"/>
        </w:rPr>
        <w:t>” means:</w:t>
      </w:r>
    </w:p>
    <w:p>
      <w:pPr>
        <w:spacing w:after="0" w:line="221" w:lineRule="exact"/>
        <w:rPr>
          <w:sz w:val="20"/>
          <w:szCs w:val="20"/>
          <w:color w:val="auto"/>
        </w:rPr>
      </w:pPr>
    </w:p>
    <w:p>
      <w:pPr>
        <w:jc w:val="both"/>
        <w:ind w:firstLine="635"/>
        <w:spacing w:after="0" w:line="252" w:lineRule="auto"/>
        <w:tabs>
          <w:tab w:leader="none" w:pos="1215"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(A) $5,000,000 in the case of any single transaction or series of related transactions and (B) $10,000,000 for all such transactions during any fiscal year of Holdings; or</w:t>
      </w:r>
    </w:p>
    <w:p>
      <w:pPr>
        <w:spacing w:after="0" w:line="178" w:lineRule="exact"/>
        <w:rPr>
          <w:rFonts w:ascii="Arial" w:cs="Arial" w:eastAsia="Arial" w:hAnsi="Arial"/>
          <w:sz w:val="19"/>
          <w:szCs w:val="19"/>
          <w:color w:val="auto"/>
        </w:rPr>
      </w:pPr>
    </w:p>
    <w:p>
      <w:pPr>
        <w:jc w:val="both"/>
        <w:ind w:firstLine="635"/>
        <w:spacing w:after="0" w:line="254" w:lineRule="auto"/>
        <w:tabs>
          <w:tab w:leader="none" w:pos="111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spacing w:after="0" w:line="172"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Rate</w:t>
      </w:r>
      <w:r>
        <w:rPr>
          <w:rFonts w:ascii="Arial" w:cs="Arial" w:eastAsia="Arial" w:hAnsi="Arial"/>
          <w:sz w:val="19"/>
          <w:szCs w:val="19"/>
          <w:color w:val="auto"/>
        </w:rPr>
        <w:t xml:space="preserve">” means the rate of interest per annum last quoted by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as the “Prime Rate” in the U.S. or, if </w:t>
      </w:r>
      <w:r>
        <w:rPr>
          <w:rFonts w:ascii="Arial" w:cs="Arial" w:eastAsia="Arial" w:hAnsi="Arial"/>
          <w:sz w:val="19"/>
          <w:szCs w:val="19"/>
          <w:u w:val="single" w:color="auto"/>
          <w:color w:val="auto"/>
        </w:rPr>
        <w:t>The Wall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Street Journal</w:t>
      </w:r>
      <w:r>
        <w:rPr>
          <w:rFonts w:ascii="Arial" w:cs="Arial" w:eastAsia="Arial" w:hAnsi="Arial"/>
          <w:sz w:val="19"/>
          <w:szCs w:val="19"/>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2"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Adjustment</w:t>
      </w:r>
      <w:r>
        <w:rPr>
          <w:rFonts w:ascii="Arial" w:cs="Arial" w:eastAsia="Arial" w:hAnsi="Arial"/>
          <w:sz w:val="18"/>
          <w:szCs w:val="18"/>
          <w:color w:val="auto"/>
        </w:rPr>
        <w:t>” means, for any Test Period, the amount of “run rate” net cost savings, synergies and operating expense reductions projected by Holdings in good faith to result from the Transactions or other acquisitions or dispositions, in each case no later than 24 months after the Closing Date or the date of such other acquisition or disposition (the “</w:t>
      </w:r>
      <w:r>
        <w:rPr>
          <w:rFonts w:ascii="Arial" w:cs="Arial" w:eastAsia="Arial" w:hAnsi="Arial"/>
          <w:sz w:val="18"/>
          <w:szCs w:val="18"/>
          <w:b w:val="1"/>
          <w:bCs w:val="1"/>
          <w:color w:val="auto"/>
        </w:rPr>
        <w:t>Post-Transaction Period</w:t>
      </w:r>
      <w:r>
        <w:rPr>
          <w:rFonts w:ascii="Arial" w:cs="Arial" w:eastAsia="Arial" w:hAnsi="Arial"/>
          <w:sz w:val="18"/>
          <w:szCs w:val="18"/>
          <w:color w:val="auto"/>
        </w:rPr>
        <w:t xml:space="preserve">”)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cost savings, operating expense reductions and synergies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w:t>
      </w:r>
    </w:p>
    <w:p>
      <w:pPr>
        <w:spacing w:after="0" w:line="164"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Basis</w:t>
      </w:r>
      <w:r>
        <w:rPr>
          <w:rFonts w:ascii="Arial" w:cs="Arial" w:eastAsia="Arial" w:hAnsi="Arial"/>
          <w:sz w:val="18"/>
          <w:szCs w:val="18"/>
          <w:color w:val="auto"/>
        </w:rPr>
        <w:t>,” “</w:t>
      </w:r>
      <w:r>
        <w:rPr>
          <w:rFonts w:ascii="Arial" w:cs="Arial" w:eastAsia="Arial" w:hAnsi="Arial"/>
          <w:sz w:val="18"/>
          <w:szCs w:val="18"/>
          <w:b w:val="1"/>
          <w:bCs w:val="1"/>
          <w:color w:val="auto"/>
        </w:rPr>
        <w:t>Pro Forma Compliance</w:t>
      </w:r>
      <w:r>
        <w:rPr>
          <w:rFonts w:ascii="Arial" w:cs="Arial" w:eastAsia="Arial" w:hAnsi="Arial"/>
          <w:sz w:val="18"/>
          <w:szCs w:val="18"/>
          <w:color w:val="auto"/>
        </w:rPr>
        <w:t>” and “</w:t>
      </w:r>
      <w:r>
        <w:rPr>
          <w:rFonts w:ascii="Arial" w:cs="Arial" w:eastAsia="Arial" w:hAnsi="Arial"/>
          <w:sz w:val="18"/>
          <w:szCs w:val="18"/>
          <w:b w:val="1"/>
          <w:bCs w:val="1"/>
          <w:color w:val="auto"/>
        </w:rPr>
        <w:t>Pro Forma Effect</w:t>
      </w:r>
      <w:r>
        <w:rPr>
          <w:rFonts w:ascii="Arial" w:cs="Arial" w:eastAsia="Arial" w:hAnsi="Arial"/>
          <w:sz w:val="18"/>
          <w:szCs w:val="18"/>
          <w:color w:val="auto"/>
        </w:rPr>
        <w:t xml:space="preserve">”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all pro forma adjustments made pursuant to this definition (including the Pro Forma Adjustment) with respect to the Transactions shall be consistent in character and amount with the adjustments reflected in the Pro Forma Financial Statements.</w:t>
      </w:r>
    </w:p>
    <w:p>
      <w:pPr>
        <w:spacing w:after="0" w:line="176"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Entity</w:t>
      </w:r>
      <w:r>
        <w:rPr>
          <w:rFonts w:ascii="Arial" w:cs="Arial" w:eastAsia="Arial" w:hAnsi="Arial"/>
          <w:sz w:val="19"/>
          <w:szCs w:val="19"/>
          <w:color w:val="auto"/>
        </w:rPr>
        <w:t>” has the meaning given to such term in the definition of “Acquired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Financial Statements</w:t>
      </w:r>
      <w:r>
        <w:rPr>
          <w:rFonts w:ascii="Arial" w:cs="Arial" w:eastAsia="Arial" w:hAnsi="Arial"/>
          <w:sz w:val="19"/>
          <w:szCs w:val="19"/>
          <w:color w:val="auto"/>
        </w:rPr>
        <w:t>” shall have the meaning set forth in Section 4.01(m).</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Proposed Change</w:t>
      </w:r>
      <w:r>
        <w:rPr>
          <w:rFonts w:ascii="Arial" w:cs="Arial" w:eastAsia="Arial" w:hAnsi="Arial"/>
          <w:sz w:val="19"/>
          <w:szCs w:val="19"/>
          <w:color w:val="auto"/>
        </w:rPr>
        <w:t>” has the meaning assigned to such term in Section 9.02(c).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Lender</w:t>
      </w:r>
      <w:r>
        <w:rPr>
          <w:rFonts w:ascii="Arial" w:cs="Arial" w:eastAsia="Arial" w:hAnsi="Arial"/>
          <w:sz w:val="19"/>
          <w:szCs w:val="19"/>
          <w:color w:val="auto"/>
        </w:rPr>
        <w:t>” has the meaning assigned to such term in Section 5.01.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Equity Interests</w:t>
      </w:r>
      <w:r>
        <w:rPr>
          <w:rFonts w:ascii="Arial" w:cs="Arial" w:eastAsia="Arial" w:hAnsi="Arial"/>
          <w:sz w:val="19"/>
          <w:szCs w:val="19"/>
          <w:color w:val="auto"/>
        </w:rPr>
        <w:t>” means Equity Interests of a Person other than Disqualified Equity Interests of such Person.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Qualifying Lender</w:t>
      </w:r>
      <w:r>
        <w:rPr>
          <w:rFonts w:ascii="Arial" w:cs="Arial" w:eastAsia="Arial" w:hAnsi="Arial"/>
          <w:sz w:val="19"/>
          <w:szCs w:val="19"/>
          <w:color w:val="auto"/>
        </w:rPr>
        <w:t>” has the meaning assigned to such term in Section 2.09(a)(ii)(D)(3).</w:t>
      </w:r>
    </w:p>
    <w:p>
      <w:pPr>
        <w:sectPr>
          <w:pgSz w:w="11900" w:h="16838" w:orient="portrait"/>
          <w:cols w:equalWidth="0" w:num="1">
            <w:col w:w="11420"/>
          </w:cols>
          <w:pgMar w:left="240" w:top="182" w:right="239" w:bottom="0" w:gutter="0" w:footer="0" w:header="0"/>
        </w:sectPr>
      </w:pPr>
    </w:p>
    <w:bookmarkStart w:id="114" w:name="page115"/>
    <w:bookmarkEnd w:id="114"/>
    <w:p>
      <w:pPr>
        <w:spacing w:after="0" w:line="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RCF Springing Maturity Date</w:t>
      </w:r>
      <w:r>
        <w:rPr>
          <w:rFonts w:ascii="Arial" w:cs="Arial" w:eastAsia="Arial" w:hAnsi="Arial"/>
          <w:sz w:val="19"/>
          <w:szCs w:val="19"/>
          <w:color w:val="auto"/>
        </w:rPr>
        <w:t>” means December 15, 2021.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Refinanced Debt</w:t>
      </w:r>
      <w:r>
        <w:rPr>
          <w:rFonts w:ascii="Arial" w:cs="Arial" w:eastAsia="Arial" w:hAnsi="Arial"/>
          <w:sz w:val="19"/>
          <w:szCs w:val="19"/>
          <w:color w:val="auto"/>
        </w:rPr>
        <w:t>” has the meaning assigned to such term in the definition of “Credit Agreement Refinancing Indebtedness.”</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Amendment</w:t>
      </w:r>
      <w:r>
        <w:rPr>
          <w:rFonts w:ascii="Arial" w:cs="Arial" w:eastAsia="Arial" w:hAnsi="Arial"/>
          <w:sz w:val="18"/>
          <w:szCs w:val="18"/>
          <w:color w:val="auto"/>
        </w:rPr>
        <w:t>” means an amendment to this Agreement in form and substance reasonably satisfactory to the Administrative Agent and the Borrower executed by each of (a) the Borrower and Holdings (and to the extent reasonably requested by the Administrative Agent, each other Loan Party), (b) the Administrative Agent and (c) each Additional Lender and Lender that agrees to provide any portion of the Credit Agreement Refinancing Indebtedness being incurred pursuant thereto, in accordance with Section 2.19.</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Borrower</w:t>
      </w:r>
      <w:r>
        <w:rPr>
          <w:rFonts w:ascii="Arial" w:cs="Arial" w:eastAsia="Arial" w:hAnsi="Arial"/>
          <w:sz w:val="19"/>
          <w:szCs w:val="19"/>
          <w:color w:val="auto"/>
        </w:rPr>
        <w:t>” has the meaning assigned to such term in the preamble.</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Term Loans</w:t>
      </w:r>
      <w:r>
        <w:rPr>
          <w:rFonts w:ascii="Arial" w:cs="Arial" w:eastAsia="Arial" w:hAnsi="Arial"/>
          <w:sz w:val="19"/>
          <w:szCs w:val="19"/>
          <w:color w:val="auto"/>
        </w:rPr>
        <w:t>” means a Loan made by a Lender to the Refinancing Borrower on the Closing Date pursuant to Section 2.01(a). The aggregate principal amount of Refinancing Term Loans as of the Closing Date is as set forth on Schedule 1.01(b) under the heading “Refinancing Term Loans.”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w:t>
      </w:r>
      <w:r>
        <w:rPr>
          <w:rFonts w:ascii="Arial" w:cs="Arial" w:eastAsia="Arial" w:hAnsi="Arial"/>
          <w:sz w:val="19"/>
          <w:szCs w:val="19"/>
          <w:color w:val="auto"/>
        </w:rPr>
        <w:t>” has the meaning assigned to such term in Section 9.04(b)(iv).</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Equivalent Notes</w:t>
      </w:r>
      <w:r>
        <w:rPr>
          <w:rFonts w:ascii="Arial" w:cs="Arial" w:eastAsia="Arial" w:hAnsi="Arial"/>
          <w:sz w:val="19"/>
          <w:szCs w:val="19"/>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6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Regulated Subsidiary</w:t>
      </w:r>
      <w:r>
        <w:rPr>
          <w:rFonts w:ascii="Arial" w:cs="Arial" w:eastAsia="Arial" w:hAnsi="Arial"/>
          <w:sz w:val="19"/>
          <w:szCs w:val="19"/>
          <w:color w:val="auto"/>
        </w:rPr>
        <w:t>” means any Broker-Dealer Subsidiary, any subsidiary of a Broker-Dealer Subsidiary or other Subsidiary subject to regulation of capital adequacy.</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Regulatory Supervising Organization</w:t>
      </w:r>
      <w:r>
        <w:rPr>
          <w:rFonts w:ascii="Arial" w:cs="Arial" w:eastAsia="Arial" w:hAnsi="Arial"/>
          <w:sz w:val="19"/>
          <w:szCs w:val="19"/>
          <w:color w:val="auto"/>
        </w:rPr>
        <w:t>”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6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Reimbursement Obligation</w:t>
      </w:r>
      <w:r>
        <w:rPr>
          <w:rFonts w:ascii="Arial" w:cs="Arial" w:eastAsia="Arial" w:hAnsi="Arial"/>
          <w:sz w:val="19"/>
          <w:szCs w:val="19"/>
          <w:color w:val="auto"/>
        </w:rPr>
        <w:t>” means the obligation of the Borrower to reimburse the Issuing Bank pursuant to Section 2.22(d) for amounts drawn under Letters of Credit.</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Parties</w:t>
      </w:r>
      <w:r>
        <w:rPr>
          <w:rFonts w:ascii="Arial" w:cs="Arial" w:eastAsia="Arial" w:hAnsi="Arial"/>
          <w:sz w:val="19"/>
          <w:szCs w:val="19"/>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61"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w:t>
      </w:r>
      <w:r>
        <w:rPr>
          <w:rFonts w:ascii="Arial" w:cs="Arial" w:eastAsia="Arial" w:hAnsi="Arial"/>
          <w:sz w:val="19"/>
          <w:szCs w:val="19"/>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Released Subsidiary</w:t>
      </w:r>
      <w:r>
        <w:rPr>
          <w:rFonts w:ascii="Arial" w:cs="Arial" w:eastAsia="Arial" w:hAnsi="Arial"/>
          <w:sz w:val="19"/>
          <w:szCs w:val="19"/>
          <w:color w:val="auto"/>
        </w:rPr>
        <w:t>” has the meaning assigned to such term in Section 6.13(b).</w:t>
      </w:r>
    </w:p>
    <w:p>
      <w:pPr>
        <w:spacing w:after="0" w:line="21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Repo Agreement</w:t>
      </w:r>
      <w:r>
        <w:rPr>
          <w:rFonts w:ascii="Arial" w:cs="Arial" w:eastAsia="Arial" w:hAnsi="Arial"/>
          <w:sz w:val="19"/>
          <w:szCs w:val="19"/>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spacing w:after="0" w:line="161"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Transaction</w:t>
      </w:r>
      <w:r>
        <w:rPr>
          <w:rFonts w:ascii="Arial" w:cs="Arial" w:eastAsia="Arial" w:hAnsi="Arial"/>
          <w:sz w:val="17"/>
          <w:szCs w:val="17"/>
          <w:color w:val="auto"/>
        </w:rPr>
        <w:t>” means the prepayment or refinancing of all or a portion of the Initial Term Loans with the incurrence by any Loan Party of any Indebtedness in the form of long term bank debt financing incurred for the primary purpose of repaying, refinancing, substituting or replacing the Initial Term Loans and having an effective All-In Yield (as determined by the Administrative Agent consistent with generally accepted financial practice) that is less than the All-In Yield (as determined by the Administrative Agent on the same basis) of the Initial Term Loans, including without limitation, as may be effected through any amendment to this Agreement relating to the All-In Yield of such Initial Term Loans, except for any such Indebtedness incurred or amendment effected in connection with a Change in Control or a Transformative Acquisition.</w:t>
      </w:r>
    </w:p>
    <w:p>
      <w:pPr>
        <w:spacing w:after="0" w:line="146"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spacing w:after="0" w:line="172"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xml:space="preserve">” means, at any time, Revolving Lenders having Revolving Exposures and unused Revolving Commitments (exclusive of Swingline Commitments) representing more than 50% of the sum of the aggregate Revolving Exposures and the aggregate unused Revolving Commitments (exclusive of Swingline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set forth in Section 9.02, (a) the Revolving Exposures and unused Revolving Commitments of any Affiliate of the Borrower and (b) whenever there are one or more Defaulting Lenders, the total outstanding Revolving Exposures of, and the unused Revolving Commitments of, each Defaulting Lender shall in each case be excluded for purposes of making a determination of Required Revolving Lenders.</w:t>
      </w:r>
    </w:p>
    <w:p>
      <w:pPr>
        <w:spacing w:after="0" w:line="157"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Requirements of Law</w:t>
      </w:r>
      <w:r>
        <w:rPr>
          <w:rFonts w:ascii="Arial" w:cs="Arial" w:eastAsia="Arial" w:hAnsi="Arial"/>
          <w:sz w:val="19"/>
          <w:szCs w:val="19"/>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167"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w:t>
      </w:r>
    </w:p>
    <w:p>
      <w:pPr>
        <w:sectPr>
          <w:pgSz w:w="11900" w:h="16911" w:orient="portrait"/>
          <w:cols w:equalWidth="0" w:num="1">
            <w:col w:w="11420"/>
          </w:cols>
          <w:pgMar w:left="240" w:top="130" w:right="239" w:bottom="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9"/>
          <w:szCs w:val="19"/>
          <w:color w:val="auto"/>
        </w:rPr>
        <w:t>on the 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9"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Subsidiary</w:t>
      </w:r>
      <w:r>
        <w:rPr>
          <w:rFonts w:ascii="Arial" w:cs="Arial" w:eastAsia="Arial" w:hAnsi="Arial"/>
          <w:sz w:val="19"/>
          <w:szCs w:val="19"/>
          <w:color w:val="auto"/>
        </w:rPr>
        <w:t>” means any Subsidiary other than an Unrestricted Subsidiary.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Retained Declined Proceeds</w:t>
      </w:r>
      <w:r>
        <w:rPr>
          <w:rFonts w:ascii="Arial" w:cs="Arial" w:eastAsia="Arial" w:hAnsi="Arial"/>
          <w:sz w:val="19"/>
          <w:szCs w:val="19"/>
          <w:color w:val="auto"/>
        </w:rPr>
        <w:t>” has the meaning assigned to such term in Section 2.09(d).</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Availability Period</w:t>
      </w:r>
      <w:r>
        <w:rPr>
          <w:rFonts w:ascii="Arial" w:cs="Arial" w:eastAsia="Arial" w:hAnsi="Arial"/>
          <w:sz w:val="19"/>
          <w:szCs w:val="19"/>
          <w:color w:val="auto"/>
        </w:rPr>
        <w:t>” means the period from and including the Closing Date to but excluding the earlier of (a) the Revolving Maturity Date and (b) the date of the termination of the Revolving Commitments.</w:t>
      </w:r>
    </w:p>
    <w:p>
      <w:pPr>
        <w:spacing w:after="0" w:line="145"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Commitment</w:t>
      </w:r>
      <w:r>
        <w:rPr>
          <w:rFonts w:ascii="Arial" w:cs="Arial" w:eastAsia="Arial" w:hAnsi="Arial"/>
          <w:sz w:val="17"/>
          <w:szCs w:val="17"/>
          <w:color w:val="auto"/>
        </w:rPr>
        <w:t>” means, with respect to each Lender, the commitment, if any, of such Lender to make Revolving Loans and to acquire participations in Swingline Loans and Letters of Credit hereunder, expressed as an amount representing the maximum possible aggregate amount of such Lender’s Revolving Exposure hereunder, as such commitment may be (a) reduced from time to time pursuant to Section 2.06 and</w:t>
      </w:r>
    </w:p>
    <w:p>
      <w:pPr>
        <w:spacing w:after="0" w:line="2" w:lineRule="exact"/>
        <w:rPr>
          <w:sz w:val="20"/>
          <w:szCs w:val="20"/>
          <w:color w:val="auto"/>
        </w:rPr>
      </w:pPr>
    </w:p>
    <w:p>
      <w:pPr>
        <w:jc w:val="both"/>
        <w:ind w:firstLine="5"/>
        <w:spacing w:after="0" w:line="267" w:lineRule="auto"/>
        <w:tabs>
          <w:tab w:leader="none" w:pos="2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or increased from time to time pursuant to (i) assignments by or to such Lender pursuant to an Assignment and Assumption or (ii) a Refinancing Amendment. The initial amount of each Lender’s Revolving Commitment is set forth on Schedule 2.01, in the Assignment and Assumption or in the Refinancing Amendment pursuant to which such Lender shall have assumed its Revolving Commitment, as the case may be. The initial aggregate amount of the Lenders’ Revolving Commitments as of the Closing Date is $50,000,000.</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 Increase Lender</w:t>
      </w:r>
      <w:r>
        <w:rPr>
          <w:rFonts w:ascii="Arial" w:cs="Arial" w:eastAsia="Arial" w:hAnsi="Arial"/>
          <w:sz w:val="19"/>
          <w:szCs w:val="19"/>
          <w:color w:val="auto"/>
        </w:rPr>
        <w:t>” has the meaning assigned to such term in Section 2.18(c)(i).</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means, with respect to any Lender at any time, the sum of (i) the outstanding principal amount of such Lender’s Revolving Loans then outstanding, (ii) such Lender’s LC Exposure at such time and (iii) such Lender’s Swingline Exposure at such time.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Facility</w:t>
      </w:r>
      <w:r>
        <w:rPr>
          <w:rFonts w:ascii="Arial" w:cs="Arial" w:eastAsia="Arial" w:hAnsi="Arial"/>
          <w:sz w:val="19"/>
          <w:szCs w:val="19"/>
          <w:color w:val="auto"/>
        </w:rPr>
        <w:t>” means the Revolving Commitments and Revolving Loans hereunder.</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Lender</w:t>
      </w:r>
      <w:r>
        <w:rPr>
          <w:rFonts w:ascii="Arial" w:cs="Arial" w:eastAsia="Arial" w:hAnsi="Arial"/>
          <w:sz w:val="19"/>
          <w:szCs w:val="19"/>
          <w:color w:val="auto"/>
        </w:rPr>
        <w:t>” means a Lender with a Revolving Commitment or, if the Revolving Commitments have terminated or expired, a Lender with Revolving Exposure.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Loan</w:t>
      </w:r>
      <w:r>
        <w:rPr>
          <w:rFonts w:ascii="Arial" w:cs="Arial" w:eastAsia="Arial" w:hAnsi="Arial"/>
          <w:sz w:val="19"/>
          <w:szCs w:val="19"/>
          <w:color w:val="auto"/>
        </w:rPr>
        <w:t>” means a Loan made pursuant to clause (b) of Section 2.01.</w:t>
      </w:r>
    </w:p>
    <w:p>
      <w:pPr>
        <w:spacing w:after="0" w:line="21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Maturity Date</w:t>
      </w:r>
      <w:r>
        <w:rPr>
          <w:rFonts w:ascii="Arial" w:cs="Arial" w:eastAsia="Arial" w:hAnsi="Arial"/>
          <w:sz w:val="19"/>
          <w:szCs w:val="19"/>
          <w:color w:val="auto"/>
        </w:rPr>
        <w:t xml:space="preserve">” means March 1, 2022; </w:t>
      </w:r>
      <w:r>
        <w:rPr>
          <w:rFonts w:ascii="Arial" w:cs="Arial" w:eastAsia="Arial" w:hAnsi="Arial"/>
          <w:sz w:val="19"/>
          <w:szCs w:val="19"/>
          <w:i w:val="1"/>
          <w:iCs w:val="1"/>
          <w:color w:val="auto"/>
        </w:rPr>
        <w:t>provided, however</w:t>
      </w:r>
      <w:r>
        <w:rPr>
          <w:rFonts w:ascii="Arial" w:cs="Arial" w:eastAsia="Arial" w:hAnsi="Arial"/>
          <w:sz w:val="19"/>
          <w:szCs w:val="19"/>
          <w:color w:val="auto"/>
        </w:rPr>
        <w:t>, that unless, on or prior to the RCF Springing Maturity Date, at least $400,000,000 in aggregate principal amount of the Second Lien Notes have been repaid, redeemed, retired or cancelled, or refinanced with or exchanged for Indebtedness permitted under Section 6.01 maturing more than three months following March 1, 2022, the Revolving Maturity Date will be the RCF Springing Maturity Date (or, with respect to any Revolving Lender that has extended its Revolving Commitment pursuant to Section 2.19(b), the extended maturity date set forth in the Extension Notice delivered by the Borrower and such Revolving Lender to the Administrative Agent pursuant to Section 2.19(b)).</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Ratings Services, a division of The McGraw-Hill Companies, Inc., and any successor to its rating agency business.</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SDN List</w:t>
      </w:r>
      <w:r>
        <w:rPr>
          <w:rFonts w:ascii="Arial" w:cs="Arial" w:eastAsia="Arial" w:hAnsi="Arial"/>
          <w:sz w:val="19"/>
          <w:szCs w:val="19"/>
          <w:color w:val="auto"/>
        </w:rPr>
        <w:t>” has the meaning assigned to such term in Section 3.19(d)(i).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Notes</w:t>
      </w:r>
      <w:r>
        <w:rPr>
          <w:rFonts w:ascii="Arial" w:cs="Arial" w:eastAsia="Arial" w:hAnsi="Arial"/>
          <w:sz w:val="19"/>
          <w:szCs w:val="19"/>
          <w:color w:val="auto"/>
        </w:rPr>
        <w:t>” means the Borrower’s existing $500,000,000 6.750% Senior Secured Second Lien Notes due 2022.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Leverage Incurrence Ratio</w:t>
      </w:r>
      <w:r>
        <w:rPr>
          <w:rFonts w:ascii="Arial" w:cs="Arial" w:eastAsia="Arial" w:hAnsi="Arial"/>
          <w:sz w:val="19"/>
          <w:szCs w:val="19"/>
          <w:color w:val="auto"/>
        </w:rPr>
        <w:t>” has the meaning assigned to such term in the definition of “Incremental Cap.”</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Leverage Ratio</w:t>
      </w:r>
      <w:r>
        <w:rPr>
          <w:rFonts w:ascii="Arial" w:cs="Arial" w:eastAsia="Arial" w:hAnsi="Arial"/>
          <w:sz w:val="19"/>
          <w:szCs w:val="19"/>
          <w:color w:val="auto"/>
        </w:rPr>
        <w:t>” means, as of any date of determination, the ratio of (a) Consolidated Total Debt that is then secured, in whole or part, by Liens on the Collateral as of such date to (b) Consolidated EBITDA for the Test Period most recently 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Obligations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Parties</w:t>
      </w:r>
      <w:r>
        <w:rPr>
          <w:rFonts w:ascii="Arial" w:cs="Arial" w:eastAsia="Arial" w:hAnsi="Arial"/>
          <w:sz w:val="19"/>
          <w:szCs w:val="19"/>
          <w:color w:val="auto"/>
        </w:rPr>
        <w:t>” has the meaning assigned to such term in the Collateral Agreement.</w:t>
      </w:r>
    </w:p>
    <w:p>
      <w:pPr>
        <w:spacing w:after="0" w:line="21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the Collateral Agreement, the Mortgages and each other security agreement or pledge agreement executed and delivered pursuant to the Collateral and Guarantee Requirement, Section 5.11 or 5.12 to secure any of the Secured Obligations.</w:t>
      </w:r>
    </w:p>
    <w:p>
      <w:pPr>
        <w:spacing w:after="0" w:line="12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Representative</w:t>
      </w:r>
      <w:r>
        <w:rPr>
          <w:rFonts w:ascii="Arial" w:cs="Arial" w:eastAsia="Arial" w:hAnsi="Arial"/>
          <w:sz w:val="19"/>
          <w:szCs w:val="19"/>
          <w:color w:val="auto"/>
        </w:rPr>
        <w:t>” means, with respect to the Second Lien Notes or any series of Permitted First Priority Refinancing Debt, Permitted Junior Lien Refinancing Debt, Indebtedness permitted to be secured (to the extent secured by Collateral) pursuant to Section 6.01(a)(viii) or Section 6.01(a)(ix) or Incremental Equivalent Debt incurred under Section 6.01(a)(xxii), the trustee, administrative agent, collateral agent, security agent or similar agent under the indenture or agreement pursuant to which such Indebtedness is issued, incurred or otherwise obtained, as the case may be, and each of their successors in such capacities.</w:t>
      </w:r>
    </w:p>
    <w:p>
      <w:pPr>
        <w:sectPr>
          <w:pgSz w:w="11900" w:h="16838" w:orient="portrait"/>
          <w:cols w:equalWidth="0" w:num="1">
            <w:col w:w="11420"/>
          </w:cols>
          <w:pgMar w:left="240" w:top="121" w:right="239" w:bottom="0" w:gutter="0" w:footer="0" w:header="0"/>
        </w:sectPr>
      </w:pPr>
    </w:p>
    <w:bookmarkStart w:id="116" w:name="page117"/>
    <w:bookmarkEnd w:id="116"/>
    <w:p>
      <w:pPr>
        <w:jc w:val="both"/>
        <w:ind w:firstLine="63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Similar Business</w:t>
      </w:r>
      <w:r>
        <w:rPr>
          <w:rFonts w:ascii="Arial" w:cs="Arial" w:eastAsia="Arial" w:hAnsi="Arial"/>
          <w:sz w:val="19"/>
          <w:szCs w:val="19"/>
          <w:color w:val="auto"/>
        </w:rPr>
        <w:t>” means any business, the majority of whose revenues are derived from (i)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Sold Entity or Business</w:t>
      </w:r>
      <w:r>
        <w:rPr>
          <w:rFonts w:ascii="Arial" w:cs="Arial" w:eastAsia="Arial" w:hAnsi="Arial"/>
          <w:sz w:val="19"/>
          <w:szCs w:val="19"/>
          <w:color w:val="auto"/>
        </w:rPr>
        <w:t>” has the meaning assigned to such term in the definition of the term “Consolidated EBITDA.”</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 Proration</w:t>
      </w:r>
      <w:r>
        <w:rPr>
          <w:rFonts w:ascii="Arial" w:cs="Arial" w:eastAsia="Arial" w:hAnsi="Arial"/>
          <w:sz w:val="19"/>
          <w:szCs w:val="19"/>
          <w:color w:val="auto"/>
        </w:rPr>
        <w:t>” has the meaning assigned to such term in Section 2.09(a)(ii)(D)(3).</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Amount</w:t>
      </w:r>
      <w:r>
        <w:rPr>
          <w:rFonts w:ascii="Arial" w:cs="Arial" w:eastAsia="Arial" w:hAnsi="Arial"/>
          <w:sz w:val="19"/>
          <w:szCs w:val="19"/>
          <w:color w:val="auto"/>
        </w:rPr>
        <w:t>” has the meaning assigned to such term in Section 2.09(a)(ii)(D)(1)(II).</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Notice</w:t>
      </w:r>
      <w:r>
        <w:rPr>
          <w:rFonts w:ascii="Arial" w:cs="Arial" w:eastAsia="Arial" w:hAnsi="Arial"/>
          <w:sz w:val="19"/>
          <w:szCs w:val="19"/>
          <w:color w:val="auto"/>
        </w:rPr>
        <w:t>” means an irrevocable written notice of a Borrower Solicitation of Discounted Prepayment Offers made pursuant to Section 2.09(a)(ii)(D) substantially in the form of Exhibit M.</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Offer</w:t>
      </w:r>
      <w:r>
        <w:rPr>
          <w:rFonts w:ascii="Arial" w:cs="Arial" w:eastAsia="Arial" w:hAnsi="Arial"/>
          <w:sz w:val="19"/>
          <w:szCs w:val="19"/>
          <w:color w:val="auto"/>
        </w:rPr>
        <w:t>” means the irrevocable written offer by each Term Lender, substantially in the form of Exhibit N, submitted following the Administrative Agent’s receipt of a Solicited Discounted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Response Date</w:t>
      </w:r>
      <w:r>
        <w:rPr>
          <w:rFonts w:ascii="Arial" w:cs="Arial" w:eastAsia="Arial" w:hAnsi="Arial"/>
          <w:sz w:val="19"/>
          <w:szCs w:val="19"/>
          <w:color w:val="auto"/>
        </w:rPr>
        <w:t>” has the meaning assigned to such term in Section 2.09(a)(ii)(D).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w:t>
      </w:r>
      <w:r>
        <w:rPr>
          <w:rFonts w:ascii="Arial" w:cs="Arial" w:eastAsia="Arial" w:hAnsi="Arial"/>
          <w:sz w:val="19"/>
          <w:szCs w:val="19"/>
          <w:color w:val="auto"/>
        </w:rPr>
        <w:t>” has the meaning assigned to such term in Section 2.09(a)(ii)(B)(1)(II).</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Amount</w:t>
      </w:r>
      <w:r>
        <w:rPr>
          <w:rFonts w:ascii="Arial" w:cs="Arial" w:eastAsia="Arial" w:hAnsi="Arial"/>
          <w:sz w:val="19"/>
          <w:szCs w:val="19"/>
          <w:color w:val="auto"/>
        </w:rPr>
        <w:t>” has the meaning assigned to such term in Section 2.09(a)(ii)(B)(1)(II).</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Notice</w:t>
      </w:r>
      <w:r>
        <w:rPr>
          <w:rFonts w:ascii="Arial" w:cs="Arial" w:eastAsia="Arial" w:hAnsi="Arial"/>
          <w:sz w:val="19"/>
          <w:szCs w:val="19"/>
          <w:color w:val="auto"/>
        </w:rPr>
        <w:t>” means an irrevocable written notice of a Borrower Offer of Specified Discount Prepayment made pursuant to Section 2.09(a)(ii)(B) substantially in the form of Exhibit I.</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w:t>
      </w:r>
      <w:r>
        <w:rPr>
          <w:rFonts w:ascii="Arial" w:cs="Arial" w:eastAsia="Arial" w:hAnsi="Arial"/>
          <w:sz w:val="19"/>
          <w:szCs w:val="19"/>
          <w:color w:val="auto"/>
        </w:rPr>
        <w:t>” means the irrevocable written response by each Term Lender, substantially in the form of Exhibit J, to a Specified Discount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 has the meaning assigned to such term in Section 2.09(a)(ii)(B)(1).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Proration</w:t>
      </w:r>
      <w:r>
        <w:rPr>
          <w:rFonts w:ascii="Arial" w:cs="Arial" w:eastAsia="Arial" w:hAnsi="Arial"/>
          <w:sz w:val="19"/>
          <w:szCs w:val="19"/>
          <w:color w:val="auto"/>
        </w:rPr>
        <w:t>” has the meaning assigned to such term in Section 2.09(a)(ii)(B)(3).</w:t>
      </w:r>
    </w:p>
    <w:p>
      <w:pPr>
        <w:spacing w:after="0" w:line="215"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Dividend Amount”</w:t>
      </w:r>
      <w:r>
        <w:rPr>
          <w:rFonts w:ascii="Arial" w:cs="Arial" w:eastAsia="Arial" w:hAnsi="Arial"/>
          <w:sz w:val="18"/>
          <w:szCs w:val="18"/>
          <w:color w:val="auto"/>
        </w:rPr>
        <w:t xml:space="preserve"> means, as of any date of declaration, (a) prior to any share splits, reverse share splits and/or share recapitalizations of the common stock of VFI following the Closing Date, an amount equal to $0.24 per share of common stock of VFI then issued and outstanding and (b) in the event of any share split, reverse share split and/or share recapitalization of the common stock of VFI following the Closing Date, an amount adjusted in a manner reasonably determined by the Borrower such that the aggregate amount of the Special Dividend Amount as calculated (i) with respect to the issued and outstanding common stock of VFI immediately prior to such event and (ii) the issued and outstanding common stock of VFI immediately after such event, remains the same.</w:t>
      </w:r>
    </w:p>
    <w:p>
      <w:pPr>
        <w:spacing w:after="0" w:line="157"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 Section 3.16, Section 3.19(a), Section 3.19(b), Section 3.19(c) and Section 3.02(b) of the Collateral Agreement (subject to exceptions consistent with Section 4.01(l) with respect to any Collateral).</w:t>
      </w:r>
    </w:p>
    <w:p>
      <w:pPr>
        <w:spacing w:after="0" w:line="154"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Transaction</w:t>
      </w:r>
      <w:r>
        <w:rPr>
          <w:rFonts w:ascii="Arial" w:cs="Arial" w:eastAsia="Arial" w:hAnsi="Arial"/>
          <w:sz w:val="19"/>
          <w:szCs w:val="19"/>
          <w:color w:val="auto"/>
        </w:rPr>
        <w:t xml:space="preserve">” means, with respect to any period, the Acquisition and any Permitted Acquisition, Investment, sale, transfer or other disposition of assets, incurrence, assumption, retirement or repayment of Indebtedness, Restricted Payment, subsidiary designation or other event that by the terms of the Loan Documents requires “Pro Forma Compliance” with a test or covenant hereunder or requires such test or covenant to be calculated on a “Pro Forma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this definition, any Revolving Commitment shall be deemed to be fully drawn.</w:t>
      </w:r>
    </w:p>
    <w:p>
      <w:pPr>
        <w:spacing w:after="0" w:line="169"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 Rates shall be adjusted automatically on and as of the effective date of any change in any reserve percentage.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Submitted Amount</w:t>
      </w:r>
      <w:r>
        <w:rPr>
          <w:rFonts w:ascii="Arial" w:cs="Arial" w:eastAsia="Arial" w:hAnsi="Arial"/>
          <w:sz w:val="19"/>
          <w:szCs w:val="19"/>
          <w:color w:val="auto"/>
        </w:rPr>
        <w:t>” has the meaning assigned to such term in Section 2.09(a)(ii)(C)(1)(IV).</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Submitted Discount</w:t>
      </w:r>
      <w:r>
        <w:rPr>
          <w:rFonts w:ascii="Arial" w:cs="Arial" w:eastAsia="Arial" w:hAnsi="Arial"/>
          <w:sz w:val="19"/>
          <w:szCs w:val="19"/>
          <w:color w:val="auto"/>
        </w:rPr>
        <w:t>” has the meaning assigned to such term in Section 2.09(a)(ii)(C)(1)(IV).</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any Indebtedness that is subordinated in right of payment to the Loan Document Obligations.</w:t>
      </w:r>
    </w:p>
    <w:p>
      <w:pPr>
        <w:spacing w:after="0" w:line="226" w:lineRule="exact"/>
        <w:rPr>
          <w:sz w:val="20"/>
          <w:szCs w:val="20"/>
          <w:color w:val="auto"/>
        </w:rPr>
      </w:pPr>
    </w:p>
    <w:p>
      <w:pPr>
        <w:jc w:val="both"/>
        <w:ind w:firstLine="63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ectPr>
          <w:pgSz w:w="11900" w:h="16838" w:orient="portrait"/>
          <w:cols w:equalWidth="0" w:num="1">
            <w:col w:w="11420"/>
          </w:cols>
          <w:pgMar w:left="240" w:top="118" w:right="239" w:bottom="0" w:gutter="0" w:footer="0" w:header="0"/>
        </w:sectPr>
      </w:pPr>
    </w:p>
    <w:bookmarkStart w:id="117" w:name="page118"/>
    <w:bookmarkEnd w:id="117"/>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unless otherwise specified, any subsidiary of Holdings.</w:t>
      </w:r>
    </w:p>
    <w:p>
      <w:pPr>
        <w:spacing w:after="0" w:line="21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Loan Party</w:t>
      </w:r>
      <w:r>
        <w:rPr>
          <w:rFonts w:ascii="Arial" w:cs="Arial" w:eastAsia="Arial" w:hAnsi="Arial"/>
          <w:sz w:val="19"/>
          <w:szCs w:val="19"/>
          <w:color w:val="auto"/>
        </w:rPr>
        <w:t>” means each Subsidiary of Holdings that is a party to the Guarantee Agreement (other than any Intermediate Parent, the Borrower or VFGM).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Borrower</w:t>
      </w:r>
      <w:r>
        <w:rPr>
          <w:rFonts w:ascii="Arial" w:cs="Arial" w:eastAsia="Arial" w:hAnsi="Arial"/>
          <w:sz w:val="19"/>
          <w:szCs w:val="19"/>
          <w:color w:val="auto"/>
        </w:rPr>
        <w:t>” has the meaning assigned to such term in Section 6.03(a)(iv)(B).</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Holdings</w:t>
      </w:r>
      <w:r>
        <w:rPr>
          <w:rFonts w:ascii="Arial" w:cs="Arial" w:eastAsia="Arial" w:hAnsi="Arial"/>
          <w:sz w:val="19"/>
          <w:szCs w:val="19"/>
          <w:color w:val="auto"/>
        </w:rPr>
        <w:t>” has the meaning assigned to such term in Section 6.03(a)(v)(B).</w:t>
      </w:r>
    </w:p>
    <w:p>
      <w:pPr>
        <w:spacing w:after="0" w:line="21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Agreement</w:t>
      </w:r>
      <w:r>
        <w:rPr>
          <w:rFonts w:ascii="Arial" w:cs="Arial" w:eastAsia="Arial" w:hAnsi="Arial"/>
          <w:sz w:val="19"/>
          <w:szCs w:val="19"/>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spacing w:after="0" w:line="172"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Swingline Commitment</w:t>
      </w:r>
      <w:r>
        <w:rPr>
          <w:rFonts w:ascii="Arial" w:cs="Arial" w:eastAsia="Arial" w:hAnsi="Arial"/>
          <w:sz w:val="19"/>
          <w:szCs w:val="19"/>
          <w:color w:val="auto"/>
        </w:rPr>
        <w:t>” means the commitment of the Swingline Lender to make Swingline Loans pursuant to Section 2.23. The Swingline Commitment is $5,000,000. The Swingline Commitment is part of and not in addition to the Revolving Commitment.</w:t>
      </w:r>
    </w:p>
    <w:p>
      <w:pPr>
        <w:spacing w:after="0" w:line="145" w:lineRule="exact"/>
        <w:rPr>
          <w:sz w:val="20"/>
          <w:szCs w:val="20"/>
          <w:color w:val="auto"/>
        </w:rPr>
      </w:pPr>
    </w:p>
    <w:p>
      <w:pPr>
        <w:jc w:val="both"/>
        <w:ind w:firstLine="630"/>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Exposure</w:t>
      </w:r>
      <w:r>
        <w:rPr>
          <w:rFonts w:ascii="Arial" w:cs="Arial" w:eastAsia="Arial" w:hAnsi="Arial"/>
          <w:sz w:val="17"/>
          <w:szCs w:val="17"/>
          <w:color w:val="auto"/>
        </w:rPr>
        <w:t>” means, at any time, the aggregate principal amount at such time of all outstanding Swingline Loans. The Swingline Exposure of any Revolving Lender at any time shall equal its Applicable Percentage of the aggregate Swingline Exposure at such time.</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Lender</w:t>
      </w:r>
      <w:r>
        <w:rPr>
          <w:rFonts w:ascii="Arial" w:cs="Arial" w:eastAsia="Arial" w:hAnsi="Arial"/>
          <w:sz w:val="17"/>
          <w:szCs w:val="17"/>
          <w:color w:val="auto"/>
        </w:rPr>
        <w:t>” means Jefferies Finance LLC,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thereto.</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Swingline Loans</w:t>
      </w:r>
      <w:r>
        <w:rPr>
          <w:rFonts w:ascii="Arial" w:cs="Arial" w:eastAsia="Arial" w:hAnsi="Arial"/>
          <w:sz w:val="19"/>
          <w:szCs w:val="19"/>
          <w:color w:val="auto"/>
        </w:rPr>
        <w:t>” has the meaning assigned to such term in Section 2.01(c).</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Estimation Period</w:t>
      </w:r>
      <w:r>
        <w:rPr>
          <w:rFonts w:ascii="Arial" w:cs="Arial" w:eastAsia="Arial" w:hAnsi="Arial"/>
          <w:sz w:val="19"/>
          <w:szCs w:val="19"/>
          <w:color w:val="auto"/>
        </w:rPr>
        <w:t>” means each period (determined without regard to any prior periods) for which an estimate of corporate federal income tax liability is required to be made under the Code.</w:t>
      </w:r>
    </w:p>
    <w:p>
      <w:pPr>
        <w:spacing w:after="0" w:line="145" w:lineRule="exact"/>
        <w:rPr>
          <w:sz w:val="20"/>
          <w:szCs w:val="20"/>
          <w:color w:val="auto"/>
        </w:rPr>
      </w:pPr>
    </w:p>
    <w:p>
      <w:pPr>
        <w:jc w:val="both"/>
        <w:ind w:firstLine="630"/>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Taxable Year</w:t>
      </w:r>
      <w:r>
        <w:rPr>
          <w:rFonts w:ascii="Arial" w:cs="Arial" w:eastAsia="Arial" w:hAnsi="Arial"/>
          <w:sz w:val="18"/>
          <w:szCs w:val="18"/>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21" w:lineRule="exact"/>
        <w:rPr>
          <w:sz w:val="20"/>
          <w:szCs w:val="20"/>
          <w:color w:val="auto"/>
        </w:rPr>
      </w:pPr>
    </w:p>
    <w:p>
      <w:pPr>
        <w:jc w:val="both"/>
        <w:ind w:firstLine="63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 Income Amount</w:t>
      </w:r>
      <w:r>
        <w:rPr>
          <w:rFonts w:ascii="Arial" w:cs="Arial" w:eastAsia="Arial" w:hAnsi="Arial"/>
          <w:sz w:val="17"/>
          <w:szCs w:val="17"/>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2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Commitment</w:t>
      </w:r>
      <w:r>
        <w:rPr>
          <w:rFonts w:ascii="Arial" w:cs="Arial" w:eastAsia="Arial" w:hAnsi="Arial"/>
          <w:sz w:val="19"/>
          <w:szCs w:val="19"/>
          <w:color w:val="auto"/>
        </w:rPr>
        <w:t>” means, with respect to each Initial Term Lender, such Initial Term Lender’s Initial Term Commitment and, with respect to any other Term Lender, the obligation of such other Term Lender with respect to any other series of Term Loans to make a Term Loan of such series. The aggregate principal amount of Term Commitments on the Closing Date is $1,500,000,000.</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Lender</w:t>
      </w:r>
      <w:r>
        <w:rPr>
          <w:rFonts w:ascii="Arial" w:cs="Arial" w:eastAsia="Arial" w:hAnsi="Arial"/>
          <w:sz w:val="19"/>
          <w:szCs w:val="19"/>
          <w:color w:val="auto"/>
        </w:rPr>
        <w:t>” means a Lender with a Term Commitment or an outstanding Term Loan.</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Loans</w:t>
      </w:r>
      <w:r>
        <w:rPr>
          <w:rFonts w:ascii="Arial" w:cs="Arial" w:eastAsia="Arial" w:hAnsi="Arial"/>
          <w:sz w:val="19"/>
          <w:szCs w:val="19"/>
          <w:color w:val="auto"/>
        </w:rPr>
        <w:t>” means the Initial Term Loans, Other Term Loans and loans made pursuant to an Incremental Term Facility, as the context requires.</w:t>
      </w:r>
    </w:p>
    <w:p>
      <w:pPr>
        <w:spacing w:after="0" w:line="14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Maturity Date</w:t>
      </w:r>
      <w:r>
        <w:rPr>
          <w:rFonts w:ascii="Arial" w:cs="Arial" w:eastAsia="Arial" w:hAnsi="Arial"/>
          <w:sz w:val="19"/>
          <w:szCs w:val="19"/>
          <w:color w:val="auto"/>
        </w:rPr>
        <w:t xml:space="preserve">” means March 1, 2026; </w:t>
      </w:r>
      <w:r>
        <w:rPr>
          <w:rFonts w:ascii="Arial" w:cs="Arial" w:eastAsia="Arial" w:hAnsi="Arial"/>
          <w:sz w:val="19"/>
          <w:szCs w:val="19"/>
          <w:i w:val="1"/>
          <w:iCs w:val="1"/>
          <w:color w:val="auto"/>
        </w:rPr>
        <w:t>provided, however</w:t>
      </w:r>
      <w:r>
        <w:rPr>
          <w:rFonts w:ascii="Arial" w:cs="Arial" w:eastAsia="Arial" w:hAnsi="Arial"/>
          <w:sz w:val="19"/>
          <w:szCs w:val="19"/>
          <w:color w:val="auto"/>
        </w:rPr>
        <w:t>, that unless, on or prior to the Term Springing Maturity Date, at least $400,000,000 in aggregate principal amount of the Second Lien Notes shall have been repaid, redeemed, retired or cancelled, or refinanced with or exchanged for Indebtedness permitted under Section 6.01 that matures more than three months following March 1, 2026, the Term Maturity Date will be the Term Springing Maturity Date (or, with respect to any Term Lender that has extended the maturity date of its Term Loans pursuant to Section 2.19(b), the extended maturity date set forth in the Extension Notice delivered by the Borrower and such Term Lender to the Administrative Agent pursuant to Section 2.19(b)).</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Springing Maturity Date</w:t>
      </w:r>
      <w:r>
        <w:rPr>
          <w:rFonts w:ascii="Arial" w:cs="Arial" w:eastAsia="Arial" w:hAnsi="Arial"/>
          <w:sz w:val="19"/>
          <w:szCs w:val="19"/>
          <w:color w:val="auto"/>
        </w:rPr>
        <w:t>” means March 16, 2022.</w:t>
      </w:r>
    </w:p>
    <w:p>
      <w:pPr>
        <w:spacing w:after="0" w:line="21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means the date on which (a) all Commitments shall have been terminated or expired, (b) the principal of and interest on each Loan, all fees and all other expenses or amounts payable under any Loan Document shall have been paid in full (other than in respect of contingent indemnification and expense reimbursement claims not then due) and (c) all Letters of Credit (other than those that have been cash collateralized or backstopped in a manner satisfactory to the applicable Issuing Bank) have been cancelled or have expired and all LC Disbursements shall have been reimbursed in full.</w:t>
      </w:r>
    </w:p>
    <w:p>
      <w:pPr>
        <w:spacing w:after="0" w:line="169"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means, as of any date of determination, the period of four consecutive fiscal quarters of the Borrower then most recently ended for which financial statements have been (or were required to be) delivered pursuant to Section 5.01(a) or (b)) (or, if indicated and if later, for which financial statements are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first date on which financial statements have been delivered pursuant to Section 5.01(a) or (b), the Test Period in effect shall be the four fiscal quarter period ended December 31, 2018.</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Leverage Incurrence Ratio</w:t>
      </w:r>
      <w:r>
        <w:rPr>
          <w:rFonts w:ascii="Arial" w:cs="Arial" w:eastAsia="Arial" w:hAnsi="Arial"/>
          <w:sz w:val="19"/>
          <w:szCs w:val="19"/>
          <w:color w:val="auto"/>
        </w:rPr>
        <w:t>” has the meaning assigned to such term in the definition of “Incremental Cap.”</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Leverage Ratio</w:t>
      </w:r>
      <w:r>
        <w:rPr>
          <w:rFonts w:ascii="Arial" w:cs="Arial" w:eastAsia="Arial" w:hAnsi="Arial"/>
          <w:sz w:val="19"/>
          <w:szCs w:val="19"/>
          <w:color w:val="auto"/>
        </w:rPr>
        <w:t>” means, on any date, the ratio of (a) Consolidated Total Debt as of such date to (b) Consolidated EBITDA for the Test Period most recently ended.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Revolving Commitments</w:t>
      </w:r>
      <w:r>
        <w:rPr>
          <w:rFonts w:ascii="Arial" w:cs="Arial" w:eastAsia="Arial" w:hAnsi="Arial"/>
          <w:sz w:val="19"/>
          <w:szCs w:val="19"/>
          <w:color w:val="auto"/>
        </w:rPr>
        <w:t>” means, at any time, the aggregate amount of the Revolving Commitments then in effect.</w:t>
      </w:r>
    </w:p>
    <w:p>
      <w:pPr>
        <w:sectPr>
          <w:pgSz w:w="11900" w:h="16838" w:orient="portrait"/>
          <w:cols w:equalWidth="0" w:num="1">
            <w:col w:w="11420"/>
          </w:cols>
          <w:pgMar w:left="240" w:top="118" w:right="239" w:bottom="0" w:gutter="0" w:footer="0" w:header="0"/>
        </w:sectPr>
      </w:pPr>
    </w:p>
    <w:bookmarkStart w:id="118" w:name="page119"/>
    <w:bookmarkEnd w:id="118"/>
    <w:p>
      <w:pPr>
        <w:spacing w:after="0" w:line="113"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Debt</w:t>
      </w:r>
      <w:r>
        <w:rPr>
          <w:rFonts w:ascii="Arial" w:cs="Arial" w:eastAsia="Arial" w:hAnsi="Arial"/>
          <w:sz w:val="19"/>
          <w:szCs w:val="19"/>
          <w:color w:val="auto"/>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69"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Costs</w:t>
      </w:r>
      <w:r>
        <w:rPr>
          <w:rFonts w:ascii="Arial" w:cs="Arial" w:eastAsia="Arial" w:hAnsi="Arial"/>
          <w:sz w:val="19"/>
          <w:szCs w:val="19"/>
          <w:color w:val="auto"/>
        </w:rPr>
        <w:t>” means all fees, costs and expenses incurred or payable by Holdings, the Borrower or any other Subsidiary in connection with the Transactions.</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means, collectively, (i) the Financing Transactions, (ii) the consummation of the Merger pursuant to the terms of the Merger Agreement, (iii) the Asset Contributions, (iv) the Closing Date Refinancings and (v) the payment of the Transaction Costs in connection with the foregoing.</w:t>
      </w:r>
    </w:p>
    <w:p>
      <w:pPr>
        <w:spacing w:after="0" w:line="161" w:lineRule="exact"/>
        <w:rPr>
          <w:sz w:val="20"/>
          <w:szCs w:val="20"/>
          <w:color w:val="auto"/>
        </w:rPr>
      </w:pPr>
    </w:p>
    <w:p>
      <w:pPr>
        <w:jc w:val="both"/>
        <w:ind w:firstLine="63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Transformative Acquisition</w:t>
      </w:r>
      <w:r>
        <w:rPr>
          <w:rFonts w:ascii="Arial" w:cs="Arial" w:eastAsia="Arial" w:hAnsi="Arial"/>
          <w:sz w:val="18"/>
          <w:szCs w:val="18"/>
          <w:color w:val="auto"/>
        </w:rPr>
        <w:t>” means any acquisition or Investment by Holdings, Impala Borrower, any Intermediate Parent, Borrower or any Restricted Subsidiary that either (a) is not permitted by the terms of the Loan Documents immediately prior to the consummation of such acquisition or Investment or (b) if permitted by the terms of the Loan Documents immediately prior to the consummation of such acquisition or Investment, would not provide the Borrower and the Restricted Subsidiaries with adequate flexibility under the Loan Documents for the continuation and/or expansion of their combined operations following such consummation, as determined by the Borrower acting in good faith.</w:t>
      </w:r>
    </w:p>
    <w:p>
      <w:pPr>
        <w:spacing w:after="0" w:line="157"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w:t>
      </w:r>
      <w:r>
        <w:rPr>
          <w:rFonts w:ascii="Arial" w:cs="Arial" w:eastAsia="Arial" w:hAnsi="Arial"/>
          <w:sz w:val="19"/>
          <w:szCs w:val="19"/>
          <w:color w:val="auto"/>
        </w:rPr>
        <w:t>” means any Subsidiary (other than an Intermediate Parent or the Borrower) designated by the Borrower as an Unrestricted Subsidiary pursuant to Section 5.13 subsequent to the Closing Date.</w:t>
      </w:r>
    </w:p>
    <w:p>
      <w:pPr>
        <w:spacing w:after="0" w:line="14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USA Patriot Act</w:t>
      </w:r>
      <w:r>
        <w:rPr>
          <w:rFonts w:ascii="Arial" w:cs="Arial" w:eastAsia="Arial" w:hAnsi="Arial"/>
          <w:sz w:val="19"/>
          <w:szCs w:val="19"/>
          <w:color w:val="auto"/>
        </w:rPr>
        <w:t>” means the Uniting and Strengthening America by Providing Appropriate Tools Required to Intercept and Obstruct Terrorism Act of 2001, as amended from time to time.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Unsecured Leverage Test</w:t>
      </w:r>
      <w:r>
        <w:rPr>
          <w:rFonts w:ascii="Arial" w:cs="Arial" w:eastAsia="Arial" w:hAnsi="Arial"/>
          <w:sz w:val="19"/>
          <w:szCs w:val="19"/>
          <w:color w:val="auto"/>
        </w:rPr>
        <w:t>” has the meaning assigned to such term in the definition of “Incremental Cap.”</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VFGM</w:t>
      </w:r>
      <w:r>
        <w:rPr>
          <w:rFonts w:ascii="Arial" w:cs="Arial" w:eastAsia="Arial" w:hAnsi="Arial"/>
          <w:sz w:val="19"/>
          <w:szCs w:val="19"/>
          <w:color w:val="auto"/>
        </w:rPr>
        <w:t>” means Virtu Financial Global Markets LLC, a Delaware limited liability company.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VFI</w:t>
      </w:r>
      <w:r>
        <w:rPr>
          <w:rFonts w:ascii="Arial" w:cs="Arial" w:eastAsia="Arial" w:hAnsi="Arial"/>
          <w:sz w:val="19"/>
          <w:szCs w:val="19"/>
          <w:color w:val="auto"/>
        </w:rPr>
        <w:t>” means Virtu Financial, Inc., a Delaware corporation.</w:t>
      </w:r>
    </w:p>
    <w:p>
      <w:pPr>
        <w:spacing w:after="0" w:line="215"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Stock</w:t>
      </w:r>
      <w:r>
        <w:rPr>
          <w:rFonts w:ascii="Arial" w:cs="Arial" w:eastAsia="Arial" w:hAnsi="Arial"/>
          <w:sz w:val="19"/>
          <w:szCs w:val="19"/>
          <w:color w:val="auto"/>
        </w:rPr>
        <w:t>” of any specified Person as of any date means the Equity Interests of such Person that is at the time entitled to vote in an election of the Board of Directors of Holdings or such Person.</w:t>
      </w:r>
    </w:p>
    <w:p>
      <w:pPr>
        <w:spacing w:after="0" w:line="145" w:lineRule="exact"/>
        <w:rPr>
          <w:sz w:val="20"/>
          <w:szCs w:val="20"/>
          <w:color w:val="auto"/>
        </w:rPr>
      </w:pPr>
    </w:p>
    <w:p>
      <w:pPr>
        <w:jc w:val="both"/>
        <w:ind w:firstLine="63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VV Holders</w:t>
      </w:r>
      <w:r>
        <w:rPr>
          <w:rFonts w:ascii="Arial" w:cs="Arial" w:eastAsia="Arial" w:hAnsi="Arial"/>
          <w:sz w:val="19"/>
          <w:szCs w:val="19"/>
          <w:color w:val="auto"/>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spacing w:after="0" w:line="167" w:lineRule="exact"/>
        <w:rPr>
          <w:sz w:val="20"/>
          <w:szCs w:val="20"/>
          <w:color w:val="auto"/>
        </w:rPr>
      </w:pPr>
    </w:p>
    <w:p>
      <w:pPr>
        <w:jc w:val="both"/>
        <w:ind w:firstLine="63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 Restricted Subsidiary</w:t>
      </w:r>
      <w:r>
        <w:rPr>
          <w:rFonts w:ascii="Arial" w:cs="Arial" w:eastAsia="Arial" w:hAnsi="Arial"/>
          <w:sz w:val="19"/>
          <w:szCs w:val="19"/>
          <w:color w:val="auto"/>
        </w:rPr>
        <w:t>” means any Restricted Subsidiary that is a Wholly Owned Subsidiary of Holdings.</w:t>
      </w:r>
    </w:p>
    <w:p>
      <w:pPr>
        <w:spacing w:after="0" w:line="215" w:lineRule="exact"/>
        <w:rPr>
          <w:sz w:val="20"/>
          <w:szCs w:val="20"/>
          <w:color w:val="auto"/>
        </w:rPr>
      </w:pPr>
    </w:p>
    <w:p>
      <w:pPr>
        <w:jc w:val="both"/>
        <w:ind w:firstLine="63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54"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Withdrawal Liability</w:t>
      </w:r>
      <w:r>
        <w:rPr>
          <w:rFonts w:ascii="Arial" w:cs="Arial" w:eastAsia="Arial" w:hAnsi="Arial"/>
          <w:sz w:val="19"/>
          <w:szCs w:val="19"/>
          <w:color w:val="auto"/>
        </w:rPr>
        <w:t>” means liability to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Classification of Loans and Borrowings.</w:t>
      </w:r>
      <w:r>
        <w:rPr>
          <w:rFonts w:ascii="Arial" w:cs="Arial" w:eastAsia="Arial" w:hAnsi="Arial"/>
          <w:sz w:val="19"/>
          <w:szCs w:val="19"/>
          <w:color w:val="auto"/>
        </w:rPr>
        <w:t xml:space="preserve"> For purposes of this Agreement, Loans and Borrowings may be classified and referred to by Class (e.g., a “</w:t>
      </w:r>
      <w:r>
        <w:rPr>
          <w:rFonts w:ascii="Arial" w:cs="Arial" w:eastAsia="Arial" w:hAnsi="Arial"/>
          <w:sz w:val="19"/>
          <w:szCs w:val="19"/>
          <w:b w:val="1"/>
          <w:bCs w:val="1"/>
          <w:color w:val="auto"/>
        </w:rPr>
        <w:t>Term Loan</w:t>
      </w:r>
      <w:r>
        <w:rPr>
          <w:rFonts w:ascii="Arial" w:cs="Arial" w:eastAsia="Arial" w:hAnsi="Arial"/>
          <w:sz w:val="19"/>
          <w:szCs w:val="19"/>
          <w:color w:val="auto"/>
        </w:rPr>
        <w:t>” or “</w:t>
      </w:r>
      <w:r>
        <w:rPr>
          <w:rFonts w:ascii="Arial" w:cs="Arial" w:eastAsia="Arial" w:hAnsi="Arial"/>
          <w:sz w:val="19"/>
          <w:szCs w:val="19"/>
          <w:b w:val="1"/>
          <w:bCs w:val="1"/>
          <w:color w:val="auto"/>
        </w:rPr>
        <w:t>Revolving Loan</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Loan</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w:t>
      </w:r>
      <w:r>
        <w:rPr>
          <w:rFonts w:ascii="Arial" w:cs="Arial" w:eastAsia="Arial" w:hAnsi="Arial"/>
          <w:sz w:val="19"/>
          <w:szCs w:val="19"/>
          <w:color w:val="auto"/>
        </w:rPr>
        <w:t xml:space="preserve"> </w:t>
      </w:r>
      <w:r>
        <w:rPr>
          <w:rFonts w:ascii="Arial" w:cs="Arial" w:eastAsia="Arial" w:hAnsi="Arial"/>
          <w:sz w:val="19"/>
          <w:szCs w:val="19"/>
          <w:b w:val="1"/>
          <w:bCs w:val="1"/>
          <w:color w:val="auto"/>
        </w:rPr>
        <w:t>Term Loan</w:t>
      </w:r>
      <w:r>
        <w:rPr>
          <w:rFonts w:ascii="Arial" w:cs="Arial" w:eastAsia="Arial" w:hAnsi="Arial"/>
          <w:sz w:val="19"/>
          <w:szCs w:val="19"/>
          <w:color w:val="auto"/>
        </w:rPr>
        <w:t>” or “</w:t>
      </w:r>
      <w:r>
        <w:rPr>
          <w:rFonts w:ascii="Arial" w:cs="Arial" w:eastAsia="Arial" w:hAnsi="Arial"/>
          <w:sz w:val="19"/>
          <w:szCs w:val="19"/>
          <w:b w:val="1"/>
          <w:bCs w:val="1"/>
          <w:color w:val="auto"/>
        </w:rPr>
        <w:t>ABR Revolving Loan</w:t>
      </w:r>
      <w:r>
        <w:rPr>
          <w:rFonts w:ascii="Arial" w:cs="Arial" w:eastAsia="Arial" w:hAnsi="Arial"/>
          <w:sz w:val="19"/>
          <w:szCs w:val="19"/>
          <w:color w:val="auto"/>
        </w:rPr>
        <w:t>”). Borrowings also may be classified and referred to by Class (e.g., a “</w:t>
      </w:r>
      <w:r>
        <w:rPr>
          <w:rFonts w:ascii="Arial" w:cs="Arial" w:eastAsia="Arial" w:hAnsi="Arial"/>
          <w:sz w:val="19"/>
          <w:szCs w:val="19"/>
          <w:b w:val="1"/>
          <w:bCs w:val="1"/>
          <w:color w:val="auto"/>
        </w:rPr>
        <w:t>Term Borrowing</w:t>
      </w:r>
      <w:r>
        <w:rPr>
          <w:rFonts w:ascii="Arial" w:cs="Arial" w:eastAsia="Arial" w:hAnsi="Arial"/>
          <w:sz w:val="19"/>
          <w:szCs w:val="19"/>
          <w:color w:val="auto"/>
        </w:rPr>
        <w:t>” or “</w:t>
      </w:r>
      <w:r>
        <w:rPr>
          <w:rFonts w:ascii="Arial" w:cs="Arial" w:eastAsia="Arial" w:hAnsi="Arial"/>
          <w:sz w:val="19"/>
          <w:szCs w:val="19"/>
          <w:b w:val="1"/>
          <w:bCs w:val="1"/>
          <w:color w:val="auto"/>
        </w:rPr>
        <w:t>Revolving Borrowing</w:t>
      </w:r>
      <w:r>
        <w:rPr>
          <w:rFonts w:ascii="Arial" w:cs="Arial" w:eastAsia="Arial" w:hAnsi="Arial"/>
          <w:sz w:val="19"/>
          <w:szCs w:val="19"/>
          <w:color w:val="auto"/>
        </w:rPr>
        <w:t>”) or by Type (e.g., a “</w:t>
      </w:r>
      <w:r>
        <w:rPr>
          <w:rFonts w:ascii="Arial" w:cs="Arial" w:eastAsia="Arial" w:hAnsi="Arial"/>
          <w:sz w:val="19"/>
          <w:szCs w:val="19"/>
          <w:b w:val="1"/>
          <w:bCs w:val="1"/>
          <w:color w:val="auto"/>
        </w:rPr>
        <w:t>Eurodollar Borrowing</w:t>
      </w:r>
      <w:r>
        <w:rPr>
          <w:rFonts w:ascii="Arial" w:cs="Arial" w:eastAsia="Arial" w:hAnsi="Arial"/>
          <w:sz w:val="19"/>
          <w:szCs w:val="19"/>
          <w:color w:val="auto"/>
        </w:rPr>
        <w:t>”) or by Class and Type (e.g., a “</w:t>
      </w:r>
      <w:r>
        <w:rPr>
          <w:rFonts w:ascii="Arial" w:cs="Arial" w:eastAsia="Arial" w:hAnsi="Arial"/>
          <w:sz w:val="19"/>
          <w:szCs w:val="19"/>
          <w:b w:val="1"/>
          <w:bCs w:val="1"/>
          <w:color w:val="auto"/>
        </w:rPr>
        <w:t>Eurodollar Term Borrowing</w:t>
      </w:r>
      <w:r>
        <w:rPr>
          <w:rFonts w:ascii="Arial" w:cs="Arial" w:eastAsia="Arial" w:hAnsi="Arial"/>
          <w:sz w:val="19"/>
          <w:szCs w:val="19"/>
          <w:color w:val="auto"/>
        </w:rPr>
        <w:t>” or “</w:t>
      </w:r>
      <w:r>
        <w:rPr>
          <w:rFonts w:ascii="Arial" w:cs="Arial" w:eastAsia="Arial" w:hAnsi="Arial"/>
          <w:sz w:val="19"/>
          <w:szCs w:val="19"/>
          <w:b w:val="1"/>
          <w:bCs w:val="1"/>
          <w:color w:val="auto"/>
        </w:rPr>
        <w:t>ABR Revolving Borrowing</w:t>
      </w:r>
      <w:r>
        <w:rPr>
          <w:rFonts w:ascii="Arial" w:cs="Arial" w:eastAsia="Arial" w:hAnsi="Arial"/>
          <w:sz w:val="19"/>
          <w:szCs w:val="19"/>
          <w:color w:val="auto"/>
        </w:rPr>
        <w:t>”).</w:t>
      </w:r>
    </w:p>
    <w:p>
      <w:pPr>
        <w:spacing w:after="0" w:line="178"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Terms Generally.</w:t>
      </w:r>
      <w:r>
        <w:rPr>
          <w:rFonts w:ascii="Arial" w:cs="Arial" w:eastAsia="Arial" w:hAnsi="Arial"/>
          <w:sz w:val="17"/>
          <w:szCs w:val="17"/>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w:t>
      </w:r>
    </w:p>
    <w:p>
      <w:pPr>
        <w:sectPr>
          <w:pgSz w:w="11900" w:h="16952" w:orient="portrait"/>
          <w:cols w:equalWidth="0" w:num="1">
            <w:col w:w="11420"/>
          </w:cols>
          <w:pgMar w:left="240" w:top="195" w:right="239" w:bottom="0" w:gutter="0" w:footer="0" w:header="0"/>
        </w:sectPr>
      </w:pPr>
    </w:p>
    <w:bookmarkStart w:id="119" w:name="page120"/>
    <w:bookmarkEnd w:id="119"/>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9"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Borrower notifies the Administrative Agent that the Borrower requests an amendment to 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w:t>
      </w:r>
    </w:p>
    <w:p>
      <w:pPr>
        <w:spacing w:after="0" w:line="156"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Effectuation of Transactions.</w:t>
      </w:r>
      <w:r>
        <w:rPr>
          <w:rFonts w:ascii="Arial" w:cs="Arial" w:eastAsia="Arial" w:hAnsi="Arial"/>
          <w:sz w:val="19"/>
          <w:szCs w:val="19"/>
          <w:color w:val="auto"/>
        </w:rPr>
        <w:t xml:space="preserve"> 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w:t>
      </w:r>
    </w:p>
    <w:p>
      <w:pPr>
        <w:spacing w:after="0" w:line="178"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Currency Translation.</w:t>
      </w:r>
      <w:r>
        <w:rPr>
          <w:rFonts w:ascii="Arial" w:cs="Arial" w:eastAsia="Arial" w:hAnsi="Arial"/>
          <w:sz w:val="18"/>
          <w:szCs w:val="18"/>
          <w:color w:val="auto"/>
        </w:rPr>
        <w:t xml:space="preserve"> Notwithstanding the foregoing, for purposes of any determination under Article 5, Article 6 (other than the Financial Performance Covenant) or Article 7 or any determination under any other provision of this Agreement expressly requiring the use of a currency exchange rate, all amounts incurred, outstanding or proposed to be incurred or outstanding in currencies other than dollars shall be translated into dollars at currency exchange rates in effect on the date of such determination;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avoidance of doubt, the foregoing provisions of this Section 1.06 shall otherwise apply to such Sections, including with respect to determining whether any Indebtedness or Investment may be incurred or Disposition or Restricted Payment made at any time under such Sections. For purposes of the Financial Performance Covenant, amounts in currencies other than dollars shall be translated into dollars at the currency exchange rates used in preparing the most recently delivered financial statements pursuant to Section 5.01(a) or (b).</w:t>
      </w:r>
    </w:p>
    <w:p>
      <w:pPr>
        <w:spacing w:after="0" w:line="169"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8"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Limited Condition Acquisitions</w:t>
      </w:r>
      <w:r>
        <w:rPr>
          <w:rFonts w:ascii="Arial" w:cs="Arial" w:eastAsia="Arial" w:hAnsi="Arial"/>
          <w:sz w:val="18"/>
          <w:szCs w:val="18"/>
          <w:color w:val="auto"/>
        </w:rPr>
        <w:t xml:space="preserve">. Notwithstanding anything to the contrary contained herein, for purposes of (a)(i) measuring the relevant ratios and baskets, (ii) determining whether a Default or Event of Default (other than any Default under Section 7.01(a), (b), (h) or (i)) exists or would be caused thereby and (iii) determining the accuracy of any representation or warranty, in each case solely with respect to the incurrence of any Incremental Facility or Indebtedness under Section 6.01(a)(viii), Section 6.01(a)(ix) or Section 6.01(a)(xxii) for the purpose of financing a Limited Condition Acquisition, or (b) determining whether the Limited Condition Acquisition is permitted under this Agreement, compliance with any such ratio, basket or other test hereunder on a Pro Forma Basis with respect to the incurrence of any such Indebtedness or the consummation of such Limited Condition Acquisition may be determined, at the option of the Borrower, either (i) at the time of entry into the applicable acquisition agreement or (ii) at the time of incurrence of such Indebtedness or the consummation of such Limited Condition Acquisition;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Borrower elects to have such determination occur at the time of entry into the applicable acquisition agreement,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to be incurred shall be deemed incurred at the time of such determination and outstanding thereafter, and such Limited Condition Acquisition will be deemed to have been consummated for four complete fiscal quarters, and be given pro forma effect, for purposes of determining compliance on a Pro Forma Basis with any applicable ratio, basket or other test with respect thereto and in connection with the incurrence of any other Indebtedness (other than under such Incremental Facility or Indebtedness under Section 6.01(a)(viii), Section 6.01(a)(ix) or Section 6.01(a) (xxii), which shall remain subject to the terms thereof with respect to the impact, if any, of a Limited Condition Acquisition) or Liens, or the making of any other Investments, Dispositions or fundamental changes (A) until such time as such acquisition agreement is terminated without actually consummating such Limited Condition Acquisition, in which case such Incremental Facility or other applicable Indebtedness will not be treated as having been incurred and such Limited Condition Acquisition will not be treated as having occurred or (B) until such time as such Limited Condition Acquisition is consummated, in which case the actual Incremental Facility or other applicable Indebtedness shall be deemed incurred and outstanding and such acquisition will be deemed to be consummated for purposes of determining compliance on a Pro Forma Basis with any applicable ratio, test or other basket.</w:t>
      </w: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CREDITS</w:t>
      </w:r>
    </w:p>
    <w:p>
      <w:pPr>
        <w:spacing w:after="0" w:line="22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2.01.</w:t>
      </w:r>
      <w:r>
        <w:rPr>
          <w:sz w:val="20"/>
          <w:szCs w:val="20"/>
          <w:color w:val="auto"/>
        </w:rPr>
        <w:tab/>
      </w:r>
      <w:r>
        <w:rPr>
          <w:rFonts w:ascii="Arial" w:cs="Arial" w:eastAsia="Arial" w:hAnsi="Arial"/>
          <w:sz w:val="17"/>
          <w:szCs w:val="17"/>
          <w:i w:val="1"/>
          <w:iCs w:val="1"/>
          <w:color w:val="auto"/>
        </w:rPr>
        <w:t xml:space="preserve">Commitments. </w:t>
      </w:r>
      <w:r>
        <w:rPr>
          <w:rFonts w:ascii="Arial" w:cs="Arial" w:eastAsia="Arial" w:hAnsi="Arial"/>
          <w:sz w:val="17"/>
          <w:szCs w:val="17"/>
          <w:color w:val="auto"/>
        </w:rPr>
        <w:t>Subject to the terms and conditions set forth herein:</w:t>
      </w:r>
    </w:p>
    <w:p>
      <w:pPr>
        <w:spacing w:after="0" w:line="209" w:lineRule="exact"/>
        <w:rPr>
          <w:sz w:val="20"/>
          <w:szCs w:val="20"/>
          <w:color w:val="auto"/>
        </w:rPr>
      </w:pPr>
    </w:p>
    <w:p>
      <w:pPr>
        <w:jc w:val="both"/>
        <w:ind w:firstLine="635"/>
        <w:spacing w:after="0" w:line="287" w:lineRule="auto"/>
        <w:tabs>
          <w:tab w:leader="none" w:pos="1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Lender with an Initial Term Commitment (each, an “</w:t>
      </w:r>
      <w:r>
        <w:rPr>
          <w:rFonts w:ascii="Arial" w:cs="Arial" w:eastAsia="Arial" w:hAnsi="Arial"/>
          <w:sz w:val="17"/>
          <w:szCs w:val="17"/>
          <w:b w:val="1"/>
          <w:bCs w:val="1"/>
          <w:color w:val="auto"/>
        </w:rPr>
        <w:t>Initial Term Lender</w:t>
      </w:r>
      <w:r>
        <w:rPr>
          <w:rFonts w:ascii="Arial" w:cs="Arial" w:eastAsia="Arial" w:hAnsi="Arial"/>
          <w:sz w:val="17"/>
          <w:szCs w:val="17"/>
          <w:color w:val="auto"/>
        </w:rPr>
        <w:t xml:space="preserve">”) severally agrees to make Term Loans to the Acquisition Borrower and the Refinancing Borrower in an aggregate principal amount of all such Term Loans equal to the amount of such Lender’s Initial Term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allocated to the Acquisition Borrower and the amount allocated to the Refinancing Borrower shall be ratably apportioned to such Lenders based on the aggregate amount of Acquisition Term Loans and aggregate amount of Refinancing Term Loans, as indicated in the definitions thereof. Each such Lender, the Acquisition Borrower, the Refinancing Borrower and all other parties hereto further agree that immediately following the Asset Contribution on the Closing Date, (i) the Refinancing Borrower shall assume all the obligations</w:t>
      </w:r>
    </w:p>
    <w:p>
      <w:pPr>
        <w:sectPr>
          <w:pgSz w:w="11900" w:h="16865" w:orient="portrait"/>
          <w:cols w:equalWidth="0" w:num="1">
            <w:col w:w="11420"/>
          </w:cols>
          <w:pgMar w:left="240" w:top="121" w:right="239" w:bottom="0" w:gutter="0" w:footer="0" w:header="0"/>
        </w:sectPr>
      </w:pPr>
    </w:p>
    <w:bookmarkStart w:id="120" w:name="page121"/>
    <w:bookmarkEnd w:id="120"/>
    <w:p>
      <w:pPr>
        <w:jc w:val="both"/>
        <w:spacing w:after="0" w:line="252" w:lineRule="auto"/>
        <w:rPr>
          <w:sz w:val="20"/>
          <w:szCs w:val="20"/>
          <w:color w:val="auto"/>
        </w:rPr>
      </w:pPr>
      <w:r>
        <w:rPr>
          <w:rFonts w:ascii="Arial" w:cs="Arial" w:eastAsia="Arial" w:hAnsi="Arial"/>
          <w:sz w:val="19"/>
          <w:szCs w:val="19"/>
          <w:color w:val="auto"/>
        </w:rPr>
        <w:t>of the Acquisition Borrower with respect to the Acquisition Term Loans (whereupon the Acquisition Borrower will no longer be a Borrower hereunder but will remain a Guarantor hereunder and under the other Loan Documents), (ii) the outstanding principal amount of the Acquisition Term Loans shall be automatically converted into Term Loans of the same Class as the Refinancing Term Loans and (iii) such combined Class of Term Loans (as so combined, the “</w:t>
      </w:r>
      <w:r>
        <w:rPr>
          <w:rFonts w:ascii="Arial" w:cs="Arial" w:eastAsia="Arial" w:hAnsi="Arial"/>
          <w:sz w:val="19"/>
          <w:szCs w:val="19"/>
          <w:b w:val="1"/>
          <w:bCs w:val="1"/>
          <w:color w:val="auto"/>
        </w:rPr>
        <w:t>Initial Term Loans</w:t>
      </w:r>
      <w:r>
        <w:rPr>
          <w:rFonts w:ascii="Arial" w:cs="Arial" w:eastAsia="Arial" w:hAnsi="Arial"/>
          <w:sz w:val="19"/>
          <w:szCs w:val="19"/>
          <w:color w:val="auto"/>
        </w:rPr>
        <w:t>”) shall constitute one fungible Class of Term Loans (including for U.S. Federal income tax purposes).</w:t>
      </w:r>
    </w:p>
    <w:p>
      <w:pPr>
        <w:spacing w:after="0" w:line="180" w:lineRule="exact"/>
        <w:rPr>
          <w:sz w:val="20"/>
          <w:szCs w:val="20"/>
          <w:color w:val="auto"/>
        </w:rPr>
      </w:pPr>
    </w:p>
    <w:p>
      <w:pPr>
        <w:ind w:firstLine="635"/>
        <w:spacing w:after="0" w:line="303" w:lineRule="auto"/>
        <w:tabs>
          <w:tab w:leader="none" w:pos="10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Revolving Lender agrees to make Revolving Loans to the Borrower from time to time during the Revolving Availability Period in an aggregate principal amount which will not result in such Lender’s Revolving Exposure exceeding such Lender’s Revolving Commitment.</w:t>
      </w:r>
    </w:p>
    <w:p>
      <w:pPr>
        <w:spacing w:after="0" w:line="127" w:lineRule="exact"/>
        <w:rPr>
          <w:rFonts w:ascii="Arial" w:cs="Arial" w:eastAsia="Arial" w:hAnsi="Arial"/>
          <w:sz w:val="18"/>
          <w:szCs w:val="18"/>
          <w:color w:val="auto"/>
        </w:rPr>
      </w:pPr>
    </w:p>
    <w:p>
      <w:pPr>
        <w:ind w:firstLine="635"/>
        <w:spacing w:after="0" w:line="281" w:lineRule="auto"/>
        <w:tabs>
          <w:tab w:leader="none" w:pos="112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Swingline Lender agrees to make Loans (the “</w:t>
      </w:r>
      <w:r>
        <w:rPr>
          <w:rFonts w:ascii="Arial" w:cs="Arial" w:eastAsia="Arial" w:hAnsi="Arial"/>
          <w:sz w:val="19"/>
          <w:szCs w:val="19"/>
          <w:b w:val="1"/>
          <w:bCs w:val="1"/>
          <w:color w:val="auto"/>
        </w:rPr>
        <w:t>Swingline Loans</w:t>
      </w:r>
      <w:r>
        <w:rPr>
          <w:rFonts w:ascii="Arial" w:cs="Arial" w:eastAsia="Arial" w:hAnsi="Arial"/>
          <w:sz w:val="19"/>
          <w:szCs w:val="19"/>
          <w:color w:val="auto"/>
        </w:rPr>
        <w:t>”) to the Borrower from time to time during the Revolving Availability Period in accordance with Section 2.23.</w:t>
      </w:r>
    </w:p>
    <w:p>
      <w:pPr>
        <w:spacing w:after="0" w:line="150" w:lineRule="exact"/>
        <w:rPr>
          <w:rFonts w:ascii="Arial" w:cs="Arial" w:eastAsia="Arial" w:hAnsi="Arial"/>
          <w:sz w:val="19"/>
          <w:szCs w:val="19"/>
          <w:color w:val="auto"/>
        </w:rPr>
      </w:pPr>
    </w:p>
    <w:p>
      <w:pPr>
        <w:ind w:firstLine="635"/>
        <w:spacing w:after="0" w:line="274" w:lineRule="auto"/>
        <w:tabs>
          <w:tab w:leader="none" w:pos="1068" w:val="left"/>
        </w:tabs>
        <w:numPr>
          <w:ilvl w:val="0"/>
          <w:numId w:val="48"/>
        </w:numPr>
        <w:rPr>
          <w:rFonts w:ascii="Arial" w:cs="Arial" w:eastAsia="Arial" w:hAnsi="Arial"/>
          <w:sz w:val="19"/>
          <w:szCs w:val="19"/>
          <w:color w:val="auto"/>
        </w:rPr>
      </w:pPr>
      <w:r>
        <w:rPr>
          <w:rFonts w:ascii="Arial" w:cs="Arial" w:eastAsia="Arial" w:hAnsi="Arial"/>
          <w:sz w:val="19"/>
          <w:szCs w:val="19"/>
          <w:color w:val="auto"/>
        </w:rPr>
        <w:t>Within the foregoing limits and subject to the terms and conditions set forth herein, the Borrower may borrow, prepay and reborrow Revolving Loans. Amounts repaid or prepaid in respect of Term Loans may not be reborrowed.</w:t>
      </w:r>
    </w:p>
    <w:p>
      <w:pPr>
        <w:spacing w:after="0" w:line="15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2.02.</w:t>
      </w:r>
      <w:r>
        <w:rPr>
          <w:sz w:val="20"/>
          <w:szCs w:val="20"/>
          <w:color w:val="auto"/>
        </w:rPr>
        <w:tab/>
      </w:r>
      <w:r>
        <w:rPr>
          <w:rFonts w:ascii="Arial" w:cs="Arial" w:eastAsia="Arial" w:hAnsi="Arial"/>
          <w:sz w:val="17"/>
          <w:szCs w:val="17"/>
          <w:i w:val="1"/>
          <w:iCs w:val="1"/>
          <w:color w:val="auto"/>
        </w:rPr>
        <w:t>Loans and Borrowings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73" w:lineRule="auto"/>
        <w:tabs>
          <w:tab w:leader="none" w:pos="10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hereby.</w:t>
      </w:r>
    </w:p>
    <w:p>
      <w:pPr>
        <w:spacing w:after="0" w:line="160" w:lineRule="exact"/>
        <w:rPr>
          <w:rFonts w:ascii="Arial" w:cs="Arial" w:eastAsia="Arial" w:hAnsi="Arial"/>
          <w:sz w:val="18"/>
          <w:szCs w:val="18"/>
          <w:color w:val="auto"/>
        </w:rPr>
      </w:pPr>
    </w:p>
    <w:p>
      <w:pPr>
        <w:jc w:val="both"/>
        <w:ind w:firstLine="635"/>
        <w:spacing w:after="0" w:line="286" w:lineRule="auto"/>
        <w:tabs>
          <w:tab w:leader="none" w:pos="10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Subject to Section 2.12, each Borrowing shall be comprised entirely of ABR Loans or Eurodollar Loans as the Borrower may request in accordance 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Borrowings made on the Closing Date must be made as ABR Borrowings unless the Borrower shall have given the notice required for a Eurodollar Borrowing made on the Closing Date under Section 2.03 and provided an indemnity letter extending the benefits of Section 2.14 to Lenders in respect of such Borrowings;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Swingline Loan shall be an ABR Loan. Each Lender at its option may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51" w:lineRule="exact"/>
        <w:rPr>
          <w:rFonts w:ascii="Arial" w:cs="Arial" w:eastAsia="Arial" w:hAnsi="Arial"/>
          <w:sz w:val="17"/>
          <w:szCs w:val="17"/>
          <w:color w:val="auto"/>
        </w:rPr>
      </w:pPr>
    </w:p>
    <w:p>
      <w:pPr>
        <w:jc w:val="both"/>
        <w:ind w:firstLine="635"/>
        <w:spacing w:after="0" w:line="282" w:lineRule="auto"/>
        <w:tabs>
          <w:tab w:leader="none" w:pos="10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$1,000,000 and not less than $5,000,000;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not at any time be more than a total of six Eurodollar Borrowings outstanding. Notwithstanding anything to the contrary herein, an ABR Revolving Borrowing (including a Borrowing of Swingline Loans) may be in an aggregate amount which is equal to the entire unused balance of the Total Revolving Commitments (and/or the Swingline Commitments, as applicable) or that is required to finance the reimbursement of an LC Disbursement as contemplated by Section 2.22.</w:t>
      </w:r>
    </w:p>
    <w:p>
      <w:pPr>
        <w:spacing w:after="0" w:line="157" w:lineRule="exact"/>
        <w:rPr>
          <w:sz w:val="20"/>
          <w:szCs w:val="20"/>
          <w:color w:val="auto"/>
        </w:rPr>
      </w:pPr>
    </w:p>
    <w:p>
      <w:pPr>
        <w:jc w:val="both"/>
        <w:ind w:firstLine="630"/>
        <w:spacing w:after="0" w:line="248"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Requests for Borrowings.</w:t>
      </w:r>
      <w:r>
        <w:rPr>
          <w:rFonts w:ascii="Arial" w:cs="Arial" w:eastAsia="Arial" w:hAnsi="Arial"/>
          <w:sz w:val="19"/>
          <w:szCs w:val="19"/>
          <w:color w:val="auto"/>
        </w:rPr>
        <w:t xml:space="preserve"> To request a Borrowing, the Borrower shall notify the Administrative Agent of such request by telephone (a) in the case of a Eurodollar Borrowing, not later than 2:00 p.m., New York City time, three Business Days before the date of the proposed Borrowing (or, in the case of any Eurodollar Borrowing to be made on the Closing Date, such shorter period of time as may be agreed to by the Administrative Agent), (b) (i) in the case of an ABR Term Borrowing, not later than 2:00 p.m., New York City time, one Business Day before the date of the proposed Borrowing and (ii) in the case of an ABR Revolving Borrowing, not later than 2:00 p.m., New York City time, on the date of the proposed Borrowing or (c) in the case of a Borrowing of Swingline Loans, in accordance with Section 2.23. Each such telephonic Borrowing Request shall be irrevocable and shall be confirmed promptly by hand delivery or facsimile to the Administrative Agent of a written Borrowing Request signed by the Borrower substantially in the form of Exhibit T. Each such telephonic and written Borrowing Request shall specify the following information:</w:t>
      </w:r>
    </w:p>
    <w:p>
      <w:pPr>
        <w:spacing w:after="0" w:line="186" w:lineRule="exact"/>
        <w:rPr>
          <w:sz w:val="20"/>
          <w:szCs w:val="20"/>
          <w:color w:val="auto"/>
        </w:rPr>
      </w:pPr>
    </w:p>
    <w:p>
      <w:pPr>
        <w:ind w:left="1860" w:hanging="359"/>
        <w:spacing w:after="0"/>
        <w:tabs>
          <w:tab w:leader="none" w:pos="18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Class of such Borrowing;</w:t>
      </w:r>
    </w:p>
    <w:p>
      <w:pPr>
        <w:spacing w:after="0" w:line="214" w:lineRule="exact"/>
        <w:rPr>
          <w:rFonts w:ascii="Arial" w:cs="Arial" w:eastAsia="Arial" w:hAnsi="Arial"/>
          <w:sz w:val="19"/>
          <w:szCs w:val="19"/>
          <w:color w:val="auto"/>
        </w:rPr>
      </w:pPr>
    </w:p>
    <w:p>
      <w:pPr>
        <w:ind w:left="1920" w:hanging="419"/>
        <w:spacing w:after="0"/>
        <w:tabs>
          <w:tab w:leader="none" w:pos="19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aggregate amount of such Borrowing;</w:t>
      </w:r>
    </w:p>
    <w:p>
      <w:pPr>
        <w:spacing w:after="0" w:line="214" w:lineRule="exact"/>
        <w:rPr>
          <w:rFonts w:ascii="Arial" w:cs="Arial" w:eastAsia="Arial" w:hAnsi="Arial"/>
          <w:sz w:val="19"/>
          <w:szCs w:val="19"/>
          <w:color w:val="auto"/>
        </w:rPr>
      </w:pPr>
    </w:p>
    <w:p>
      <w:pPr>
        <w:ind w:left="1960" w:hanging="459"/>
        <w:spacing w:after="0"/>
        <w:tabs>
          <w:tab w:leader="none" w:pos="19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date of such Borrowing, which shall be a Business Day;</w:t>
      </w:r>
    </w:p>
    <w:p>
      <w:pPr>
        <w:spacing w:after="0" w:line="214" w:lineRule="exact"/>
        <w:rPr>
          <w:rFonts w:ascii="Arial" w:cs="Arial" w:eastAsia="Arial" w:hAnsi="Arial"/>
          <w:sz w:val="19"/>
          <w:szCs w:val="19"/>
          <w:color w:val="auto"/>
        </w:rPr>
      </w:pPr>
    </w:p>
    <w:p>
      <w:pPr>
        <w:ind w:left="2080" w:hanging="579"/>
        <w:spacing w:after="0"/>
        <w:tabs>
          <w:tab w:leader="none" w:pos="20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whether such Borrowing is to be an ABR Borrowing or (except for Borrowings of Swingline Loans) a Eurodollar</w:t>
      </w:r>
    </w:p>
    <w:p>
      <w:pPr>
        <w:spacing w:after="0" w:line="20"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Borrowing;</w:t>
      </w:r>
    </w:p>
    <w:p>
      <w:pPr>
        <w:spacing w:after="0" w:line="198" w:lineRule="exact"/>
        <w:rPr>
          <w:rFonts w:ascii="Arial" w:cs="Arial" w:eastAsia="Arial" w:hAnsi="Arial"/>
          <w:sz w:val="19"/>
          <w:szCs w:val="19"/>
          <w:color w:val="auto"/>
        </w:rPr>
      </w:pPr>
    </w:p>
    <w:p>
      <w:pPr>
        <w:ind w:left="640" w:firstLine="861"/>
        <w:spacing w:after="0" w:line="274" w:lineRule="auto"/>
        <w:tabs>
          <w:tab w:leader="none" w:pos="205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the case of a Eurodollar Borrowing, the initial Interest Period to be applicable thereto, which shall be a period contemplated by the definition of the term “Interest Period”;</w:t>
      </w:r>
    </w:p>
    <w:p>
      <w:pPr>
        <w:spacing w:after="0" w:line="157" w:lineRule="exact"/>
        <w:rPr>
          <w:rFonts w:ascii="Arial" w:cs="Arial" w:eastAsia="Arial" w:hAnsi="Arial"/>
          <w:sz w:val="19"/>
          <w:szCs w:val="19"/>
          <w:color w:val="auto"/>
        </w:rPr>
      </w:pPr>
    </w:p>
    <w:p>
      <w:pPr>
        <w:jc w:val="both"/>
        <w:ind w:left="640" w:firstLine="861"/>
        <w:spacing w:after="0" w:line="304" w:lineRule="auto"/>
        <w:tabs>
          <w:tab w:leader="none" w:pos="20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location and number of the Borrower’s account to which funds are to be disbursed, which shall comply with the requirements of Section 2.04, or, in the case of any ABR Revolving Borrowing or Swingline Loan requested to finance the reimbursement of an LC Disbursement as provided in Section 2.22, the identity of the Issuing Bank that made such LC Disbursement; and</w:t>
      </w:r>
    </w:p>
    <w:p>
      <w:pPr>
        <w:spacing w:after="0" w:line="136" w:lineRule="exact"/>
        <w:rPr>
          <w:rFonts w:ascii="Arial" w:cs="Arial" w:eastAsia="Arial" w:hAnsi="Arial"/>
          <w:sz w:val="17"/>
          <w:szCs w:val="17"/>
          <w:color w:val="auto"/>
        </w:rPr>
      </w:pPr>
    </w:p>
    <w:p>
      <w:pPr>
        <w:ind w:left="640" w:firstLine="861"/>
        <w:spacing w:after="0" w:line="274" w:lineRule="auto"/>
        <w:tabs>
          <w:tab w:leader="none" w:pos="205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that as of the date of such Borrowing, all applicable conditions set forth in Section 4.02(a), Section 4.02(b) and Section 4.02(c) are satisfied.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2.03, the Administrative Agent shall advise each Lender of the applicable Class of the details thereof and of the amount of such Lender’s Loan to be made as part of the requested Borrowing.</w:t>
      </w:r>
    </w:p>
    <w:p>
      <w:pPr>
        <w:spacing w:after="0" w:line="17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2.04.</w:t>
      </w:r>
      <w:r>
        <w:rPr>
          <w:sz w:val="20"/>
          <w:szCs w:val="20"/>
          <w:color w:val="auto"/>
        </w:rPr>
        <w:tab/>
      </w:r>
      <w:r>
        <w:rPr>
          <w:rFonts w:ascii="Arial" w:cs="Arial" w:eastAsia="Arial" w:hAnsi="Arial"/>
          <w:sz w:val="17"/>
          <w:szCs w:val="17"/>
          <w:i w:val="1"/>
          <w:iCs w:val="1"/>
          <w:color w:val="auto"/>
        </w:rPr>
        <w:t>Funding of Borrowings</w:t>
      </w:r>
      <w:r>
        <w:rPr>
          <w:rFonts w:ascii="Arial" w:cs="Arial" w:eastAsia="Arial" w:hAnsi="Arial"/>
          <w:sz w:val="17"/>
          <w:szCs w:val="17"/>
          <w:color w:val="auto"/>
        </w:rPr>
        <w:t>.</w:t>
      </w:r>
    </w:p>
    <w:p>
      <w:pPr>
        <w:sectPr>
          <w:pgSz w:w="11900" w:h="16838" w:orient="portrait"/>
          <w:cols w:equalWidth="0" w:num="1">
            <w:col w:w="11420"/>
          </w:cols>
          <w:pgMar w:left="240" w:top="121" w:right="239" w:bottom="0" w:gutter="0" w:footer="0" w:header="0"/>
        </w:sectPr>
      </w:pPr>
    </w:p>
    <w:bookmarkStart w:id="121" w:name="page122"/>
    <w:bookmarkEnd w:id="121"/>
    <w:p>
      <w:pPr>
        <w:jc w:val="both"/>
        <w:ind w:firstLine="635"/>
        <w:spacing w:after="0" w:line="280" w:lineRule="auto"/>
        <w:tabs>
          <w:tab w:leader="none" w:pos="10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Swingline Loans shall be made as provided in Section 2.23. The Administrative Agent will make such Loans available to the Borrower by promptly crediting the amounts so received, in like funds, to an account designated by the Borrower in the applicable Borrowing Request (or, in the case of Refinancing Term Loans and Acquisition Term Loans on the Closing Date, to the accounts designated by the applicable Borrower in its Borrowing Request (which may be a combined Borrowing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ABR Revolving Loans or Swingline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spacing w:after="0" w:line="161" w:lineRule="exact"/>
        <w:rPr>
          <w:rFonts w:ascii="Arial" w:cs="Arial" w:eastAsia="Arial" w:hAnsi="Arial"/>
          <w:sz w:val="17"/>
          <w:szCs w:val="17"/>
          <w:color w:val="auto"/>
        </w:rPr>
      </w:pPr>
    </w:p>
    <w:p>
      <w:pPr>
        <w:jc w:val="both"/>
        <w:ind w:firstLine="635"/>
        <w:spacing w:after="0" w:line="262"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2.04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72" w:lineRule="exact"/>
        <w:rPr>
          <w:rFonts w:ascii="Arial" w:cs="Arial" w:eastAsia="Arial" w:hAnsi="Arial"/>
          <w:sz w:val="18"/>
          <w:szCs w:val="18"/>
          <w:color w:val="auto"/>
        </w:rPr>
      </w:pPr>
    </w:p>
    <w:p>
      <w:pPr>
        <w:jc w:val="both"/>
        <w:ind w:firstLine="635"/>
        <w:spacing w:after="0" w:line="252" w:lineRule="auto"/>
        <w:tabs>
          <w:tab w:leader="none" w:pos="103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obligations of the Lenders hereunder to make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7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2.05.</w:t>
      </w:r>
      <w:r>
        <w:rPr>
          <w:sz w:val="20"/>
          <w:szCs w:val="20"/>
          <w:color w:val="auto"/>
        </w:rPr>
        <w:tab/>
      </w:r>
      <w:r>
        <w:rPr>
          <w:rFonts w:ascii="Arial" w:cs="Arial" w:eastAsia="Arial" w:hAnsi="Arial"/>
          <w:sz w:val="17"/>
          <w:szCs w:val="17"/>
          <w:i w:val="1"/>
          <w:iCs w:val="1"/>
          <w:color w:val="auto"/>
        </w:rPr>
        <w:t>Interest Elections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0" w:lineRule="auto"/>
        <w:tabs>
          <w:tab w:leader="none" w:pos="1031"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Borrowing initially shall be of the Type specified in the applicable Borrowing Request or 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2.05 shall not apply to Swingline Loans, which may not be converted or continued.</w:t>
      </w:r>
    </w:p>
    <w:p>
      <w:pPr>
        <w:spacing w:after="0" w:line="178" w:lineRule="exact"/>
        <w:rPr>
          <w:rFonts w:ascii="Arial" w:cs="Arial" w:eastAsia="Arial" w:hAnsi="Arial"/>
          <w:sz w:val="19"/>
          <w:szCs w:val="19"/>
          <w:color w:val="auto"/>
        </w:rPr>
      </w:pPr>
    </w:p>
    <w:p>
      <w:pPr>
        <w:jc w:val="both"/>
        <w:ind w:firstLine="635"/>
        <w:spacing w:after="0" w:line="252" w:lineRule="auto"/>
        <w:tabs>
          <w:tab w:leader="none" w:pos="1042" w:val="left"/>
        </w:tabs>
        <w:numPr>
          <w:ilvl w:val="0"/>
          <w:numId w:val="52"/>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178" w:lineRule="exact"/>
        <w:rPr>
          <w:rFonts w:ascii="Arial" w:cs="Arial" w:eastAsia="Arial" w:hAnsi="Arial"/>
          <w:sz w:val="19"/>
          <w:szCs w:val="19"/>
          <w:color w:val="auto"/>
        </w:rPr>
      </w:pPr>
    </w:p>
    <w:p>
      <w:pPr>
        <w:ind w:left="1020" w:hanging="38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 Section 2.03:</w:t>
      </w:r>
    </w:p>
    <w:p>
      <w:pPr>
        <w:spacing w:after="0" w:line="226" w:lineRule="exact"/>
        <w:rPr>
          <w:rFonts w:ascii="Arial" w:cs="Arial" w:eastAsia="Arial" w:hAnsi="Arial"/>
          <w:sz w:val="18"/>
          <w:szCs w:val="18"/>
          <w:color w:val="auto"/>
        </w:rPr>
      </w:pPr>
    </w:p>
    <w:p>
      <w:pPr>
        <w:jc w:val="both"/>
        <w:ind w:left="640" w:firstLine="861"/>
        <w:spacing w:after="0" w:line="259" w:lineRule="auto"/>
        <w:tabs>
          <w:tab w:leader="none" w:pos="192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1" w:lineRule="exact"/>
        <w:rPr>
          <w:rFonts w:ascii="Arial" w:cs="Arial" w:eastAsia="Arial" w:hAnsi="Arial"/>
          <w:sz w:val="19"/>
          <w:szCs w:val="19"/>
          <w:color w:val="auto"/>
        </w:rPr>
      </w:pPr>
    </w:p>
    <w:p>
      <w:pPr>
        <w:ind w:left="1920" w:hanging="419"/>
        <w:spacing w:after="0"/>
        <w:tabs>
          <w:tab w:leader="none" w:pos="1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6" w:lineRule="exact"/>
        <w:rPr>
          <w:rFonts w:ascii="Arial" w:cs="Arial" w:eastAsia="Arial" w:hAnsi="Arial"/>
          <w:sz w:val="18"/>
          <w:szCs w:val="18"/>
          <w:color w:val="auto"/>
        </w:rPr>
      </w:pPr>
    </w:p>
    <w:p>
      <w:pPr>
        <w:ind w:left="1960" w:hanging="459"/>
        <w:spacing w:after="0"/>
        <w:tabs>
          <w:tab w:leader="none" w:pos="196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whether the resulting Borrowing is to be an ABR Borrowing or a Eurodollar Borrowing; and</w:t>
      </w:r>
    </w:p>
    <w:p>
      <w:pPr>
        <w:spacing w:after="0" w:line="214" w:lineRule="exact"/>
        <w:rPr>
          <w:rFonts w:ascii="Arial" w:cs="Arial" w:eastAsia="Arial" w:hAnsi="Arial"/>
          <w:sz w:val="19"/>
          <w:szCs w:val="19"/>
          <w:color w:val="auto"/>
        </w:rPr>
      </w:pPr>
    </w:p>
    <w:p>
      <w:pPr>
        <w:ind w:left="640" w:firstLine="861"/>
        <w:spacing w:after="0" w:line="274" w:lineRule="auto"/>
        <w:tabs>
          <w:tab w:leader="none" w:pos="1959" w:val="left"/>
        </w:tabs>
        <w:numPr>
          <w:ilvl w:val="1"/>
          <w:numId w:val="52"/>
        </w:numPr>
        <w:rPr>
          <w:rFonts w:ascii="Arial" w:cs="Arial" w:eastAsia="Arial" w:hAnsi="Arial"/>
          <w:sz w:val="19"/>
          <w:szCs w:val="19"/>
          <w:color w:val="auto"/>
        </w:rPr>
      </w:pPr>
      <w:r>
        <w:rPr>
          <w:rFonts w:ascii="Arial" w:cs="Arial" w:eastAsia="Arial" w:hAnsi="Arial"/>
          <w:sz w:val="19"/>
          <w:szCs w:val="19"/>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If any such Interest Election Request requests a Eurodollar Borrowing but does not specify an Interest Period, then the Borrower shall be deemed to have selected an Interest Period of one month’s duration.</w:t>
      </w:r>
    </w:p>
    <w:p>
      <w:pPr>
        <w:spacing w:after="0" w:line="157" w:lineRule="exact"/>
        <w:rPr>
          <w:sz w:val="20"/>
          <w:szCs w:val="20"/>
          <w:color w:val="auto"/>
        </w:rPr>
      </w:pPr>
    </w:p>
    <w:p>
      <w:pPr>
        <w:ind w:firstLine="635"/>
        <w:spacing w:after="0" w:line="274"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7" w:lineRule="exact"/>
        <w:rPr>
          <w:rFonts w:ascii="Arial" w:cs="Arial" w:eastAsia="Arial" w:hAnsi="Arial"/>
          <w:sz w:val="19"/>
          <w:szCs w:val="19"/>
          <w:color w:val="auto"/>
        </w:rPr>
      </w:pPr>
    </w:p>
    <w:p>
      <w:pPr>
        <w:jc w:val="both"/>
        <w:ind w:firstLine="635"/>
        <w:spacing w:after="0" w:line="250" w:lineRule="auto"/>
        <w:tabs>
          <w:tab w:leader="none" w:pos="111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3"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2.06.</w:t>
      </w:r>
      <w:r>
        <w:rPr>
          <w:sz w:val="20"/>
          <w:szCs w:val="20"/>
          <w:color w:val="auto"/>
        </w:rPr>
        <w:tab/>
      </w:r>
      <w:r>
        <w:rPr>
          <w:rFonts w:ascii="Arial" w:cs="Arial" w:eastAsia="Arial" w:hAnsi="Arial"/>
          <w:sz w:val="17"/>
          <w:szCs w:val="17"/>
          <w:i w:val="1"/>
          <w:iCs w:val="1"/>
          <w:color w:val="auto"/>
        </w:rPr>
        <w:t>Termination and Reduction of Commitments</w:t>
      </w:r>
      <w:r>
        <w:rPr>
          <w:rFonts w:ascii="Arial" w:cs="Arial" w:eastAsia="Arial" w:hAnsi="Arial"/>
          <w:sz w:val="17"/>
          <w:szCs w:val="17"/>
          <w:color w:val="auto"/>
        </w:rPr>
        <w:t>.</w:t>
      </w:r>
    </w:p>
    <w:p>
      <w:pPr>
        <w:sectPr>
          <w:pgSz w:w="11900" w:h="16838" w:orient="portrait"/>
          <w:cols w:equalWidth="0" w:num="1">
            <w:col w:w="11420"/>
          </w:cols>
          <w:pgMar w:left="240" w:top="122" w:right="239" w:bottom="0" w:gutter="0" w:footer="0" w:header="0"/>
        </w:sectPr>
      </w:pPr>
    </w:p>
    <w:bookmarkStart w:id="122" w:name="page123"/>
    <w:bookmarkEnd w:id="122"/>
    <w:p>
      <w:pPr>
        <w:spacing w:after="0" w:line="71" w:lineRule="exact"/>
        <w:rPr>
          <w:sz w:val="20"/>
          <w:szCs w:val="20"/>
          <w:color w:val="auto"/>
        </w:rPr>
      </w:pPr>
    </w:p>
    <w:p>
      <w:pPr>
        <w:ind w:left="-635" w:firstLine="635"/>
        <w:spacing w:after="0" w:line="275" w:lineRule="auto"/>
        <w:tabs>
          <w:tab w:leader="none" w:pos="383" w:val="left"/>
        </w:tabs>
        <w:numPr>
          <w:ilvl w:val="0"/>
          <w:numId w:val="54"/>
        </w:numPr>
        <w:rPr>
          <w:rFonts w:ascii="Arial" w:cs="Arial" w:eastAsia="Arial" w:hAnsi="Arial"/>
          <w:sz w:val="19"/>
          <w:szCs w:val="19"/>
          <w:color w:val="auto"/>
        </w:rPr>
      </w:pPr>
      <w:r>
        <w:rPr>
          <w:rFonts w:ascii="Arial" w:cs="Arial" w:eastAsia="Arial" w:hAnsi="Arial"/>
          <w:sz w:val="19"/>
          <w:szCs w:val="19"/>
          <w:color w:val="auto"/>
        </w:rPr>
        <w:t>Unless previously terminated, (i) the Initial Term Commitments shall terminate at 5:00 p.m., New York City time, on the Closing Date and (ii) the Revolving Commitments shall automatically terminate on the Revolving Maturity Date.</w:t>
      </w:r>
    </w:p>
    <w:p>
      <w:pPr>
        <w:spacing w:after="0" w:line="156" w:lineRule="exact"/>
        <w:rPr>
          <w:rFonts w:ascii="Arial" w:cs="Arial" w:eastAsia="Arial" w:hAnsi="Arial"/>
          <w:sz w:val="19"/>
          <w:szCs w:val="19"/>
          <w:color w:val="auto"/>
        </w:rPr>
      </w:pPr>
    </w:p>
    <w:p>
      <w:pPr>
        <w:jc w:val="both"/>
        <w:ind w:left="-635" w:firstLine="635"/>
        <w:spacing w:after="0" w:line="294" w:lineRule="auto"/>
        <w:tabs>
          <w:tab w:leader="none" w:pos="3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Exposures would exceed the Total Revolving Commitments.</w:t>
      </w:r>
    </w:p>
    <w:p>
      <w:pPr>
        <w:spacing w:after="0" w:line="144" w:lineRule="exact"/>
        <w:rPr>
          <w:rFonts w:ascii="Arial" w:cs="Arial" w:eastAsia="Arial" w:hAnsi="Arial"/>
          <w:sz w:val="17"/>
          <w:szCs w:val="17"/>
          <w:color w:val="auto"/>
        </w:rPr>
      </w:pPr>
    </w:p>
    <w:p>
      <w:pPr>
        <w:jc w:val="both"/>
        <w:ind w:left="-635" w:firstLine="635"/>
        <w:spacing w:after="0" w:line="264" w:lineRule="auto"/>
        <w:tabs>
          <w:tab w:leader="none" w:pos="4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69" w:lineRule="exact"/>
        <w:rPr>
          <w:sz w:val="20"/>
          <w:szCs w:val="20"/>
          <w:color w:val="auto"/>
        </w:rPr>
      </w:pPr>
    </w:p>
    <w:p>
      <w:pPr>
        <w:ind w:left="5"/>
        <w:spacing w:after="0"/>
        <w:tabs>
          <w:tab w:leader="none" w:pos="1165" w:val="left"/>
        </w:tabs>
        <w:rPr>
          <w:sz w:val="20"/>
          <w:szCs w:val="20"/>
          <w:color w:val="auto"/>
        </w:rPr>
      </w:pPr>
      <w:r>
        <w:rPr>
          <w:rFonts w:ascii="Arial" w:cs="Arial" w:eastAsia="Arial" w:hAnsi="Arial"/>
          <w:sz w:val="19"/>
          <w:szCs w:val="19"/>
          <w:color w:val="auto"/>
        </w:rPr>
        <w:t>Section 2.07.</w:t>
      </w:r>
      <w:r>
        <w:rPr>
          <w:sz w:val="20"/>
          <w:szCs w:val="20"/>
          <w:color w:val="auto"/>
        </w:rPr>
        <w:tab/>
      </w:r>
      <w:r>
        <w:rPr>
          <w:rFonts w:ascii="Arial" w:cs="Arial" w:eastAsia="Arial" w:hAnsi="Arial"/>
          <w:sz w:val="17"/>
          <w:szCs w:val="17"/>
          <w:i w:val="1"/>
          <w:iCs w:val="1"/>
          <w:color w:val="auto"/>
        </w:rPr>
        <w:t>Repayment of Loans; Evidence of Debt</w:t>
      </w:r>
      <w:r>
        <w:rPr>
          <w:rFonts w:ascii="Arial" w:cs="Arial" w:eastAsia="Arial" w:hAnsi="Arial"/>
          <w:sz w:val="17"/>
          <w:szCs w:val="17"/>
          <w:color w:val="auto"/>
        </w:rPr>
        <w:t>.</w:t>
      </w:r>
    </w:p>
    <w:p>
      <w:pPr>
        <w:spacing w:after="0" w:line="215" w:lineRule="exact"/>
        <w:rPr>
          <w:sz w:val="20"/>
          <w:szCs w:val="20"/>
          <w:color w:val="auto"/>
        </w:rPr>
      </w:pPr>
    </w:p>
    <w:p>
      <w:pPr>
        <w:jc w:val="both"/>
        <w:ind w:left="-635" w:firstLine="635"/>
        <w:spacing w:after="0" w:line="267" w:lineRule="auto"/>
        <w:tabs>
          <w:tab w:leader="none" w:pos="3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Section 2.08 and (iii) to the Swingline Lender the then unpaid principal amount of each Swingline Loan made by the Swingline Lender on the earlier to occur of (A) the date that is ten (10) Business Days after such Loan is made and (B) the Revolving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each date that a Revolving Borrowing is made, the Borrower shall repay all Swingline Loans that were outstanding on the date such Borrowing was requested.</w:t>
      </w:r>
    </w:p>
    <w:p>
      <w:pPr>
        <w:spacing w:after="0" w:line="167" w:lineRule="exact"/>
        <w:rPr>
          <w:rFonts w:ascii="Arial" w:cs="Arial" w:eastAsia="Arial" w:hAnsi="Arial"/>
          <w:sz w:val="18"/>
          <w:szCs w:val="18"/>
          <w:color w:val="auto"/>
        </w:rPr>
      </w:pPr>
    </w:p>
    <w:p>
      <w:pPr>
        <w:jc w:val="both"/>
        <w:ind w:left="-635" w:firstLine="635"/>
        <w:spacing w:after="0" w:line="259" w:lineRule="auto"/>
        <w:tabs>
          <w:tab w:leader="none" w:pos="407"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1" w:lineRule="exact"/>
        <w:rPr>
          <w:rFonts w:ascii="Arial" w:cs="Arial" w:eastAsia="Arial" w:hAnsi="Arial"/>
          <w:sz w:val="19"/>
          <w:szCs w:val="19"/>
          <w:color w:val="auto"/>
        </w:rPr>
      </w:pPr>
    </w:p>
    <w:p>
      <w:pPr>
        <w:jc w:val="both"/>
        <w:ind w:left="-635" w:firstLine="635"/>
        <w:spacing w:after="0" w:line="254" w:lineRule="auto"/>
        <w:tabs>
          <w:tab w:leader="none" w:pos="396"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7" w:lineRule="exact"/>
        <w:rPr>
          <w:rFonts w:ascii="Arial" w:cs="Arial" w:eastAsia="Arial" w:hAnsi="Arial"/>
          <w:sz w:val="19"/>
          <w:szCs w:val="19"/>
          <w:color w:val="auto"/>
        </w:rPr>
      </w:pPr>
    </w:p>
    <w:p>
      <w:pPr>
        <w:jc w:val="both"/>
        <w:ind w:left="-635" w:firstLine="635"/>
        <w:spacing w:after="0" w:line="269" w:lineRule="auto"/>
        <w:tabs>
          <w:tab w:leader="none" w:pos="4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2.07, the accounts maintained by the Administrative Agent pursuant to paragraph (c) of this Section 2.07 shall control.</w:t>
      </w:r>
    </w:p>
    <w:p>
      <w:pPr>
        <w:spacing w:after="0" w:line="165" w:lineRule="exact"/>
        <w:rPr>
          <w:rFonts w:ascii="Arial" w:cs="Arial" w:eastAsia="Arial" w:hAnsi="Arial"/>
          <w:sz w:val="18"/>
          <w:szCs w:val="18"/>
          <w:color w:val="auto"/>
        </w:rPr>
      </w:pPr>
    </w:p>
    <w:p>
      <w:pPr>
        <w:jc w:val="both"/>
        <w:ind w:left="-635" w:firstLine="635"/>
        <w:spacing w:after="0" w:line="259" w:lineRule="auto"/>
        <w:tabs>
          <w:tab w:leader="none" w:pos="396"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Lender may request through the Administrative Agent that Loans of any Class made by it be evidenced by a Note. In such event, the Borrower shall execute and deliver to such Lender a Note payable to the order of such Lender (or, if requested by such Lender, to such Lender and its registered assigns).</w:t>
      </w:r>
    </w:p>
    <w:p>
      <w:pPr>
        <w:spacing w:after="0" w:line="172" w:lineRule="exact"/>
        <w:rPr>
          <w:sz w:val="20"/>
          <w:szCs w:val="20"/>
          <w:color w:val="auto"/>
        </w:rPr>
      </w:pPr>
    </w:p>
    <w:p>
      <w:pPr>
        <w:ind w:left="5"/>
        <w:spacing w:after="0"/>
        <w:tabs>
          <w:tab w:leader="none" w:pos="1165" w:val="left"/>
        </w:tabs>
        <w:rPr>
          <w:sz w:val="20"/>
          <w:szCs w:val="20"/>
          <w:color w:val="auto"/>
        </w:rPr>
      </w:pPr>
      <w:r>
        <w:rPr>
          <w:rFonts w:ascii="Arial" w:cs="Arial" w:eastAsia="Arial" w:hAnsi="Arial"/>
          <w:sz w:val="19"/>
          <w:szCs w:val="19"/>
          <w:color w:val="auto"/>
        </w:rPr>
        <w:t>Section 2.08.</w:t>
      </w:r>
      <w:r>
        <w:rPr>
          <w:sz w:val="20"/>
          <w:szCs w:val="20"/>
          <w:color w:val="auto"/>
        </w:rPr>
        <w:tab/>
      </w:r>
      <w:r>
        <w:rPr>
          <w:rFonts w:ascii="Arial" w:cs="Arial" w:eastAsia="Arial" w:hAnsi="Arial"/>
          <w:sz w:val="17"/>
          <w:szCs w:val="17"/>
          <w:i w:val="1"/>
          <w:iCs w:val="1"/>
          <w:color w:val="auto"/>
        </w:rPr>
        <w:t>Amortization of Term Loans</w:t>
      </w:r>
      <w:r>
        <w:rPr>
          <w:rFonts w:ascii="Arial" w:cs="Arial" w:eastAsia="Arial" w:hAnsi="Arial"/>
          <w:sz w:val="17"/>
          <w:szCs w:val="17"/>
          <w:color w:val="auto"/>
        </w:rPr>
        <w:t>.</w:t>
      </w:r>
    </w:p>
    <w:p>
      <w:pPr>
        <w:spacing w:after="0" w:line="215" w:lineRule="exact"/>
        <w:rPr>
          <w:sz w:val="20"/>
          <w:szCs w:val="20"/>
          <w:color w:val="auto"/>
        </w:rPr>
      </w:pPr>
    </w:p>
    <w:p>
      <w:pPr>
        <w:jc w:val="both"/>
        <w:ind w:left="-635" w:firstLine="635"/>
        <w:spacing w:after="0" w:line="254" w:lineRule="auto"/>
        <w:tabs>
          <w:tab w:leader="none" w:pos="51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Subject to adjustment pursuant to paragraph (c) of this Section 2.08, the Borrower shall repay the Initial Term Loans on each anniversary of the Closing Date in an aggregate principal amount of Initial Term Loans equal to the aggregate outstanding principal amount of Initial Term Loans immediately after the funding thereof on the Closing Date multiplied by 1.00%;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date is not a Business Day, such payment shall be due on the next preceding Business Day.</w:t>
      </w:r>
    </w:p>
    <w:p>
      <w:pPr>
        <w:spacing w:after="0" w:line="177" w:lineRule="exact"/>
        <w:rPr>
          <w:rFonts w:ascii="Arial" w:cs="Arial" w:eastAsia="Arial" w:hAnsi="Arial"/>
          <w:sz w:val="19"/>
          <w:szCs w:val="19"/>
          <w:color w:val="auto"/>
        </w:rPr>
      </w:pPr>
    </w:p>
    <w:p>
      <w:pPr>
        <w:ind w:left="405" w:hanging="405"/>
        <w:spacing w:after="0"/>
        <w:tabs>
          <w:tab w:leader="none" w:pos="40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extent not previously paid, all Initial Term Loans shall be due and payable on the Term Maturity Date.</w:t>
      </w:r>
    </w:p>
    <w:p>
      <w:pPr>
        <w:spacing w:after="0" w:line="214" w:lineRule="exact"/>
        <w:rPr>
          <w:rFonts w:ascii="Arial" w:cs="Arial" w:eastAsia="Arial" w:hAnsi="Arial"/>
          <w:sz w:val="19"/>
          <w:szCs w:val="19"/>
          <w:color w:val="auto"/>
        </w:rPr>
      </w:pPr>
    </w:p>
    <w:p>
      <w:pPr>
        <w:jc w:val="both"/>
        <w:ind w:left="-635" w:firstLine="635"/>
        <w:spacing w:after="0" w:line="250" w:lineRule="auto"/>
        <w:tabs>
          <w:tab w:leader="none" w:pos="501"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prepayment of a Term Borrowing of any Class § pursuant to Section 2.09(a)(i) shall be applied to reduce the subsequent scheduled and outstanding repayments of the Term Borrowing of such Class to be made pursuant to this Section as directed by the Borrower (and absent such direction in direct order of maturity), § pursuant to Section 2.09(a)(ii) shall be applied as set forth in Section 2.09(a)(ii)(F) and §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p>
    <w:p>
      <w:pPr>
        <w:spacing w:after="0" w:line="183" w:lineRule="exact"/>
        <w:rPr>
          <w:rFonts w:ascii="Arial" w:cs="Arial" w:eastAsia="Arial" w:hAnsi="Arial"/>
          <w:sz w:val="19"/>
          <w:szCs w:val="19"/>
          <w:color w:val="auto"/>
        </w:rPr>
      </w:pPr>
    </w:p>
    <w:p>
      <w:pPr>
        <w:jc w:val="both"/>
        <w:ind w:left="-635" w:firstLine="635"/>
        <w:spacing w:after="0" w:line="286" w:lineRule="auto"/>
        <w:tabs>
          <w:tab w:leader="none" w:pos="3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Days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spacing w:after="0" w:line="151" w:lineRule="exact"/>
        <w:rPr>
          <w:sz w:val="20"/>
          <w:szCs w:val="20"/>
          <w:color w:val="auto"/>
        </w:rPr>
      </w:pPr>
    </w:p>
    <w:p>
      <w:pPr>
        <w:ind w:left="5"/>
        <w:spacing w:after="0"/>
        <w:tabs>
          <w:tab w:leader="none" w:pos="1165" w:val="left"/>
        </w:tabs>
        <w:rPr>
          <w:sz w:val="20"/>
          <w:szCs w:val="20"/>
          <w:color w:val="auto"/>
        </w:rPr>
      </w:pPr>
      <w:r>
        <w:rPr>
          <w:rFonts w:ascii="Arial" w:cs="Arial" w:eastAsia="Arial" w:hAnsi="Arial"/>
          <w:sz w:val="19"/>
          <w:szCs w:val="19"/>
          <w:color w:val="auto"/>
        </w:rPr>
        <w:t>Section 2.09.</w:t>
      </w:r>
      <w:r>
        <w:rPr>
          <w:sz w:val="20"/>
          <w:szCs w:val="20"/>
          <w:color w:val="auto"/>
        </w:rPr>
        <w:tab/>
      </w:r>
      <w:r>
        <w:rPr>
          <w:rFonts w:ascii="Arial" w:cs="Arial" w:eastAsia="Arial" w:hAnsi="Arial"/>
          <w:sz w:val="17"/>
          <w:szCs w:val="17"/>
          <w:i w:val="1"/>
          <w:iCs w:val="1"/>
          <w:color w:val="auto"/>
        </w:rPr>
        <w:t>Prepayment of Loans</w:t>
      </w:r>
      <w:r>
        <w:rPr>
          <w:rFonts w:ascii="Arial" w:cs="Arial" w:eastAsia="Arial" w:hAnsi="Arial"/>
          <w:sz w:val="17"/>
          <w:szCs w:val="17"/>
          <w:color w:val="auto"/>
        </w:rPr>
        <w:t>.</w:t>
      </w:r>
    </w:p>
    <w:p>
      <w:pPr>
        <w:spacing w:after="0" w:line="215" w:lineRule="exact"/>
        <w:rPr>
          <w:sz w:val="20"/>
          <w:szCs w:val="20"/>
          <w:color w:val="auto"/>
        </w:rPr>
      </w:pPr>
    </w:p>
    <w:p>
      <w:pPr>
        <w:jc w:val="both"/>
        <w:ind w:left="-635" w:firstLine="635"/>
        <w:spacing w:after="0" w:line="273" w:lineRule="auto"/>
        <w:tabs>
          <w:tab w:leader="none" w:pos="4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 The Borrower shall have the right at any time and from time to time to prepay any Borrowing in whole or in part, subject to the requirements of this Section 2.09;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on or prior to the one-year anniversary of the Closing Date, the Borrower (x) makes any prepayment of Initial Term Loans in connection with any Repricing Transaction, or (y) effects any amendment of this Agreement resulting in a Repricing Transaction, the Borrower shall pay to the Administrative Agent, for the ratable account of each of the applicable Term</w:t>
      </w:r>
    </w:p>
    <w:p>
      <w:pPr>
        <w:sectPr>
          <w:pgSz w:w="11900" w:h="16909" w:orient="portrait"/>
          <w:cols w:equalWidth="0" w:num="1">
            <w:col w:w="10785"/>
          </w:cols>
          <w:pgMar w:left="875" w:top="121" w:right="239" w:bottom="0" w:gutter="0" w:footer="0" w:header="0"/>
        </w:sectPr>
      </w:pPr>
    </w:p>
    <w:bookmarkStart w:id="123" w:name="page124"/>
    <w:bookmarkEnd w:id="123"/>
    <w:p>
      <w:pPr>
        <w:jc w:val="both"/>
        <w:spacing w:after="0" w:line="260" w:lineRule="auto"/>
        <w:rPr>
          <w:sz w:val="20"/>
          <w:szCs w:val="20"/>
          <w:color w:val="auto"/>
        </w:rPr>
      </w:pPr>
      <w:r>
        <w:rPr>
          <w:rFonts w:ascii="Arial" w:cs="Arial" w:eastAsia="Arial" w:hAnsi="Arial"/>
          <w:sz w:val="19"/>
          <w:szCs w:val="19"/>
          <w:color w:val="auto"/>
        </w:rPr>
        <w:t>Lenders, (I) in the case of clause (x), a prepayment premium of 1.00% of the principal amount of the Initial Term Loans being prepaid and (II) in the case of clause (y), a payment equal to 1.00% of the aggregate principal amount of the Initial Term Loans outstanding immediately prior to such amendment.</w:t>
      </w:r>
    </w:p>
    <w:p>
      <w:pPr>
        <w:spacing w:after="0" w:line="170" w:lineRule="exact"/>
        <w:rPr>
          <w:sz w:val="20"/>
          <w:szCs w:val="20"/>
          <w:color w:val="auto"/>
        </w:rPr>
      </w:pPr>
    </w:p>
    <w:p>
      <w:pPr>
        <w:ind w:left="640" w:firstLine="861"/>
        <w:spacing w:after="0" w:line="274" w:lineRule="auto"/>
        <w:tabs>
          <w:tab w:leader="none" w:pos="1902"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Notwithstanding anything in any Loan Document to the contrary, so long as no Default or Event of Default has occurred and is continuing, the Borrower may prepay the outstanding Term Loans on the following basis:</w:t>
      </w:r>
    </w:p>
    <w:p>
      <w:pPr>
        <w:spacing w:after="0" w:line="157" w:lineRule="exact"/>
        <w:rPr>
          <w:rFonts w:ascii="Arial" w:cs="Arial" w:eastAsia="Arial" w:hAnsi="Arial"/>
          <w:sz w:val="19"/>
          <w:szCs w:val="19"/>
          <w:color w:val="auto"/>
        </w:rPr>
      </w:pPr>
    </w:p>
    <w:p>
      <w:pPr>
        <w:jc w:val="both"/>
        <w:ind w:left="1260" w:firstLine="635"/>
        <w:spacing w:after="0" w:line="262" w:lineRule="auto"/>
        <w:tabs>
          <w:tab w:leader="none" w:pos="2463"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Borrower shall have the right to make a voluntary prepayment of Term Loans at a discount to par (such prepayment, the “</w:t>
      </w:r>
      <w:r>
        <w:rPr>
          <w:rFonts w:ascii="Arial" w:cs="Arial" w:eastAsia="Arial" w:hAnsi="Arial"/>
          <w:sz w:val="18"/>
          <w:szCs w:val="18"/>
          <w:b w:val="1"/>
          <w:bCs w:val="1"/>
          <w:color w:val="auto"/>
        </w:rPr>
        <w:t>Discounted Term Loan Prepayment</w:t>
      </w:r>
      <w:r>
        <w:rPr>
          <w:rFonts w:ascii="Arial" w:cs="Arial" w:eastAsia="Arial" w:hAnsi="Arial"/>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2.09(a)(ii);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the Borrower shall not make any Borrowing of Revolving Loans, Swingline Loans or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75" w:lineRule="exact"/>
        <w:rPr>
          <w:rFonts w:ascii="Arial" w:cs="Arial" w:eastAsia="Arial" w:hAnsi="Arial"/>
          <w:sz w:val="18"/>
          <w:szCs w:val="18"/>
          <w:color w:val="auto"/>
        </w:rPr>
      </w:pPr>
    </w:p>
    <w:p>
      <w:pPr>
        <w:jc w:val="both"/>
        <w:ind w:left="1260" w:firstLine="635"/>
        <w:spacing w:after="0" w:line="261" w:lineRule="auto"/>
        <w:tabs>
          <w:tab w:leader="none" w:pos="2334"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Arial" w:cs="Arial" w:eastAsia="Arial" w:hAnsi="Arial"/>
          <w:sz w:val="18"/>
          <w:szCs w:val="18"/>
          <w:b w:val="1"/>
          <w:bCs w:val="1"/>
          <w:color w:val="auto"/>
        </w:rPr>
        <w:t>Specified Discount Prepayment Amount</w:t>
      </w:r>
      <w:r>
        <w:rPr>
          <w:rFonts w:ascii="Arial" w:cs="Arial" w:eastAsia="Arial" w:hAnsi="Arial"/>
          <w:sz w:val="18"/>
          <w:szCs w:val="18"/>
          <w:color w:val="auto"/>
        </w:rPr>
        <w:t>”) with respect to each applicable tranche, the tranche or tranches of Term Loans subject to such offer and the specific percentage discount to par (the “</w:t>
      </w:r>
      <w:r>
        <w:rPr>
          <w:rFonts w:ascii="Arial" w:cs="Arial" w:eastAsia="Arial" w:hAnsi="Arial"/>
          <w:sz w:val="18"/>
          <w:szCs w:val="18"/>
          <w:b w:val="1"/>
          <w:bCs w:val="1"/>
          <w:color w:val="auto"/>
        </w:rPr>
        <w:t>Specified Discount</w:t>
      </w:r>
      <w:r>
        <w:rPr>
          <w:rFonts w:ascii="Arial" w:cs="Arial" w:eastAsia="Arial" w:hAnsi="Arial"/>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2.09),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b w:val="1"/>
          <w:bCs w:val="1"/>
          <w:color w:val="auto"/>
        </w:rPr>
        <w:t>Specified Discount Prepayment Response Date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635"/>
        <w:spacing w:after="0" w:line="286" w:lineRule="auto"/>
        <w:tabs>
          <w:tab w:leader="none" w:pos="10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51" w:lineRule="exact"/>
        <w:rPr>
          <w:rFonts w:ascii="Arial" w:cs="Arial" w:eastAsia="Arial" w:hAnsi="Arial"/>
          <w:sz w:val="17"/>
          <w:szCs w:val="17"/>
          <w:color w:val="auto"/>
        </w:rPr>
      </w:pPr>
    </w:p>
    <w:p>
      <w:pPr>
        <w:jc w:val="both"/>
        <w:ind w:firstLine="635"/>
        <w:spacing w:after="0" w:line="278" w:lineRule="auto"/>
        <w:tabs>
          <w:tab w:leader="none" w:pos="11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7"/>
          <w:szCs w:val="17"/>
          <w:b w:val="1"/>
          <w:bCs w:val="1"/>
          <w:color w:val="auto"/>
        </w:rPr>
        <w:t>Specified Discount Proration</w:t>
      </w:r>
      <w:r>
        <w:rPr>
          <w:rFonts w:ascii="Arial" w:cs="Arial" w:eastAsia="Arial" w:hAnsi="Arial"/>
          <w:sz w:val="17"/>
          <w:szCs w:val="17"/>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who made a Solicited Discounted Prepayment Offer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56" w:lineRule="exact"/>
        <w:rPr>
          <w:rFonts w:ascii="Arial" w:cs="Arial" w:eastAsia="Arial" w:hAnsi="Arial"/>
          <w:sz w:val="17"/>
          <w:szCs w:val="17"/>
          <w:color w:val="auto"/>
        </w:rPr>
      </w:pPr>
    </w:p>
    <w:p>
      <w:pPr>
        <w:jc w:val="both"/>
        <w:ind w:left="1260" w:firstLine="635"/>
        <w:spacing w:after="0" w:line="278" w:lineRule="auto"/>
        <w:tabs>
          <w:tab w:leader="none" w:pos="24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7"/>
          <w:szCs w:val="17"/>
          <w:b w:val="1"/>
          <w:bCs w:val="1"/>
          <w:color w:val="auto"/>
        </w:rPr>
        <w:t>Discount Range Prepayment Amount</w:t>
      </w:r>
      <w:r>
        <w:rPr>
          <w:rFonts w:ascii="Arial" w:cs="Arial" w:eastAsia="Arial" w:hAnsi="Arial"/>
          <w:sz w:val="17"/>
          <w:szCs w:val="17"/>
          <w:color w:val="auto"/>
        </w:rPr>
        <w:t>”), the tranche or tranches of Term Loans subject to such offer and the maximum and minimum percentage discounts to par (the “</w:t>
      </w:r>
      <w:r>
        <w:rPr>
          <w:rFonts w:ascii="Arial" w:cs="Arial" w:eastAsia="Arial" w:hAnsi="Arial"/>
          <w:sz w:val="17"/>
          <w:szCs w:val="17"/>
          <w:b w:val="1"/>
          <w:bCs w:val="1"/>
          <w:color w:val="auto"/>
        </w:rPr>
        <w:t>Discount Range</w:t>
      </w:r>
      <w:r>
        <w:rPr>
          <w:rFonts w:ascii="Arial" w:cs="Arial" w:eastAsia="Arial" w:hAnsi="Arial"/>
          <w:sz w:val="17"/>
          <w:szCs w:val="17"/>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2.09),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w:t>
      </w:r>
    </w:p>
    <w:p>
      <w:pPr>
        <w:sectPr>
          <w:pgSz w:w="11900" w:h="16838" w:orient="portrait"/>
          <w:cols w:equalWidth="0" w:num="1">
            <w:col w:w="11420"/>
          </w:cols>
          <w:pgMar w:left="240" w:top="121" w:right="239" w:bottom="0" w:gutter="0" w:footer="0" w:header="0"/>
        </w:sectPr>
      </w:pPr>
    </w:p>
    <w:bookmarkStart w:id="124" w:name="page125"/>
    <w:bookmarkEnd w:id="124"/>
    <w:p>
      <w:pPr>
        <w:spacing w:after="0" w:line="3" w:lineRule="exact"/>
        <w:rPr>
          <w:sz w:val="20"/>
          <w:szCs w:val="20"/>
          <w:color w:val="auto"/>
        </w:rPr>
      </w:pPr>
    </w:p>
    <w:p>
      <w:pPr>
        <w:jc w:val="both"/>
        <w:ind w:left="625"/>
        <w:spacing w:after="0" w:line="265" w:lineRule="auto"/>
        <w:rPr>
          <w:sz w:val="20"/>
          <w:szCs w:val="20"/>
          <w:color w:val="auto"/>
        </w:rPr>
      </w:pPr>
      <w:r>
        <w:rPr>
          <w:rFonts w:ascii="Arial" w:cs="Arial" w:eastAsia="Arial" w:hAnsi="Arial"/>
          <w:sz w:val="18"/>
          <w:szCs w:val="18"/>
          <w:color w:val="auto"/>
        </w:rPr>
        <w:t>Business Day after the date of delivery of such notice to the relevant Term Lenders (the “</w:t>
      </w:r>
      <w:r>
        <w:rPr>
          <w:rFonts w:ascii="Arial" w:cs="Arial" w:eastAsia="Arial" w:hAnsi="Arial"/>
          <w:sz w:val="18"/>
          <w:szCs w:val="18"/>
          <w:b w:val="1"/>
          <w:bCs w:val="1"/>
          <w:color w:val="auto"/>
        </w:rPr>
        <w:t>Discount Range Prepayment Response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Each relevant Term Lender’s Discount Range Prepayment Offer shall be irrevocable and shall specify a discount to par</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Discount Range (the “</w:t>
      </w:r>
      <w:r>
        <w:rPr>
          <w:rFonts w:ascii="Arial" w:cs="Arial" w:eastAsia="Arial" w:hAnsi="Arial"/>
          <w:sz w:val="18"/>
          <w:szCs w:val="18"/>
          <w:b w:val="1"/>
          <w:bCs w:val="1"/>
          <w:color w:val="auto"/>
        </w:rPr>
        <w:t>Submitted Discount</w:t>
      </w:r>
      <w:r>
        <w:rPr>
          <w:rFonts w:ascii="Arial" w:cs="Arial" w:eastAsia="Arial" w:hAnsi="Arial"/>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8"/>
          <w:szCs w:val="18"/>
          <w:b w:val="1"/>
          <w:bCs w:val="1"/>
          <w:color w:val="auto"/>
        </w:rPr>
        <w:t>Submitted Amount</w:t>
      </w:r>
      <w:r>
        <w:rPr>
          <w:rFonts w:ascii="Arial" w:cs="Arial" w:eastAsia="Arial" w:hAnsi="Arial"/>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72" w:lineRule="exact"/>
        <w:rPr>
          <w:sz w:val="20"/>
          <w:szCs w:val="20"/>
          <w:color w:val="auto"/>
        </w:rPr>
      </w:pPr>
    </w:p>
    <w:p>
      <w:pPr>
        <w:jc w:val="both"/>
        <w:ind w:left="-635" w:firstLine="635"/>
        <w:spacing w:after="0" w:line="262" w:lineRule="auto"/>
        <w:tabs>
          <w:tab w:leader="none" w:pos="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8"/>
          <w:szCs w:val="18"/>
          <w:b w:val="1"/>
          <w:bCs w:val="1"/>
          <w:color w:val="auto"/>
        </w:rPr>
        <w:t>Applicable Discount</w:t>
      </w:r>
      <w:r>
        <w:rPr>
          <w:rFonts w:ascii="Arial" w:cs="Arial" w:eastAsia="Arial" w:hAnsi="Arial"/>
          <w:sz w:val="18"/>
          <w:szCs w:val="18"/>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8"/>
          <w:szCs w:val="18"/>
          <w:b w:val="1"/>
          <w:bCs w:val="1"/>
          <w:color w:val="auto"/>
        </w:rPr>
        <w:t>Participating Lender</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35" w:firstLine="635"/>
        <w:spacing w:after="0" w:line="261"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8"/>
          <w:szCs w:val="18"/>
          <w:b w:val="1"/>
          <w:bCs w:val="1"/>
          <w:color w:val="auto"/>
        </w:rPr>
        <w:t>Identified Participating Lenders</w:t>
      </w:r>
      <w:r>
        <w:rPr>
          <w:rFonts w:ascii="Arial" w:cs="Arial" w:eastAsia="Arial" w:hAnsi="Arial"/>
          <w:sz w:val="18"/>
          <w:szCs w:val="18"/>
          <w:color w:val="auto"/>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8"/>
          <w:szCs w:val="18"/>
          <w:b w:val="1"/>
          <w:bCs w:val="1"/>
          <w:color w:val="auto"/>
        </w:rPr>
        <w:t>Discount Range Proration</w:t>
      </w:r>
      <w:r>
        <w:rPr>
          <w:rFonts w:ascii="Arial" w:cs="Arial" w:eastAsia="Arial" w:hAnsi="Arial"/>
          <w:sz w:val="18"/>
          <w:szCs w:val="18"/>
          <w:color w:val="auto"/>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pacing w:after="0" w:line="176" w:lineRule="exact"/>
        <w:rPr>
          <w:rFonts w:ascii="Arial" w:cs="Arial" w:eastAsia="Arial" w:hAnsi="Arial"/>
          <w:sz w:val="18"/>
          <w:szCs w:val="18"/>
          <w:color w:val="auto"/>
        </w:rPr>
      </w:pPr>
    </w:p>
    <w:p>
      <w:pPr>
        <w:jc w:val="both"/>
        <w:ind w:left="625" w:firstLine="635"/>
        <w:spacing w:after="0" w:line="261" w:lineRule="auto"/>
        <w:tabs>
          <w:tab w:leader="none" w:pos="17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8"/>
          <w:szCs w:val="18"/>
          <w:b w:val="1"/>
          <w:bCs w:val="1"/>
          <w:color w:val="auto"/>
        </w:rPr>
        <w:t>Solicited Discounted Prepayment Amount</w:t>
      </w:r>
      <w:r>
        <w:rPr>
          <w:rFonts w:ascii="Arial" w:cs="Arial" w:eastAsia="Arial" w:hAnsi="Arial"/>
          <w:sz w:val="18"/>
          <w:szCs w:val="18"/>
          <w:color w:val="auto"/>
        </w:rPr>
        <w:t>”) and the tranche or tranches of Term Loans the Borrower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2.09),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8"/>
          <w:szCs w:val="18"/>
          <w:b w:val="1"/>
          <w:bCs w:val="1"/>
          <w:color w:val="auto"/>
        </w:rPr>
        <w:t>Solicited Discounted Prepayment Response Date</w:t>
      </w:r>
      <w:r>
        <w:rPr>
          <w:rFonts w:ascii="Arial" w:cs="Arial" w:eastAsia="Arial" w:hAnsi="Arial"/>
          <w:sz w:val="18"/>
          <w:szCs w:val="18"/>
          <w:color w:val="auto"/>
        </w:rPr>
        <w:t>”). Each Term Lender’s Solicited Discounted Prepayment Offer shall (x) be irrevocable, (y) remain outstanding until the Acceptance Date, and (z) specify both a discount to par (the “</w:t>
      </w:r>
      <w:r>
        <w:rPr>
          <w:rFonts w:ascii="Arial" w:cs="Arial" w:eastAsia="Arial" w:hAnsi="Arial"/>
          <w:sz w:val="18"/>
          <w:szCs w:val="18"/>
          <w:b w:val="1"/>
          <w:bCs w:val="1"/>
          <w:color w:val="auto"/>
        </w:rPr>
        <w:t>Offered Discount</w:t>
      </w:r>
      <w:r>
        <w:rPr>
          <w:rFonts w:ascii="Arial" w:cs="Arial" w:eastAsia="Arial" w:hAnsi="Arial"/>
          <w:sz w:val="18"/>
          <w:szCs w:val="18"/>
          <w:color w:val="auto"/>
        </w:rPr>
        <w:t>”) at which such Term Lender is willing to allow prepayment of its then outstanding Term Loan and the maximum aggregate principal amount and tranches of such Term Loans (the “</w:t>
      </w:r>
      <w:r>
        <w:rPr>
          <w:rFonts w:ascii="Arial" w:cs="Arial" w:eastAsia="Arial" w:hAnsi="Arial"/>
          <w:sz w:val="18"/>
          <w:szCs w:val="18"/>
          <w:b w:val="1"/>
          <w:bCs w:val="1"/>
          <w:color w:val="auto"/>
        </w:rPr>
        <w:t>Offered Amount</w:t>
      </w:r>
      <w:r>
        <w:rPr>
          <w:rFonts w:ascii="Arial" w:cs="Arial" w:eastAsia="Arial" w:hAnsi="Arial"/>
          <w:sz w:val="18"/>
          <w:szCs w:val="18"/>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70" w:lineRule="exact"/>
        <w:rPr>
          <w:sz w:val="20"/>
          <w:szCs w:val="20"/>
          <w:color w:val="auto"/>
        </w:rPr>
      </w:pPr>
    </w:p>
    <w:p>
      <w:pPr>
        <w:jc w:val="both"/>
        <w:ind w:left="-635" w:firstLine="635"/>
        <w:spacing w:after="0" w:line="264" w:lineRule="auto"/>
        <w:tabs>
          <w:tab w:leader="none" w:pos="4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8"/>
          <w:szCs w:val="18"/>
          <w:b w:val="1"/>
          <w:bCs w:val="1"/>
          <w:color w:val="auto"/>
        </w:rPr>
        <w:t>Acceptable Discount</w:t>
      </w:r>
      <w:r>
        <w:rPr>
          <w:rFonts w:ascii="Arial" w:cs="Arial" w:eastAsia="Arial" w:hAnsi="Arial"/>
          <w:sz w:val="18"/>
          <w:szCs w:val="18"/>
          <w:color w:val="auto"/>
        </w:rPr>
        <w: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8"/>
          <w:szCs w:val="18"/>
          <w:b w:val="1"/>
          <w:bCs w:val="1"/>
          <w:color w:val="auto"/>
        </w:rPr>
        <w:t>Acceptance Date</w:t>
      </w:r>
      <w:r>
        <w:rPr>
          <w:rFonts w:ascii="Arial" w:cs="Arial" w:eastAsia="Arial" w:hAnsi="Arial"/>
          <w:sz w:val="18"/>
          <w:szCs w:val="18"/>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68" w:lineRule="exact"/>
        <w:rPr>
          <w:rFonts w:ascii="Arial" w:cs="Arial" w:eastAsia="Arial" w:hAnsi="Arial"/>
          <w:sz w:val="18"/>
          <w:szCs w:val="18"/>
          <w:color w:val="auto"/>
        </w:rPr>
      </w:pPr>
    </w:p>
    <w:p>
      <w:pPr>
        <w:jc w:val="both"/>
        <w:ind w:left="-635" w:firstLine="635"/>
        <w:spacing w:after="0" w:line="304" w:lineRule="auto"/>
        <w:tabs>
          <w:tab w:leader="none" w:pos="4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the Auction Agent by the Solicited Discounted Prepayment Response Date, within three (3) Business Days after receipt of an Acceptance and Prepayment Notice (the “</w:t>
      </w:r>
      <w:r>
        <w:rPr>
          <w:rFonts w:ascii="Arial" w:cs="Arial" w:eastAsia="Arial" w:hAnsi="Arial"/>
          <w:sz w:val="17"/>
          <w:szCs w:val="17"/>
          <w:b w:val="1"/>
          <w:bCs w:val="1"/>
          <w:color w:val="auto"/>
        </w:rPr>
        <w:t>Discounted</w:t>
      </w:r>
      <w:r>
        <w:rPr>
          <w:rFonts w:ascii="Arial" w:cs="Arial" w:eastAsia="Arial" w:hAnsi="Arial"/>
          <w:sz w:val="17"/>
          <w:szCs w:val="17"/>
          <w:color w:val="auto"/>
        </w:rPr>
        <w:t xml:space="preserve"> </w:t>
      </w:r>
      <w:r>
        <w:rPr>
          <w:rFonts w:ascii="Arial" w:cs="Arial" w:eastAsia="Arial" w:hAnsi="Arial"/>
          <w:sz w:val="17"/>
          <w:szCs w:val="17"/>
          <w:b w:val="1"/>
          <w:bCs w:val="1"/>
          <w:color w:val="auto"/>
        </w:rPr>
        <w:t>Prepayment Determination Date</w:t>
      </w:r>
      <w:r>
        <w:rPr>
          <w:rFonts w:ascii="Arial" w:cs="Arial" w:eastAsia="Arial" w:hAnsi="Arial"/>
          <w:sz w:val="17"/>
          <w:szCs w:val="17"/>
          <w:color w:val="auto"/>
        </w:rPr>
        <w:t>”), the Auction Agent will determine (in consultation with the Borrower and subject to rounding requirements of</w:t>
      </w:r>
    </w:p>
    <w:p>
      <w:pPr>
        <w:sectPr>
          <w:pgSz w:w="11900" w:h="16841" w:orient="portrait"/>
          <w:cols w:equalWidth="0" w:num="1">
            <w:col w:w="10785"/>
          </w:cols>
          <w:pgMar w:left="875" w:top="118" w:right="239" w:bottom="0" w:gutter="0" w:footer="0" w:header="0"/>
        </w:sectPr>
      </w:pPr>
    </w:p>
    <w:bookmarkStart w:id="125" w:name="page126"/>
    <w:bookmarkEnd w:id="125"/>
    <w:p>
      <w:pPr>
        <w:jc w:val="both"/>
        <w:spacing w:after="0" w:line="260" w:lineRule="auto"/>
        <w:rPr>
          <w:sz w:val="20"/>
          <w:szCs w:val="20"/>
          <w:color w:val="auto"/>
        </w:rPr>
      </w:pPr>
      <w:r>
        <w:rPr>
          <w:rFonts w:ascii="Arial" w:cs="Arial" w:eastAsia="Arial" w:hAnsi="Arial"/>
          <w:sz w:val="18"/>
          <w:szCs w:val="18"/>
          <w:color w:val="auto"/>
        </w:rPr>
        <w:t>the Auction Agent made in its sole reasonable discretion) the aggregate principal amount and the tranches of Term Loans (the “</w:t>
      </w:r>
      <w:r>
        <w:rPr>
          <w:rFonts w:ascii="Arial" w:cs="Arial" w:eastAsia="Arial" w:hAnsi="Arial"/>
          <w:sz w:val="18"/>
          <w:szCs w:val="18"/>
          <w:b w:val="1"/>
          <w:bCs w:val="1"/>
          <w:color w:val="auto"/>
        </w:rPr>
        <w:t>Acceptable</w:t>
      </w:r>
      <w:r>
        <w:rPr>
          <w:rFonts w:ascii="Arial" w:cs="Arial" w:eastAsia="Arial" w:hAnsi="Arial"/>
          <w:sz w:val="18"/>
          <w:szCs w:val="18"/>
          <w:color w:val="auto"/>
        </w:rPr>
        <w:t xml:space="preserve"> </w:t>
      </w:r>
      <w:r>
        <w:rPr>
          <w:rFonts w:ascii="Arial" w:cs="Arial" w:eastAsia="Arial" w:hAnsi="Arial"/>
          <w:sz w:val="18"/>
          <w:szCs w:val="18"/>
          <w:b w:val="1"/>
          <w:bCs w:val="1"/>
          <w:color w:val="auto"/>
        </w:rPr>
        <w:t>Prepayment Amount</w:t>
      </w:r>
      <w:r>
        <w:rPr>
          <w:rFonts w:ascii="Arial" w:cs="Arial" w:eastAsia="Arial" w:hAnsi="Arial"/>
          <w:sz w:val="18"/>
          <w:szCs w:val="18"/>
          <w:color w:val="auto"/>
        </w:rPr>
        <w:t>”) to be prepaid by the Borrower at the Acceptable Discount in accordance with this Section 2.09(a)(ii)(D). If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8"/>
          <w:szCs w:val="18"/>
          <w:b w:val="1"/>
          <w:bCs w:val="1"/>
          <w:color w:val="auto"/>
        </w:rPr>
        <w:t>Qualifying Lender</w:t>
      </w:r>
      <w:r>
        <w:rPr>
          <w:rFonts w:ascii="Arial" w:cs="Arial" w:eastAsia="Arial" w:hAnsi="Arial"/>
          <w:sz w:val="18"/>
          <w:szCs w:val="18"/>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aggregate Offered Amount by all Qualifying Lenders whose Offered Discount is greater than or equal to the Acceptable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8"/>
          <w:szCs w:val="18"/>
          <w:b w:val="1"/>
          <w:bCs w:val="1"/>
          <w:color w:val="auto"/>
        </w:rPr>
        <w:t>Identified Qualifying Lenders</w:t>
      </w:r>
      <w:r>
        <w:rPr>
          <w:rFonts w:ascii="Arial" w:cs="Arial" w:eastAsia="Arial" w:hAnsi="Arial"/>
          <w:sz w:val="18"/>
          <w:szCs w:val="18"/>
          <w:color w:val="auto"/>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8"/>
          <w:szCs w:val="18"/>
          <w:b w:val="1"/>
          <w:bCs w:val="1"/>
          <w:color w:val="auto"/>
        </w:rPr>
        <w:t>Solicited Discount Proration</w:t>
      </w:r>
      <w:r>
        <w:rPr>
          <w:rFonts w:ascii="Arial" w:cs="Arial" w:eastAsia="Arial" w:hAnsi="Arial"/>
          <w:sz w:val="18"/>
          <w:szCs w:val="18"/>
          <w:color w:val="auto"/>
        </w:rPr>
        <w:t>”). On or prior to the Discounted Prepayment Determination Date, the Auction Agent 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spacing w:after="0" w:line="189" w:lineRule="exact"/>
        <w:rPr>
          <w:sz w:val="20"/>
          <w:szCs w:val="20"/>
          <w:color w:val="auto"/>
        </w:rPr>
      </w:pPr>
    </w:p>
    <w:p>
      <w:pPr>
        <w:jc w:val="both"/>
        <w:ind w:left="1260" w:firstLine="635"/>
        <w:spacing w:after="0" w:line="259" w:lineRule="auto"/>
        <w:tabs>
          <w:tab w:leader="none" w:pos="2363" w:val="left"/>
        </w:tabs>
        <w:numPr>
          <w:ilvl w:val="1"/>
          <w:numId w:val="62"/>
        </w:numPr>
        <w:rPr>
          <w:rFonts w:ascii="Arial" w:cs="Arial" w:eastAsia="Arial" w:hAnsi="Arial"/>
          <w:sz w:val="19"/>
          <w:szCs w:val="19"/>
          <w:color w:val="auto"/>
        </w:rPr>
      </w:pPr>
      <w:r>
        <w:rPr>
          <w:rFonts w:ascii="Arial" w:cs="Arial" w:eastAsia="Arial" w:hAnsi="Arial"/>
          <w:sz w:val="19"/>
          <w:szCs w:val="19"/>
          <w:color w:val="auto"/>
        </w:rPr>
        <w:t>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spacing w:after="0" w:line="171" w:lineRule="exact"/>
        <w:rPr>
          <w:rFonts w:ascii="Arial" w:cs="Arial" w:eastAsia="Arial" w:hAnsi="Arial"/>
          <w:sz w:val="19"/>
          <w:szCs w:val="19"/>
          <w:color w:val="auto"/>
        </w:rPr>
      </w:pPr>
    </w:p>
    <w:p>
      <w:pPr>
        <w:jc w:val="both"/>
        <w:ind w:left="1260" w:firstLine="635"/>
        <w:spacing w:after="0" w:line="247" w:lineRule="auto"/>
        <w:tabs>
          <w:tab w:leader="none" w:pos="2339"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89" w:lineRule="exact"/>
        <w:rPr>
          <w:rFonts w:ascii="Arial" w:cs="Arial" w:eastAsia="Arial" w:hAnsi="Arial"/>
          <w:sz w:val="19"/>
          <w:szCs w:val="19"/>
          <w:color w:val="auto"/>
        </w:rPr>
      </w:pPr>
    </w:p>
    <w:p>
      <w:pPr>
        <w:jc w:val="both"/>
        <w:ind w:left="1260" w:firstLine="635"/>
        <w:spacing w:after="0" w:line="259" w:lineRule="auto"/>
        <w:tabs>
          <w:tab w:leader="none" w:pos="2424" w:val="left"/>
        </w:tabs>
        <w:numPr>
          <w:ilvl w:val="1"/>
          <w:numId w:val="62"/>
        </w:numPr>
        <w:rPr>
          <w:rFonts w:ascii="Arial" w:cs="Arial" w:eastAsia="Arial" w:hAnsi="Arial"/>
          <w:sz w:val="19"/>
          <w:szCs w:val="19"/>
          <w:color w:val="auto"/>
        </w:rPr>
      </w:pPr>
      <w:r>
        <w:rPr>
          <w:rFonts w:ascii="Arial" w:cs="Arial" w:eastAsia="Arial" w:hAnsi="Arial"/>
          <w:sz w:val="19"/>
          <w:szCs w:val="19"/>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171" w:lineRule="exact"/>
        <w:rPr>
          <w:rFonts w:ascii="Arial" w:cs="Arial" w:eastAsia="Arial" w:hAnsi="Arial"/>
          <w:sz w:val="19"/>
          <w:szCs w:val="19"/>
          <w:color w:val="auto"/>
        </w:rPr>
      </w:pPr>
    </w:p>
    <w:p>
      <w:pPr>
        <w:jc w:val="both"/>
        <w:ind w:left="1260" w:firstLine="635"/>
        <w:spacing w:after="0" w:line="252" w:lineRule="auto"/>
        <w:tabs>
          <w:tab w:leader="none" w:pos="2345"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notice or communication actually received outside of normal business hours shall be deemed to have been given as of the opening of business on the next Business Day.</w:t>
      </w:r>
    </w:p>
    <w:p>
      <w:pPr>
        <w:spacing w:after="0" w:line="178" w:lineRule="exact"/>
        <w:rPr>
          <w:rFonts w:ascii="Arial" w:cs="Arial" w:eastAsia="Arial" w:hAnsi="Arial"/>
          <w:sz w:val="19"/>
          <w:szCs w:val="19"/>
          <w:color w:val="auto"/>
        </w:rPr>
      </w:pPr>
    </w:p>
    <w:p>
      <w:pPr>
        <w:jc w:val="both"/>
        <w:ind w:left="1260" w:firstLine="635"/>
        <w:spacing w:after="0" w:line="250" w:lineRule="auto"/>
        <w:tabs>
          <w:tab w:leader="none" w:pos="2257" w:val="left"/>
        </w:tabs>
        <w:numPr>
          <w:ilvl w:val="1"/>
          <w:numId w:val="62"/>
        </w:numPr>
        <w:rPr>
          <w:rFonts w:ascii="Arial" w:cs="Arial" w:eastAsia="Arial" w:hAnsi="Arial"/>
          <w:sz w:val="19"/>
          <w:szCs w:val="19"/>
          <w:color w:val="auto"/>
        </w:rPr>
      </w:pPr>
      <w:r>
        <w:rPr>
          <w:rFonts w:ascii="Arial" w:cs="Arial" w:eastAsia="Arial" w:hAnsi="Arial"/>
          <w:sz w:val="19"/>
          <w:szCs w:val="19"/>
          <w:color w:val="auto"/>
        </w:rPr>
        <w:t>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w:t>
      </w:r>
    </w:p>
    <w:p>
      <w:pPr>
        <w:spacing w:after="0" w:line="183" w:lineRule="exact"/>
        <w:rPr>
          <w:rFonts w:ascii="Arial" w:cs="Arial" w:eastAsia="Arial" w:hAnsi="Arial"/>
          <w:sz w:val="19"/>
          <w:szCs w:val="19"/>
          <w:color w:val="auto"/>
        </w:rPr>
      </w:pPr>
    </w:p>
    <w:p>
      <w:pPr>
        <w:jc w:val="both"/>
        <w:ind w:left="1260" w:firstLine="635"/>
        <w:spacing w:after="0" w:line="250" w:lineRule="auto"/>
        <w:tabs>
          <w:tab w:leader="none" w:pos="2268"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the Borrower to make any prepayment to a Term Lender, as applicable, pursuant to this Section 2.09(a)(ii) shall not constitute a Default or Event of Default under Section 7.01 or otherwise).</w:t>
      </w:r>
    </w:p>
    <w:p>
      <w:pPr>
        <w:spacing w:after="0" w:line="183" w:lineRule="exact"/>
        <w:rPr>
          <w:rFonts w:ascii="Arial" w:cs="Arial" w:eastAsia="Arial" w:hAnsi="Arial"/>
          <w:sz w:val="19"/>
          <w:szCs w:val="19"/>
          <w:color w:val="auto"/>
        </w:rPr>
      </w:pPr>
    </w:p>
    <w:p>
      <w:pPr>
        <w:jc w:val="both"/>
        <w:ind w:firstLine="635"/>
        <w:spacing w:after="0" w:line="281" w:lineRule="auto"/>
        <w:tabs>
          <w:tab w:leader="none" w:pos="112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are received by or on behalf of Holdings, any Intermediate Parent, the Borrower or any of its Restricted Subsidiaries in respect of any Prepayment Event, the Borrower shall, within three Business Days after such Net Proceeds are received (or, in the case of a Prepayment Event described in clause (b) of the definition of the term “Prepayment Event,” on the date of such Prepayment Event), prepay Term Borrowings in an aggregate amount equal to 100% of the amount of such Net Proceeds;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12 months after receipt of such Net Proceeds in the business of the Borrower and its Restricted Subsidiaries (including in any acquisitions permitted under Section 6.04 and in working capital or trading activities), then no prepayment shall be required pursuant to this paragraph (b) in respect of such Net Proceeds in respect of such event (or the applicable portion of such Net Proceeds, if applicable) except to the</w:t>
      </w:r>
    </w:p>
    <w:p>
      <w:pPr>
        <w:sectPr>
          <w:pgSz w:w="11900" w:h="16838" w:orient="portrait"/>
          <w:cols w:equalWidth="0" w:num="1">
            <w:col w:w="11420"/>
          </w:cols>
          <w:pgMar w:left="240" w:top="118" w:right="239" w:bottom="0" w:gutter="0" w:footer="0" w:header="0"/>
        </w:sectPr>
      </w:pPr>
    </w:p>
    <w:bookmarkStart w:id="126" w:name="page127"/>
    <w:bookmarkEnd w:id="126"/>
    <w:p>
      <w:pPr>
        <w:jc w:val="both"/>
        <w:spacing w:after="0" w:line="281" w:lineRule="auto"/>
        <w:rPr>
          <w:sz w:val="20"/>
          <w:szCs w:val="20"/>
          <w:color w:val="auto"/>
        </w:rPr>
      </w:pPr>
      <w:r>
        <w:rPr>
          <w:rFonts w:ascii="Arial" w:cs="Arial" w:eastAsia="Arial" w:hAnsi="Arial"/>
          <w:sz w:val="18"/>
          <w:szCs w:val="18"/>
          <w:color w:val="auto"/>
        </w:rPr>
        <w:t>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w:t>
      </w:r>
    </w:p>
    <w:p>
      <w:pPr>
        <w:spacing w:after="0" w:line="153" w:lineRule="exact"/>
        <w:rPr>
          <w:sz w:val="20"/>
          <w:szCs w:val="20"/>
          <w:color w:val="auto"/>
        </w:rPr>
      </w:pPr>
    </w:p>
    <w:p>
      <w:pPr>
        <w:jc w:val="both"/>
        <w:ind w:firstLine="635"/>
        <w:spacing w:after="0" w:line="264" w:lineRule="auto"/>
        <w:tabs>
          <w:tab w:leader="none" w:pos="11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Commencing with the fiscal quarter of Holdings ending December 31, 2019, the Borrower shall prepay Term Borrowings in an aggregate amount equal to the ECF Percentage of Excess Cash Flow for such fiscal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shall be reduced by the aggregate amount of prepayments of Term Loans made pursuant to Section 2.09(a)(i) during such period (excluding all such prepayments funded with the proceeds of other Indebtedness, the issuance of Equity Interests or receipt of capital contributions or the proceeds of any sale or other disposition of assets outside the ordinary course of business). Each prepayment pursuant to this paragraph (c) shall be made on or before the date that is five days after the date on which financial statements are required to be delivered pursuant to Section 5.01(b) with respect to the fiscal quarter for which Excess Cash Flow is being calculated (or, in the case of any prepayment with respect to the fourth fiscal quarter of any fiscal year, the date that is five days after the date on which financial statements are required to be delivered pursuant to Section 5.01(a) with respect to the fiscal year of which such quarter is the fourth fiscal quarter).</w:t>
      </w:r>
    </w:p>
    <w:p>
      <w:pPr>
        <w:spacing w:after="0" w:line="168" w:lineRule="exact"/>
        <w:rPr>
          <w:rFonts w:ascii="Arial" w:cs="Arial" w:eastAsia="Arial" w:hAnsi="Arial"/>
          <w:sz w:val="18"/>
          <w:szCs w:val="18"/>
          <w:color w:val="auto"/>
        </w:rPr>
      </w:pPr>
    </w:p>
    <w:p>
      <w:pPr>
        <w:jc w:val="both"/>
        <w:ind w:firstLine="635"/>
        <w:spacing w:after="0" w:line="261" w:lineRule="auto"/>
        <w:tabs>
          <w:tab w:leader="none" w:pos="10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Prior to any optional prepayment of Borrowings pursuant to Section 2.09(a)(i), the Borrower shall select the Borrowing or Borrowings to be prepaid and shall specify such selection in the notice of such prepayment pursuant to paragraph (e) of this Section 2.09.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2.09 (other than an optional prepayment pursuant to paragraph (a)(i) of this Section 2.09, which may not be declined), in which case the aggregate amount of the prepayment that would have been applied to prepay Term Loans or Other Term Loans of any such Class but was so declined shall be retained by the Borrower (such amounts, “</w:t>
      </w:r>
      <w:r>
        <w:rPr>
          <w:rFonts w:ascii="Arial" w:cs="Arial" w:eastAsia="Arial" w:hAnsi="Arial"/>
          <w:sz w:val="18"/>
          <w:szCs w:val="18"/>
          <w:b w:val="1"/>
          <w:bCs w:val="1"/>
          <w:color w:val="auto"/>
        </w:rPr>
        <w:t>Retained Declined Proceeds</w:t>
      </w:r>
      <w:r>
        <w:rPr>
          <w:rFonts w:ascii="Arial" w:cs="Arial" w:eastAsia="Arial" w:hAnsi="Arial"/>
          <w:sz w:val="18"/>
          <w:szCs w:val="18"/>
          <w:color w:val="auto"/>
        </w:rPr>
        <w:t>”). Optional prepayments of Term Borrowings shall be allocated among the Classes of Term Borrowings as directed by the Borrower. In the absence of a designation by the Borrower as described in the preceding provisions of this paragraph (d) of the Type of Borrowing of any Class, the Administrative Agent shall make such designation in its reasonable discretion with a view, but no obligation, to minimize breakage costs owing under Section 2.14.</w:t>
      </w:r>
    </w:p>
    <w:p>
      <w:pPr>
        <w:spacing w:after="0" w:line="180" w:lineRule="exact"/>
        <w:rPr>
          <w:rFonts w:ascii="Arial" w:cs="Arial" w:eastAsia="Arial" w:hAnsi="Arial"/>
          <w:sz w:val="18"/>
          <w:szCs w:val="18"/>
          <w:color w:val="auto"/>
        </w:rPr>
      </w:pPr>
    </w:p>
    <w:p>
      <w:pPr>
        <w:jc w:val="both"/>
        <w:ind w:firstLine="635"/>
        <w:spacing w:after="0" w:line="279" w:lineRule="auto"/>
        <w:tabs>
          <w:tab w:leader="none" w:pos="1058"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(and, in the case of prepayment of a Swingline Loan, the Swingline Lender) by telephone (confirmed by facsimile) of any prepayment hereunder (i) 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w:t>
      </w:r>
    </w:p>
    <w:p>
      <w:pPr>
        <w:spacing w:after="0" w:line="156" w:lineRule="exact"/>
        <w:rPr>
          <w:rFonts w:ascii="Arial" w:cs="Arial" w:eastAsia="Arial" w:hAnsi="Arial"/>
          <w:sz w:val="17"/>
          <w:szCs w:val="17"/>
          <w:color w:val="auto"/>
        </w:rPr>
      </w:pPr>
    </w:p>
    <w:p>
      <w:pPr>
        <w:jc w:val="both"/>
        <w:ind w:firstLine="635"/>
        <w:spacing w:after="0" w:line="276" w:lineRule="auto"/>
        <w:tabs>
          <w:tab w:leader="none" w:pos="997"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any other provisions of Section 2.09(b) or (c), (A) to the extent that any of or all the Net Proceeds of any Prepayment Event by a Foreign Subsidiary giving rise to a prepayment pursuant to Section 2.09(b) (a “</w:t>
      </w:r>
      <w:r>
        <w:rPr>
          <w:rFonts w:ascii="Arial" w:cs="Arial" w:eastAsia="Arial" w:hAnsi="Arial"/>
          <w:sz w:val="17"/>
          <w:szCs w:val="17"/>
          <w:b w:val="1"/>
          <w:bCs w:val="1"/>
          <w:color w:val="auto"/>
        </w:rPr>
        <w:t>Foreign Prepayment Event</w:t>
      </w:r>
      <w:r>
        <w:rPr>
          <w:rFonts w:ascii="Arial" w:cs="Arial" w:eastAsia="Arial" w:hAnsi="Arial"/>
          <w:sz w:val="17"/>
          <w:szCs w:val="17"/>
          <w:color w:val="auto"/>
        </w:rPr>
        <w:t xml:space="preserve">”) or Excess Cash Flow attributable to a Foreign Subsidiary are prohibited or delayed by applicable local law from being repatriated to the Borrower, the portion of such Net Proceeds or Excess Cash Flow so affected will not be required to be applied to repay Term Loans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Net Proceeds or Excess Cash Flow will be promptly (and in any event not later than three Business Days after any repatriation of such amounts) applied (net of additional taxes payable or reserved against as a result thereof) to the repayment of the Term Loans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(B), on or before the date that is eighteen months after the date that such Net Proceeds are received (or, in the case of Excess Cash Flow, a date on or before the date that is eighteen months after the date such Excess Cash Flow would have so required to be applied to prepayments pursuant to Section 2.09(c) unless previously repatriated in which case such repatriated Excess Cash Flow shall have been promptly applied to the repayment of the Term Loans pursuant to Section 2.09(c)), (x) the Borrower applies an amount equal to such Net Proceeds or Excess Cash Flow to such reinvestments or prepayments as if such Net Proceeds or Excess Cash Flow had been received by the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 Foreign Subsidiary) or (y) such Net Proceeds or Excess Cash Flow shall be applied to the repayment of Indebtedness of a Foreign Subsidiary.</w:t>
      </w:r>
    </w:p>
    <w:p>
      <w:pPr>
        <w:spacing w:after="0" w:line="174" w:lineRule="exact"/>
        <w:rPr>
          <w:rFonts w:ascii="Arial" w:cs="Arial" w:eastAsia="Arial" w:hAnsi="Arial"/>
          <w:sz w:val="17"/>
          <w:szCs w:val="17"/>
          <w:color w:val="auto"/>
        </w:rPr>
      </w:pPr>
    </w:p>
    <w:p>
      <w:pPr>
        <w:jc w:val="both"/>
        <w:ind w:firstLine="635"/>
        <w:spacing w:after="0" w:line="254" w:lineRule="auto"/>
        <w:tabs>
          <w:tab w:leader="none" w:pos="1186"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and on each occasion that (i) the aggregate Revolving Exposures of any Class exceed the aggregate Revolving Commitments of such Class, the Borrower shall prepay Revolving Borrowings or Swingline Loans of such Class (or, if no such Borrowings are outstanding, deposit cash collateral in an account with the Administrative Agent pursuant to Section 2.22) in an aggregate amount necessary to eliminate such excess.</w:t>
      </w:r>
    </w:p>
    <w:p>
      <w:pPr>
        <w:spacing w:after="0" w:line="177" w:lineRule="exact"/>
        <w:rPr>
          <w:rFonts w:ascii="Arial" w:cs="Arial" w:eastAsia="Arial" w:hAnsi="Arial"/>
          <w:sz w:val="19"/>
          <w:szCs w:val="19"/>
          <w:color w:val="auto"/>
        </w:rPr>
      </w:pPr>
    </w:p>
    <w:p>
      <w:pPr>
        <w:jc w:val="both"/>
        <w:ind w:firstLine="635"/>
        <w:spacing w:after="0" w:line="304" w:lineRule="auto"/>
        <w:tabs>
          <w:tab w:leader="none" w:pos="10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w:t>
      </w:r>
    </w:p>
    <w:p>
      <w:pPr>
        <w:sectPr>
          <w:pgSz w:w="11900" w:h="16838" w:orient="portrait"/>
          <w:cols w:equalWidth="0" w:num="1">
            <w:col w:w="11420"/>
          </w:cols>
          <w:pgMar w:left="240" w:top="122" w:right="239" w:bottom="0" w:gutter="0" w:footer="0" w:header="0"/>
        </w:sectPr>
      </w:pPr>
    </w:p>
    <w:bookmarkStart w:id="127" w:name="page128"/>
    <w:bookmarkEnd w:id="127"/>
    <w:p>
      <w:pPr>
        <w:spacing w:after="0" w:line="275" w:lineRule="auto"/>
        <w:rPr>
          <w:sz w:val="20"/>
          <w:szCs w:val="20"/>
          <w:color w:val="auto"/>
        </w:rPr>
      </w:pPr>
      <w:r>
        <w:rPr>
          <w:rFonts w:ascii="Arial" w:cs="Arial" w:eastAsia="Arial" w:hAnsi="Arial"/>
          <w:sz w:val="19"/>
          <w:szCs w:val="19"/>
          <w:color w:val="auto"/>
        </w:rPr>
        <w:t>portion of such Lender’s Term Loan that would have otherwise been repaid or prepaid in connection therewith may be converted on a “cashless roll” basis into a new Term Loan of the applicable Class.</w:t>
      </w:r>
    </w:p>
    <w:p>
      <w:pPr>
        <w:spacing w:after="0" w:line="15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2.10.</w:t>
      </w:r>
      <w:r>
        <w:rPr>
          <w:sz w:val="20"/>
          <w:szCs w:val="20"/>
          <w:color w:val="auto"/>
        </w:rPr>
        <w:tab/>
      </w:r>
      <w:r>
        <w:rPr>
          <w:rFonts w:ascii="Arial" w:cs="Arial" w:eastAsia="Arial" w:hAnsi="Arial"/>
          <w:sz w:val="16"/>
          <w:szCs w:val="16"/>
          <w:i w:val="1"/>
          <w:iCs w:val="1"/>
          <w:color w:val="auto"/>
        </w:rPr>
        <w:t>Fees</w:t>
      </w:r>
      <w:r>
        <w:rPr>
          <w:rFonts w:ascii="Arial" w:cs="Arial" w:eastAsia="Arial" w:hAnsi="Arial"/>
          <w:sz w:val="16"/>
          <w:szCs w:val="16"/>
          <w:color w:val="auto"/>
        </w:rPr>
        <w:t>.</w:t>
      </w:r>
    </w:p>
    <w:p>
      <w:pPr>
        <w:spacing w:after="0" w:line="215" w:lineRule="exact"/>
        <w:rPr>
          <w:sz w:val="20"/>
          <w:szCs w:val="20"/>
          <w:color w:val="auto"/>
        </w:rPr>
      </w:pPr>
    </w:p>
    <w:p>
      <w:pPr>
        <w:jc w:val="both"/>
        <w:ind w:firstLine="635"/>
        <w:spacing w:after="0" w:line="252" w:lineRule="auto"/>
        <w:tabs>
          <w:tab w:leader="none" w:pos="10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and the Lead Arrangers, for their own respective accounts and the account of each applicable Lender, fees in the amounts and at the times set forth in the Fee Letter. Any upfront fees payable to a Term Lender in respect of its Initial Term Loan shall be paid out of the proceeds of such Term Lender’s Initial Term Loan as and when funded on the Closing Date and shall be treated (and reported) by the Borrower and such Term Lender as a reduction in issue price of the Initial Term Loans for U.S. federal, state and local income tax purposes.</w:t>
      </w:r>
    </w:p>
    <w:p>
      <w:pPr>
        <w:spacing w:after="0" w:line="178" w:lineRule="exact"/>
        <w:rPr>
          <w:rFonts w:ascii="Arial" w:cs="Arial" w:eastAsia="Arial" w:hAnsi="Arial"/>
          <w:sz w:val="19"/>
          <w:szCs w:val="19"/>
          <w:color w:val="auto"/>
        </w:rPr>
      </w:pPr>
    </w:p>
    <w:p>
      <w:pPr>
        <w:jc w:val="both"/>
        <w:ind w:firstLine="635"/>
        <w:spacing w:after="0" w:line="265" w:lineRule="auto"/>
        <w:tabs>
          <w:tab w:leader="none" w:pos="10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Revolving Lender a commitment fee, which shall accrue at the Commitment Fee Rate per annum on the average daily unused amount of the Revolving Commitment of such Lender during the Revolving Availability Period. Accrued commitment fees shall be payable in arrears on the third Business Day following the last day of March, June, September and December of each year and on the date on which the Revolving Commitments terminate, commencing on the first such date to occur after Closing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but not to the extent of the outstanding Swingline Loans or Swingline Exposure of such Lender.</w:t>
      </w:r>
    </w:p>
    <w:p>
      <w:pPr>
        <w:spacing w:after="0" w:line="166" w:lineRule="exact"/>
        <w:rPr>
          <w:rFonts w:ascii="Arial" w:cs="Arial" w:eastAsia="Arial" w:hAnsi="Arial"/>
          <w:sz w:val="18"/>
          <w:szCs w:val="18"/>
          <w:color w:val="auto"/>
        </w:rPr>
      </w:pPr>
    </w:p>
    <w:p>
      <w:pPr>
        <w:jc w:val="both"/>
        <w:ind w:firstLine="635"/>
        <w:spacing w:after="0" w:line="278" w:lineRule="auto"/>
        <w:tabs>
          <w:tab w:leader="none" w:pos="1097"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during the period from and including the Closing Date to and including the later of the date on which such Lender’s Revolving Commitment terminates and the date on which such Lender ceases to have any LC Exposure and (ii) to each Issuing Bank a fronting fee, which shall accrue at the rate of 0.125% per annum on the daily amount of the LC Exposure attributable to Letters of Credit issued by such Issuing Bank (excluding any portion thereof attributable to unreimbursed LC Disbursements) during the period from and including the Closing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(c)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0" w:lineRule="exact"/>
        <w:rPr>
          <w:rFonts w:ascii="Arial" w:cs="Arial" w:eastAsia="Arial" w:hAnsi="Arial"/>
          <w:sz w:val="17"/>
          <w:szCs w:val="17"/>
          <w:color w:val="auto"/>
        </w:rPr>
      </w:pPr>
    </w:p>
    <w:p>
      <w:pPr>
        <w:ind w:firstLine="635"/>
        <w:spacing w:after="0" w:line="274" w:lineRule="auto"/>
        <w:tabs>
          <w:tab w:leader="none" w:pos="104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its own account, fees payable in the amounts and at the times separately agreed upon between the Borrower and the Administrative Agent.</w:t>
      </w:r>
    </w:p>
    <w:p>
      <w:pPr>
        <w:spacing w:after="0" w:line="157" w:lineRule="exact"/>
        <w:rPr>
          <w:rFonts w:ascii="Arial" w:cs="Arial" w:eastAsia="Arial" w:hAnsi="Arial"/>
          <w:sz w:val="19"/>
          <w:szCs w:val="19"/>
          <w:color w:val="auto"/>
        </w:rPr>
      </w:pPr>
    </w:p>
    <w:p>
      <w:pPr>
        <w:ind w:firstLine="635"/>
        <w:spacing w:after="0" w:line="274" w:lineRule="auto"/>
        <w:tabs>
          <w:tab w:leader="none" w:pos="1031"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Notwithstanding the foregoing, and subject to Section 2.21, the Borrower shall not be obligated to pay any amounts to any Defaulting Lender pursuant to this Section 2.10.</w:t>
      </w:r>
    </w:p>
    <w:p>
      <w:pPr>
        <w:spacing w:after="0" w:line="15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7"/>
          <w:szCs w:val="17"/>
          <w:i w:val="1"/>
          <w:iCs w:val="1"/>
          <w:color w:val="auto"/>
        </w:rPr>
        <w:t>Interest</w:t>
      </w:r>
      <w:r>
        <w:rPr>
          <w:rFonts w:ascii="Arial" w:cs="Arial" w:eastAsia="Arial" w:hAnsi="Arial"/>
          <w:sz w:val="17"/>
          <w:szCs w:val="17"/>
          <w:color w:val="auto"/>
        </w:rPr>
        <w:t>.</w:t>
      </w:r>
    </w:p>
    <w:p>
      <w:pPr>
        <w:spacing w:after="0" w:line="215" w:lineRule="exact"/>
        <w:rPr>
          <w:sz w:val="20"/>
          <w:szCs w:val="20"/>
          <w:color w:val="auto"/>
        </w:rPr>
      </w:pPr>
    </w:p>
    <w:p>
      <w:pPr>
        <w:ind w:firstLine="635"/>
        <w:spacing w:after="0" w:line="274" w:lineRule="auto"/>
        <w:tabs>
          <w:tab w:leader="none" w:pos="105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Loans comprising each ABR Borrowing (including each Swingline Loan) shall bear interest at the Alternate Base Rate plus the Applicable Rate.</w:t>
      </w:r>
    </w:p>
    <w:p>
      <w:pPr>
        <w:spacing w:after="0" w:line="157" w:lineRule="exact"/>
        <w:rPr>
          <w:rFonts w:ascii="Arial" w:cs="Arial" w:eastAsia="Arial" w:hAnsi="Arial"/>
          <w:sz w:val="19"/>
          <w:szCs w:val="19"/>
          <w:color w:val="auto"/>
        </w:rPr>
      </w:pPr>
    </w:p>
    <w:p>
      <w:pPr>
        <w:ind w:firstLine="635"/>
        <w:spacing w:after="0" w:line="274" w:lineRule="auto"/>
        <w:tabs>
          <w:tab w:leader="none" w:pos="106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Loans comprising each Eurodollar Borrowing shall bear interest at the Adjusted LIBO Rate for the Interest Period in effect for such Borrowing plus the Applicable Rate.</w:t>
      </w:r>
    </w:p>
    <w:p>
      <w:pPr>
        <w:spacing w:after="0" w:line="157" w:lineRule="exact"/>
        <w:rPr>
          <w:rFonts w:ascii="Arial" w:cs="Arial" w:eastAsia="Arial" w:hAnsi="Arial"/>
          <w:sz w:val="19"/>
          <w:szCs w:val="19"/>
          <w:color w:val="auto"/>
        </w:rPr>
      </w:pPr>
    </w:p>
    <w:p>
      <w:pPr>
        <w:jc w:val="both"/>
        <w:ind w:firstLine="635"/>
        <w:spacing w:after="0" w:line="265" w:lineRule="auto"/>
        <w:tabs>
          <w:tab w:leader="none" w:pos="11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2.11 or (ii) in the case of any other amount, 2.00% per annum plus the rate applicable to ABR Term Loans as provided in paragraph (a)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amount shall be payable pursuant to this Section 2.11(c) to a Defaulting Lender so long as such Lender shall be a Defaulting Lender;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amounts shall accrue pursuant to this Section 2.11(c) on any overdue amount, reimbursement obligation in respect of any LC Disbursement or other amount payable to a Defaulting Lender so long as such Lender shall be a Defaulting Lender.</w:t>
      </w:r>
    </w:p>
    <w:p>
      <w:pPr>
        <w:spacing w:after="0" w:line="166" w:lineRule="exact"/>
        <w:rPr>
          <w:rFonts w:ascii="Arial" w:cs="Arial" w:eastAsia="Arial" w:hAnsi="Arial"/>
          <w:sz w:val="18"/>
          <w:szCs w:val="18"/>
          <w:color w:val="auto"/>
        </w:rPr>
      </w:pPr>
    </w:p>
    <w:p>
      <w:pPr>
        <w:jc w:val="both"/>
        <w:ind w:firstLine="635"/>
        <w:spacing w:after="0" w:line="250" w:lineRule="auto"/>
        <w:tabs>
          <w:tab w:leader="none" w:pos="105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3" w:lineRule="exact"/>
        <w:rPr>
          <w:rFonts w:ascii="Arial" w:cs="Arial" w:eastAsia="Arial" w:hAnsi="Arial"/>
          <w:sz w:val="19"/>
          <w:szCs w:val="19"/>
          <w:color w:val="auto"/>
        </w:rPr>
      </w:pPr>
    </w:p>
    <w:p>
      <w:pPr>
        <w:jc w:val="both"/>
        <w:ind w:firstLine="635"/>
        <w:spacing w:after="0" w:line="254" w:lineRule="auto"/>
        <w:tabs>
          <w:tab w:leader="none" w:pos="101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2.12.</w:t>
      </w:r>
      <w:r>
        <w:rPr>
          <w:sz w:val="20"/>
          <w:szCs w:val="20"/>
          <w:color w:val="auto"/>
        </w:rPr>
        <w:tab/>
      </w:r>
      <w:r>
        <w:rPr>
          <w:rFonts w:ascii="Arial" w:cs="Arial" w:eastAsia="Arial" w:hAnsi="Arial"/>
          <w:sz w:val="17"/>
          <w:szCs w:val="17"/>
          <w:i w:val="1"/>
          <w:iCs w:val="1"/>
          <w:color w:val="auto"/>
        </w:rPr>
        <w:t>Alternate Rate of Interest</w:t>
      </w:r>
      <w:r>
        <w:rPr>
          <w:rFonts w:ascii="Arial" w:cs="Arial" w:eastAsia="Arial" w:hAnsi="Arial"/>
          <w:sz w:val="17"/>
          <w:szCs w:val="17"/>
          <w:color w:val="auto"/>
        </w:rPr>
        <w:t>.</w:t>
      </w:r>
    </w:p>
    <w:p>
      <w:pPr>
        <w:spacing w:after="0" w:line="215"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If prior to the commencement of any Interest Period for a Eurodollar Borrowing:</w:t>
      </w:r>
    </w:p>
    <w:p>
      <w:pPr>
        <w:sectPr>
          <w:pgSz w:w="11900" w:h="16838" w:orient="portrait"/>
          <w:cols w:equalWidth="0" w:num="1">
            <w:col w:w="11420"/>
          </w:cols>
          <w:pgMar w:left="240" w:top="121" w:right="239" w:bottom="0" w:gutter="0" w:footer="0" w:header="0"/>
        </w:sectPr>
      </w:pPr>
    </w:p>
    <w:bookmarkStart w:id="128" w:name="page129"/>
    <w:bookmarkEnd w:id="128"/>
    <w:p>
      <w:pPr>
        <w:spacing w:after="0" w:line="160" w:lineRule="exact"/>
        <w:rPr>
          <w:sz w:val="20"/>
          <w:szCs w:val="20"/>
          <w:color w:val="auto"/>
        </w:rPr>
      </w:pPr>
    </w:p>
    <w:p>
      <w:pPr>
        <w:jc w:val="both"/>
        <w:ind w:left="640" w:firstLine="861"/>
        <w:spacing w:after="0" w:line="281" w:lineRule="auto"/>
        <w:tabs>
          <w:tab w:leader="none" w:pos="19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or the LIBO Rate, as applicable (including, without limitation, because the LIBO Screen Rate is not available or published on a current basis) for such Interest Period; or</w:t>
      </w:r>
    </w:p>
    <w:p>
      <w:pPr>
        <w:spacing w:after="0" w:line="153" w:lineRule="exact"/>
        <w:rPr>
          <w:rFonts w:ascii="Arial" w:cs="Arial" w:eastAsia="Arial" w:hAnsi="Arial"/>
          <w:sz w:val="18"/>
          <w:szCs w:val="18"/>
          <w:color w:val="auto"/>
        </w:rPr>
      </w:pPr>
    </w:p>
    <w:p>
      <w:pPr>
        <w:jc w:val="both"/>
        <w:ind w:left="640" w:firstLine="861"/>
        <w:spacing w:after="0" w:line="259" w:lineRule="auto"/>
        <w:tabs>
          <w:tab w:leader="none" w:pos="191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Borrowing for such Interest Period;</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then 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each case, the Borrower may revoke any Borrowing Request that is pending when such notice is received.</w:t>
      </w:r>
    </w:p>
    <w:p>
      <w:pPr>
        <w:spacing w:after="0" w:line="149" w:lineRule="exact"/>
        <w:rPr>
          <w:sz w:val="20"/>
          <w:szCs w:val="20"/>
          <w:color w:val="auto"/>
        </w:rPr>
      </w:pPr>
    </w:p>
    <w:p>
      <w:pPr>
        <w:jc w:val="both"/>
        <w:ind w:firstLine="635"/>
        <w:spacing w:after="0" w:line="261"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9.02, such amendment shall become effective without any further action or consent of any other party to this Agreement so long as the Administrative Agent shall not have received, within five Business Days after the date on which notice of such alternate rate of interest is provided to the Lenders, a written notice from the Majority in Interest of Lenders of each Class stating that such Majority in Interest of Lenders object to such amendment. Until an alternate rate of interest shall be determined in accordance with this clause (b) (but, in the case of the circumstances described in clause (ii) of the first sentence of this Section 2.12(b),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176"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2.13.</w:t>
      </w:r>
      <w:r>
        <w:rPr>
          <w:sz w:val="20"/>
          <w:szCs w:val="20"/>
          <w:color w:val="auto"/>
        </w:rPr>
        <w:tab/>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15" w:lineRule="exact"/>
        <w:rPr>
          <w:sz w:val="20"/>
          <w:szCs w:val="20"/>
          <w:color w:val="auto"/>
        </w:rPr>
      </w:pPr>
    </w:p>
    <w:p>
      <w:pPr>
        <w:ind w:left="1020" w:hanging="385"/>
        <w:spacing w:after="0"/>
        <w:tabs>
          <w:tab w:leader="none" w:pos="10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any Change in Law shall:</w:t>
      </w:r>
    </w:p>
    <w:p>
      <w:pPr>
        <w:spacing w:after="0" w:line="214" w:lineRule="exact"/>
        <w:rPr>
          <w:rFonts w:ascii="Arial" w:cs="Arial" w:eastAsia="Arial" w:hAnsi="Arial"/>
          <w:sz w:val="19"/>
          <w:szCs w:val="19"/>
          <w:color w:val="auto"/>
        </w:rPr>
      </w:pPr>
    </w:p>
    <w:p>
      <w:pPr>
        <w:jc w:val="both"/>
        <w:ind w:left="640" w:firstLine="861"/>
        <w:spacing w:after="0" w:line="259" w:lineRule="auto"/>
        <w:tabs>
          <w:tab w:leader="none" w:pos="1889" w:val="left"/>
        </w:tabs>
        <w:numPr>
          <w:ilvl w:val="1"/>
          <w:numId w:val="69"/>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71" w:lineRule="exact"/>
        <w:rPr>
          <w:rFonts w:ascii="Arial" w:cs="Arial" w:eastAsia="Arial" w:hAnsi="Arial"/>
          <w:sz w:val="19"/>
          <w:szCs w:val="19"/>
          <w:color w:val="auto"/>
        </w:rPr>
      </w:pPr>
    </w:p>
    <w:p>
      <w:pPr>
        <w:ind w:left="640" w:firstLine="861"/>
        <w:spacing w:after="0" w:line="274" w:lineRule="auto"/>
        <w:tabs>
          <w:tab w:leader="none" w:pos="1942" w:val="left"/>
        </w:tabs>
        <w:numPr>
          <w:ilvl w:val="1"/>
          <w:numId w:val="69"/>
        </w:numPr>
        <w:rPr>
          <w:rFonts w:ascii="Arial" w:cs="Arial" w:eastAsia="Arial" w:hAnsi="Arial"/>
          <w:sz w:val="19"/>
          <w:szCs w:val="19"/>
          <w:color w:val="auto"/>
        </w:rPr>
      </w:pPr>
      <w:r>
        <w:rPr>
          <w:rFonts w:ascii="Arial" w:cs="Arial" w:eastAsia="Arial" w:hAnsi="Arial"/>
          <w:sz w:val="19"/>
          <w:szCs w:val="19"/>
          <w:color w:val="auto"/>
        </w:rPr>
        <w:t>impose on any Lender or any Issuing Bank or the London interbank market any other condition, cost or expense affecting this Agreement or Eurodollar Loans made by such Lender or any Letter of Credit or participation therein;</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Eurodollar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Notwithstanding the foregoing, this paragraph will not apply to any such increased costs or reductions resulting from Taxes as to which Section 2.15 shall govern.</w:t>
      </w:r>
    </w:p>
    <w:p>
      <w:pPr>
        <w:spacing w:after="0" w:line="153" w:lineRule="exact"/>
        <w:rPr>
          <w:sz w:val="20"/>
          <w:szCs w:val="20"/>
          <w:color w:val="auto"/>
        </w:rPr>
      </w:pPr>
    </w:p>
    <w:p>
      <w:pPr>
        <w:jc w:val="both"/>
        <w:ind w:firstLine="635"/>
        <w:spacing w:after="0" w:line="265" w:lineRule="auto"/>
        <w:tabs>
          <w:tab w:leader="none" w:pos="102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66" w:lineRule="exact"/>
        <w:rPr>
          <w:rFonts w:ascii="Arial" w:cs="Arial" w:eastAsia="Arial" w:hAnsi="Arial"/>
          <w:sz w:val="18"/>
          <w:szCs w:val="18"/>
          <w:color w:val="auto"/>
        </w:rPr>
      </w:pPr>
    </w:p>
    <w:p>
      <w:pPr>
        <w:jc w:val="both"/>
        <w:ind w:firstLine="635"/>
        <w:spacing w:after="0" w:line="254" w:lineRule="auto"/>
        <w:tabs>
          <w:tab w:leader="none" w:pos="10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A certificate of a Lender or an Issuing Bank setting forth the amount or amounts necessary to compensate such Lender or Issuing Bank or its holding company in reasonable detail, as the case may be, as specified in paragraph (a) or (b) of this Section 2.13 delivered to the Borrower shall be conclusive absent manifest error. The Borrower shall pay such Lender or Issuing Bank, as the case may be, the amount shown as due on any such certificate within 15 days after receipt thereof.</w:t>
      </w:r>
    </w:p>
    <w:p>
      <w:pPr>
        <w:spacing w:after="0" w:line="177" w:lineRule="exact"/>
        <w:rPr>
          <w:rFonts w:ascii="Arial" w:cs="Arial" w:eastAsia="Arial" w:hAnsi="Arial"/>
          <w:sz w:val="19"/>
          <w:szCs w:val="19"/>
          <w:color w:val="auto"/>
        </w:rPr>
      </w:pPr>
    </w:p>
    <w:p>
      <w:pPr>
        <w:jc w:val="both"/>
        <w:ind w:firstLine="635"/>
        <w:spacing w:after="0" w:line="250" w:lineRule="auto"/>
        <w:tabs>
          <w:tab w:leader="none" w:pos="1029"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Issuing Bank to demand compensation pursuant to this Section 2.13 shall not constitute a waiver of such Lender’s or Issuing Bank’s right to demand such compensation,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Borrower shall not be required to compensate a Lender or Issuing Bank pursuant to this Section 2.13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9" w:lineRule="exact"/>
        <w:rPr>
          <w:sz w:val="20"/>
          <w:szCs w:val="20"/>
          <w:color w:val="auto"/>
        </w:rPr>
      </w:pPr>
    </w:p>
    <w:p>
      <w:pPr>
        <w:ind w:firstLine="630"/>
        <w:spacing w:after="0" w:line="335"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Break Funding Payments.</w:t>
      </w:r>
      <w:r>
        <w:rPr>
          <w:rFonts w:ascii="Arial" w:cs="Arial" w:eastAsia="Arial" w:hAnsi="Arial"/>
          <w:sz w:val="17"/>
          <w:szCs w:val="17"/>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w:t>
      </w:r>
    </w:p>
    <w:p>
      <w:pPr>
        <w:sectPr>
          <w:pgSz w:w="11900" w:h="16998" w:orient="portrait"/>
          <w:cols w:equalWidth="0" w:num="1">
            <w:col w:w="11420"/>
          </w:cols>
          <w:pgMar w:left="240" w:top="121" w:right="239" w:bottom="0" w:gutter="0" w:footer="0" w:header="0"/>
        </w:sectPr>
      </w:pPr>
    </w:p>
    <w:bookmarkStart w:id="129" w:name="page130"/>
    <w:bookmarkEnd w:id="129"/>
    <w:p>
      <w:pPr>
        <w:jc w:val="both"/>
        <w:spacing w:after="0" w:line="276" w:lineRule="auto"/>
        <w:rPr>
          <w:sz w:val="20"/>
          <w:szCs w:val="20"/>
          <w:color w:val="auto"/>
        </w:rPr>
      </w:pPr>
      <w:r>
        <w:rPr>
          <w:rFonts w:ascii="Arial" w:cs="Arial" w:eastAsia="Arial" w:hAnsi="Arial"/>
          <w:sz w:val="17"/>
          <w:szCs w:val="17"/>
          <w:color w:val="auto"/>
        </w:rPr>
        <w:t>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Eurodollar Loan other than on the last day of the Interest Period applicable thereto as a result of a request by the Borrower pursuant to Section 2.17 or Section 9.02(c), then, in any such event, the Borrower shall, after receipt of a written request by any Lender affected by any such event (which request shall set forth in reasonable detail the basis for requesting such amount), compensate each Lender for the loss, cost and expense attributable to such event. In the case of a Eurodollar Loan, such loss, cost or expense to any Lender shall be deemed to be the amount determined by such Lender (it being understood that the deemed amount shall not exceed the actual amount)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a Eurodollar Loan, for the period that would have been the Interest Period for such Loan), over</w:t>
      </w:r>
    </w:p>
    <w:p>
      <w:pPr>
        <w:jc w:val="both"/>
        <w:ind w:firstLine="5"/>
        <w:spacing w:after="0" w:line="247" w:lineRule="auto"/>
        <w:tabs>
          <w:tab w:leader="none" w:pos="294"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amount of interest that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delivered to the Borrower shall be conclusive absent manifest error. The Borrower shall pay such Lender the amount shown as due on any such certificate within 15 days after receipt of such demand. Notwithstanding the foregoing, this Section 2.14 will not apply to losses, costs or expenses resulting from Taxes as to which Section 2.15 shall govern.</w:t>
      </w:r>
    </w:p>
    <w:p>
      <w:pPr>
        <w:spacing w:after="0" w:line="183"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2.15.</w:t>
      </w:r>
      <w:r>
        <w:rPr>
          <w:sz w:val="20"/>
          <w:szCs w:val="20"/>
          <w:color w:val="auto"/>
        </w:rPr>
        <w:tab/>
      </w:r>
      <w:r>
        <w:rPr>
          <w:rFonts w:ascii="Arial" w:cs="Arial" w:eastAsia="Arial" w:hAnsi="Arial"/>
          <w:sz w:val="15"/>
          <w:szCs w:val="15"/>
          <w:i w:val="1"/>
          <w:iCs w:val="1"/>
          <w:color w:val="auto"/>
        </w:rPr>
        <w:t>Taxes</w:t>
      </w:r>
      <w:r>
        <w:rPr>
          <w:rFonts w:ascii="Arial" w:cs="Arial" w:eastAsia="Arial" w:hAnsi="Arial"/>
          <w:sz w:val="15"/>
          <w:szCs w:val="15"/>
          <w:color w:val="auto"/>
        </w:rPr>
        <w:t>.</w:t>
      </w:r>
    </w:p>
    <w:p>
      <w:pPr>
        <w:spacing w:after="0" w:line="215" w:lineRule="exact"/>
        <w:rPr>
          <w:sz w:val="20"/>
          <w:szCs w:val="20"/>
          <w:color w:val="auto"/>
        </w:rPr>
      </w:pPr>
    </w:p>
    <w:p>
      <w:pPr>
        <w:jc w:val="both"/>
        <w:ind w:firstLine="635"/>
        <w:spacing w:after="0" w:line="248" w:lineRule="auto"/>
        <w:tabs>
          <w:tab w:leader="none" w:pos="101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any Loan Party under any Loan Document shall be made free and clear of and without deduction for any Indemnified Taxes or Other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applicable withholding agent shall be required by applicable Requirements of Law (as determined in 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2.15)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86" w:lineRule="exact"/>
        <w:rPr>
          <w:rFonts w:ascii="Arial" w:cs="Arial" w:eastAsia="Arial" w:hAnsi="Arial"/>
          <w:sz w:val="19"/>
          <w:szCs w:val="19"/>
          <w:color w:val="auto"/>
        </w:rPr>
      </w:pPr>
    </w:p>
    <w:p>
      <w:pPr>
        <w:ind w:firstLine="635"/>
        <w:spacing w:after="0" w:line="274" w:lineRule="auto"/>
        <w:tabs>
          <w:tab w:leader="none" w:pos="1055" w:val="left"/>
        </w:tabs>
        <w:numPr>
          <w:ilvl w:val="0"/>
          <w:numId w:val="72"/>
        </w:numPr>
        <w:rPr>
          <w:rFonts w:ascii="Arial" w:cs="Arial" w:eastAsia="Arial" w:hAnsi="Arial"/>
          <w:sz w:val="19"/>
          <w:szCs w:val="19"/>
          <w:color w:val="auto"/>
        </w:rPr>
      </w:pPr>
      <w:r>
        <w:rPr>
          <w:rFonts w:ascii="Arial" w:cs="Arial" w:eastAsia="Arial" w:hAnsi="Arial"/>
          <w:sz w:val="19"/>
          <w:szCs w:val="19"/>
          <w:color w:val="auto"/>
        </w:rPr>
        <w:t>Without limiting the provisions of paragraph (a) above, the Borrower shall timely pay any Other Taxes to the relevant Governmental Authority in accordance with Requirements of Law.</w:t>
      </w:r>
    </w:p>
    <w:p>
      <w:pPr>
        <w:spacing w:after="0" w:line="157" w:lineRule="exact"/>
        <w:rPr>
          <w:rFonts w:ascii="Arial" w:cs="Arial" w:eastAsia="Arial" w:hAnsi="Arial"/>
          <w:sz w:val="19"/>
          <w:szCs w:val="19"/>
          <w:color w:val="auto"/>
        </w:rPr>
      </w:pPr>
    </w:p>
    <w:p>
      <w:pPr>
        <w:jc w:val="both"/>
        <w:ind w:firstLine="635"/>
        <w:spacing w:after="0" w:line="284" w:lineRule="auto"/>
        <w:tabs>
          <w:tab w:leader="none" w:pos="10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52" w:lineRule="exact"/>
        <w:rPr>
          <w:rFonts w:ascii="Arial" w:cs="Arial" w:eastAsia="Arial" w:hAnsi="Arial"/>
          <w:sz w:val="17"/>
          <w:szCs w:val="17"/>
          <w:color w:val="auto"/>
        </w:rPr>
      </w:pPr>
    </w:p>
    <w:p>
      <w:pPr>
        <w:jc w:val="both"/>
        <w:ind w:firstLine="635"/>
        <w:spacing w:after="0" w:line="304" w:lineRule="auto"/>
        <w:tabs>
          <w:tab w:leader="none" w:pos="10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6" w:lineRule="exact"/>
        <w:rPr>
          <w:rFonts w:ascii="Arial" w:cs="Arial" w:eastAsia="Arial" w:hAnsi="Arial"/>
          <w:sz w:val="17"/>
          <w:szCs w:val="17"/>
          <w:color w:val="auto"/>
        </w:rPr>
      </w:pPr>
    </w:p>
    <w:p>
      <w:pPr>
        <w:jc w:val="both"/>
        <w:ind w:firstLine="635"/>
        <w:spacing w:after="0" w:line="262" w:lineRule="auto"/>
        <w:tabs>
          <w:tab w:leader="none" w:pos="10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Each such Lender shall, whenever a lapse in time or change in circumstances renders such documentation expired, obsolete or inaccurate in any material respect, deliver promptly to Borrower and the Administrative Agent updated or other appropriate documentation (including any new documentation reasonably requested by the applicable withholding agent) or promptly notify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Without limiting the generality of the foregoing:</w:t>
      </w:r>
    </w:p>
    <w:p>
      <w:pPr>
        <w:spacing w:after="0" w:line="215" w:lineRule="exact"/>
        <w:rPr>
          <w:sz w:val="20"/>
          <w:szCs w:val="20"/>
          <w:color w:val="auto"/>
        </w:rPr>
      </w:pPr>
    </w:p>
    <w:p>
      <w:pPr>
        <w:jc w:val="both"/>
        <w:ind w:left="640" w:firstLine="861"/>
        <w:spacing w:after="0" w:line="254" w:lineRule="auto"/>
        <w:tabs>
          <w:tab w:leader="none" w:pos="1863" w:val="left"/>
        </w:tabs>
        <w:numPr>
          <w:ilvl w:val="0"/>
          <w:numId w:val="73"/>
        </w:numPr>
        <w:rPr>
          <w:rFonts w:ascii="Arial" w:cs="Arial" w:eastAsia="Arial" w:hAnsi="Arial"/>
          <w:sz w:val="19"/>
          <w:szCs w:val="19"/>
          <w:color w:val="auto"/>
        </w:rPr>
      </w:pPr>
      <w:r>
        <w:rPr>
          <w:rFonts w:ascii="Arial" w:cs="Arial" w:eastAsia="Arial" w:hAnsi="Arial"/>
          <w:sz w:val="19"/>
          <w:szCs w:val="19"/>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77" w:lineRule="exact"/>
        <w:rPr>
          <w:rFonts w:ascii="Arial" w:cs="Arial" w:eastAsia="Arial" w:hAnsi="Arial"/>
          <w:sz w:val="19"/>
          <w:szCs w:val="19"/>
          <w:color w:val="auto"/>
        </w:rPr>
      </w:pPr>
    </w:p>
    <w:p>
      <w:pPr>
        <w:jc w:val="both"/>
        <w:ind w:left="640" w:firstLine="861"/>
        <w:spacing w:after="0" w:line="254" w:lineRule="auto"/>
        <w:tabs>
          <w:tab w:leader="none" w:pos="1955" w:val="left"/>
        </w:tabs>
        <w:numPr>
          <w:ilvl w:val="0"/>
          <w:numId w:val="73"/>
        </w:numPr>
        <w:rPr>
          <w:rFonts w:ascii="Arial" w:cs="Arial" w:eastAsia="Arial" w:hAnsi="Arial"/>
          <w:sz w:val="19"/>
          <w:szCs w:val="19"/>
          <w:color w:val="auto"/>
        </w:rPr>
      </w:pPr>
      <w:r>
        <w:rPr>
          <w:rFonts w:ascii="Arial" w:cs="Arial" w:eastAsia="Arial" w:hAnsi="Arial"/>
          <w:sz w:val="19"/>
          <w:szCs w:val="19"/>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77" w:lineRule="exact"/>
        <w:rPr>
          <w:rFonts w:ascii="Arial" w:cs="Arial" w:eastAsia="Arial" w:hAnsi="Arial"/>
          <w:sz w:val="19"/>
          <w:szCs w:val="19"/>
          <w:color w:val="auto"/>
        </w:rPr>
      </w:pPr>
    </w:p>
    <w:p>
      <w:pPr>
        <w:ind w:left="1260" w:firstLine="635"/>
        <w:spacing w:after="0" w:line="274" w:lineRule="auto"/>
        <w:tabs>
          <w:tab w:leader="none" w:pos="2424" w:val="left"/>
        </w:tabs>
        <w:numPr>
          <w:ilvl w:val="1"/>
          <w:numId w:val="73"/>
        </w:numPr>
        <w:rPr>
          <w:rFonts w:ascii="Arial" w:cs="Arial" w:eastAsia="Arial" w:hAnsi="Arial"/>
          <w:sz w:val="19"/>
          <w:szCs w:val="19"/>
          <w:color w:val="auto"/>
        </w:rPr>
      </w:pPr>
      <w:r>
        <w:rPr>
          <w:rFonts w:ascii="Arial" w:cs="Arial" w:eastAsia="Arial" w:hAnsi="Arial"/>
          <w:sz w:val="19"/>
          <w:szCs w:val="19"/>
          <w:color w:val="auto"/>
        </w:rPr>
        <w:t>two duly completed copies of Internal Revenue Service Form W-8BEN or W-8BEN-E (or any successor forms) claiming eligibility for benefits of an income tax treaty to which the United States of America is a party,</w:t>
      </w:r>
    </w:p>
    <w:p>
      <w:pPr>
        <w:spacing w:after="0" w:line="157" w:lineRule="exact"/>
        <w:rPr>
          <w:rFonts w:ascii="Arial" w:cs="Arial" w:eastAsia="Arial" w:hAnsi="Arial"/>
          <w:sz w:val="19"/>
          <w:szCs w:val="19"/>
          <w:color w:val="auto"/>
        </w:rPr>
      </w:pPr>
    </w:p>
    <w:p>
      <w:pPr>
        <w:ind w:left="2320" w:hanging="425"/>
        <w:spacing w:after="0"/>
        <w:tabs>
          <w:tab w:leader="none" w:pos="23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two duly completed copies of Internal Revenue Service Form W-8ECI (or any successor forms),</w:t>
      </w:r>
    </w:p>
    <w:p>
      <w:pPr>
        <w:sectPr>
          <w:pgSz w:w="11900" w:h="16838" w:orient="portrait"/>
          <w:cols w:equalWidth="0" w:num="1">
            <w:col w:w="11420"/>
          </w:cols>
          <w:pgMar w:left="240" w:top="121" w:right="239" w:bottom="13" w:gutter="0" w:footer="0" w:header="0"/>
        </w:sectPr>
      </w:pPr>
    </w:p>
    <w:bookmarkStart w:id="130" w:name="page131"/>
    <w:bookmarkEnd w:id="130"/>
    <w:p>
      <w:pPr>
        <w:ind w:left="2320" w:hanging="425"/>
        <w:spacing w:after="0"/>
        <w:tabs>
          <w:tab w:leader="none" w:pos="23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the case of a Lender claiming the benefits of the exemption for portfolio interest under Section 881(c) of the Code,</w:t>
      </w:r>
    </w:p>
    <w:p>
      <w:pPr>
        <w:spacing w:after="0" w:line="44" w:lineRule="exact"/>
        <w:rPr>
          <w:rFonts w:ascii="Arial" w:cs="Arial" w:eastAsia="Arial" w:hAnsi="Arial"/>
          <w:sz w:val="17"/>
          <w:szCs w:val="17"/>
          <w:color w:val="auto"/>
        </w:rPr>
      </w:pPr>
    </w:p>
    <w:p>
      <w:pPr>
        <w:jc w:val="both"/>
        <w:ind w:left="1260" w:firstLine="5"/>
        <w:spacing w:after="0" w:line="273" w:lineRule="auto"/>
        <w:tabs>
          <w:tab w:leader="none" w:pos="153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certificate, in substantially the form of Exhibit P (any such certificate a “</w:t>
      </w:r>
      <w:r>
        <w:rPr>
          <w:rFonts w:ascii="Arial" w:cs="Arial" w:eastAsia="Arial" w:hAnsi="Arial"/>
          <w:sz w:val="17"/>
          <w:szCs w:val="17"/>
          <w:b w:val="1"/>
          <w:bCs w:val="1"/>
          <w:color w:val="auto"/>
        </w:rPr>
        <w:t>United States Tax Compliance Certificate</w:t>
      </w:r>
      <w:r>
        <w:rPr>
          <w:rFonts w:ascii="Arial" w:cs="Arial" w:eastAsia="Arial" w:hAnsi="Arial"/>
          <w:sz w:val="17"/>
          <w:szCs w:val="17"/>
          <w:color w:val="auto"/>
        </w:rPr>
        <w:t>”), or any other form approved by the Administrative Agent, to the effect that such Lender is not (1) a “bank” within the meaning of Section 881(c)(3)(A) of the Code, (2) a “10 percent shareholder” of a Borrower within the meaning of Section 881(c)(3)(B) of the Code, or</w:t>
      </w:r>
    </w:p>
    <w:p>
      <w:pPr>
        <w:spacing w:after="0" w:line="2" w:lineRule="exact"/>
        <w:rPr>
          <w:rFonts w:ascii="Arial" w:cs="Arial" w:eastAsia="Arial" w:hAnsi="Arial"/>
          <w:sz w:val="17"/>
          <w:szCs w:val="17"/>
          <w:color w:val="auto"/>
        </w:rPr>
      </w:pPr>
    </w:p>
    <w:p>
      <w:pPr>
        <w:jc w:val="both"/>
        <w:ind w:left="1260"/>
        <w:spacing w:after="0" w:line="251" w:lineRule="auto"/>
        <w:rPr>
          <w:rFonts w:ascii="Arial" w:cs="Arial" w:eastAsia="Arial" w:hAnsi="Arial"/>
          <w:sz w:val="17"/>
          <w:szCs w:val="17"/>
          <w:color w:val="auto"/>
        </w:rPr>
      </w:pPr>
      <w:r>
        <w:rPr>
          <w:rFonts w:ascii="Arial" w:cs="Arial" w:eastAsia="Arial" w:hAnsi="Arial"/>
          <w:sz w:val="19"/>
          <w:szCs w:val="19"/>
          <w:color w:val="auto"/>
        </w:rPr>
        <w:t>(3)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W-8BEN-E (or any successor forms),</w:t>
      </w:r>
    </w:p>
    <w:p>
      <w:pPr>
        <w:spacing w:after="0" w:line="177" w:lineRule="exact"/>
        <w:rPr>
          <w:rFonts w:ascii="Arial" w:cs="Arial" w:eastAsia="Arial" w:hAnsi="Arial"/>
          <w:sz w:val="17"/>
          <w:szCs w:val="17"/>
          <w:color w:val="auto"/>
        </w:rPr>
      </w:pPr>
    </w:p>
    <w:p>
      <w:pPr>
        <w:jc w:val="both"/>
        <w:ind w:left="1260" w:firstLine="635"/>
        <w:spacing w:after="0" w:line="250" w:lineRule="auto"/>
        <w:tabs>
          <w:tab w:leader="none" w:pos="2358" w:val="left"/>
        </w:tabs>
        <w:numPr>
          <w:ilvl w:val="1"/>
          <w:numId w:val="75"/>
        </w:numPr>
        <w:rPr>
          <w:rFonts w:ascii="Arial" w:cs="Arial" w:eastAsia="Arial" w:hAnsi="Arial"/>
          <w:sz w:val="19"/>
          <w:szCs w:val="19"/>
          <w:color w:val="auto"/>
        </w:rPr>
      </w:pPr>
      <w:r>
        <w:rPr>
          <w:rFonts w:ascii="Arial" w:cs="Arial" w:eastAsia="Arial" w:hAnsi="Arial"/>
          <w:sz w:val="19"/>
          <w:szCs w:val="19"/>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78" w:lineRule="exact"/>
        <w:rPr>
          <w:rFonts w:ascii="Arial" w:cs="Arial" w:eastAsia="Arial" w:hAnsi="Arial"/>
          <w:sz w:val="19"/>
          <w:szCs w:val="19"/>
          <w:color w:val="auto"/>
        </w:rPr>
      </w:pPr>
    </w:p>
    <w:p>
      <w:pPr>
        <w:jc w:val="both"/>
        <w:ind w:left="1260" w:firstLine="635"/>
        <w:spacing w:after="0" w:line="254" w:lineRule="auto"/>
        <w:tabs>
          <w:tab w:leader="none" w:pos="2337"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78"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17"/>
          <w:szCs w:val="17"/>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51"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Notwithstanding any other provision of this clause (e), a Lender shall not be required to deliver any form that such Lender is not legally eligible to deliver.</w:t>
      </w:r>
    </w:p>
    <w:p>
      <w:pPr>
        <w:spacing w:after="0" w:line="157"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Each Lender hereby authorizes the Administrative Agent to deliver to the Loan Parties and to any successor Administrative Agent any documentation provided by such Lender to the Administrative Agent pursuant to this clause (e).</w:t>
      </w:r>
    </w:p>
    <w:p>
      <w:pPr>
        <w:spacing w:after="0" w:line="157" w:lineRule="exact"/>
        <w:rPr>
          <w:sz w:val="20"/>
          <w:szCs w:val="20"/>
          <w:color w:val="auto"/>
        </w:rPr>
      </w:pPr>
    </w:p>
    <w:p>
      <w:pPr>
        <w:jc w:val="both"/>
        <w:ind w:firstLine="635"/>
        <w:spacing w:after="0" w:line="261" w:lineRule="auto"/>
        <w:tabs>
          <w:tab w:leader="none" w:pos="10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Lender may delete any information therein that the Administrative Agent or such Lender deems confidential). Notwithstanding anything to the contrary, this Section 2.15 shall not be construed to require the Administrative Agent or any Lender to make available its tax returns (or any other information relating to taxes which it deems confidential).</w:t>
      </w:r>
    </w:p>
    <w:p>
      <w:pPr>
        <w:spacing w:after="0" w:line="170" w:lineRule="exact"/>
        <w:rPr>
          <w:rFonts w:ascii="Arial" w:cs="Arial" w:eastAsia="Arial" w:hAnsi="Arial"/>
          <w:sz w:val="18"/>
          <w:szCs w:val="18"/>
          <w:color w:val="auto"/>
        </w:rPr>
      </w:pPr>
    </w:p>
    <w:p>
      <w:pPr>
        <w:ind w:firstLine="635"/>
        <w:spacing w:after="0" w:line="274" w:lineRule="auto"/>
        <w:tabs>
          <w:tab w:leader="none" w:pos="1121"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agreements in this Section 2.15 shall survive the termination of this Agreement and the payment of the Loans and all other amounts payable hereunder.</w:t>
      </w:r>
    </w:p>
    <w:p>
      <w:pPr>
        <w:spacing w:after="0" w:line="157" w:lineRule="exact"/>
        <w:rPr>
          <w:rFonts w:ascii="Arial" w:cs="Arial" w:eastAsia="Arial" w:hAnsi="Arial"/>
          <w:sz w:val="19"/>
          <w:szCs w:val="19"/>
          <w:color w:val="auto"/>
        </w:rPr>
      </w:pPr>
    </w:p>
    <w:p>
      <w:pPr>
        <w:ind w:left="1040" w:hanging="405"/>
        <w:spacing w:after="0"/>
        <w:tabs>
          <w:tab w:leader="none" w:pos="10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For purposes of this Section 2.15, the term “Lender” shall include any Issuing Bank and the Swingline Lender.</w:t>
      </w:r>
    </w:p>
    <w:p>
      <w:pPr>
        <w:spacing w:after="0" w:line="215"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2.16.</w:t>
      </w:r>
      <w:r>
        <w:rPr>
          <w:sz w:val="20"/>
          <w:szCs w:val="20"/>
          <w:color w:val="auto"/>
        </w:rPr>
        <w:tab/>
      </w:r>
      <w:r>
        <w:rPr>
          <w:rFonts w:ascii="Arial" w:cs="Arial" w:eastAsia="Arial" w:hAnsi="Arial"/>
          <w:sz w:val="17"/>
          <w:szCs w:val="17"/>
          <w:i w:val="1"/>
          <w:iCs w:val="1"/>
          <w:color w:val="auto"/>
        </w:rPr>
        <w:t>Payments Generally; Pro Rata Treatment; Sharing of Setoffs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79" w:lineRule="auto"/>
        <w:tabs>
          <w:tab w:leader="none" w:pos="10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Eurodollar Loans) under any Loan Document shall be due on a day that is not a Business Day, the date for payment shall be extended to the next succeeding Business Day. If any payment on a Eurodollar Loan becomes due and payable on a day other than a Business Day,</w:t>
      </w:r>
    </w:p>
    <w:p>
      <w:pPr>
        <w:sectPr>
          <w:pgSz w:w="11900" w:h="16838" w:orient="portrait"/>
          <w:cols w:equalWidth="0" w:num="1">
            <w:col w:w="11420"/>
          </w:cols>
          <w:pgMar w:left="240" w:top="121" w:right="239" w:bottom="0" w:gutter="0" w:footer="0" w:header="0"/>
        </w:sectPr>
      </w:pPr>
    </w:p>
    <w:bookmarkStart w:id="131" w:name="page132"/>
    <w:bookmarkEnd w:id="131"/>
    <w:p>
      <w:pPr>
        <w:jc w:val="both"/>
        <w:spacing w:after="0" w:line="255" w:lineRule="auto"/>
        <w:rPr>
          <w:sz w:val="20"/>
          <w:szCs w:val="20"/>
          <w:color w:val="auto"/>
        </w:rPr>
      </w:pPr>
      <w:r>
        <w:rPr>
          <w:rFonts w:ascii="Arial" w:cs="Arial" w:eastAsia="Arial" w:hAnsi="Arial"/>
          <w:sz w:val="19"/>
          <w:szCs w:val="19"/>
          <w:color w:val="auto"/>
        </w:rPr>
        <w:t>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Loan Document shall be made in dollars.</w:t>
      </w:r>
    </w:p>
    <w:p>
      <w:pPr>
        <w:spacing w:after="0" w:line="175" w:lineRule="exact"/>
        <w:rPr>
          <w:sz w:val="20"/>
          <w:szCs w:val="20"/>
          <w:color w:val="auto"/>
        </w:rPr>
      </w:pPr>
    </w:p>
    <w:p>
      <w:pPr>
        <w:jc w:val="both"/>
        <w:ind w:firstLine="635"/>
        <w:spacing w:after="0" w:line="269" w:lineRule="auto"/>
        <w:tabs>
          <w:tab w:leader="none" w:pos="1121"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and available to the Administrative Agent to pay fully all amounts of principal, unreimbursed LC Disbursements, interest and fees then due hereunder, such funds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w:t>
      </w:r>
      <w:r>
        <w:rPr>
          <w:rFonts w:ascii="Arial" w:cs="Arial" w:eastAsia="Arial" w:hAnsi="Arial"/>
          <w:sz w:val="18"/>
          <w:szCs w:val="18"/>
          <w:i w:val="1"/>
          <w:iCs w:val="1"/>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65" w:lineRule="exact"/>
        <w:rPr>
          <w:rFonts w:ascii="Arial" w:cs="Arial" w:eastAsia="Arial" w:hAnsi="Arial"/>
          <w:sz w:val="18"/>
          <w:szCs w:val="18"/>
          <w:color w:val="auto"/>
        </w:rPr>
      </w:pPr>
    </w:p>
    <w:p>
      <w:pPr>
        <w:jc w:val="both"/>
        <w:ind w:firstLine="635"/>
        <w:spacing w:after="0" w:line="276" w:lineRule="auto"/>
        <w:tabs>
          <w:tab w:leader="none" w:pos="1071"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Class of its Loans or participations in LC Disbursements or Swingline Loans resulting in such Lender receiving payment of a greater proportion of the aggregate amount of its Loans of such Class and participations in LC Disbursements and Swingline Loans and accrued interest thereon than the proportion received by any other Lender, then the Lender receiving such greater proportion shall purchase (for cash at face value) participations in the Loans of such Class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of such Class and participations in LC Disbursements and Swingline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w:t>
      </w:r>
    </w:p>
    <w:p>
      <w:pPr>
        <w:jc w:val="both"/>
        <w:ind w:firstLine="5"/>
        <w:spacing w:after="0" w:line="279" w:lineRule="auto"/>
        <w:tabs>
          <w:tab w:leader="none" w:pos="31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0" w:lineRule="exact"/>
        <w:rPr>
          <w:rFonts w:ascii="Arial" w:cs="Arial" w:eastAsia="Arial" w:hAnsi="Arial"/>
          <w:sz w:val="17"/>
          <w:szCs w:val="17"/>
          <w:color w:val="auto"/>
        </w:rPr>
      </w:pPr>
    </w:p>
    <w:p>
      <w:pPr>
        <w:jc w:val="both"/>
        <w:ind w:firstLine="635"/>
        <w:spacing w:after="0" w:line="282" w:lineRule="auto"/>
        <w:tabs>
          <w:tab w:leader="none" w:pos="1068" w:val="left"/>
        </w:tabs>
        <w:numPr>
          <w:ilvl w:val="1"/>
          <w:numId w:val="79"/>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57" w:lineRule="exact"/>
        <w:rPr>
          <w:rFonts w:ascii="Arial" w:cs="Arial" w:eastAsia="Arial" w:hAnsi="Arial"/>
          <w:sz w:val="17"/>
          <w:szCs w:val="17"/>
          <w:color w:val="auto"/>
        </w:rPr>
      </w:pPr>
    </w:p>
    <w:p>
      <w:pPr>
        <w:jc w:val="both"/>
        <w:ind w:firstLine="635"/>
        <w:spacing w:after="0" w:line="250" w:lineRule="auto"/>
        <w:tabs>
          <w:tab w:leader="none" w:pos="1018"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2.04(a) or Section 2.04(b), Section 2.16(d), Section 2.22(c) or Section 2.22(d), Section 2.23(c) or Section 9.03(c),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3"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2.17.</w:t>
      </w:r>
      <w:r>
        <w:rPr>
          <w:sz w:val="20"/>
          <w:szCs w:val="20"/>
          <w:color w:val="auto"/>
        </w:rPr>
        <w:tab/>
      </w:r>
      <w:r>
        <w:rPr>
          <w:rFonts w:ascii="Arial" w:cs="Arial" w:eastAsia="Arial" w:hAnsi="Arial"/>
          <w:sz w:val="17"/>
          <w:szCs w:val="17"/>
          <w:i w:val="1"/>
          <w:iCs w:val="1"/>
          <w:color w:val="auto"/>
        </w:rPr>
        <w:t>Mitigation Obligations; Replacement of Lenders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65" w:lineRule="auto"/>
        <w:tabs>
          <w:tab w:leader="none" w:pos="10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2.13, or if the Borrower is required to pay any additional amount to any Lender or any Governmental Authority for the account of any Lender pursuant to Section 2.15 or any event gives rise to the operation of Section 2.20,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or mitigate the applicability of Section 2.20,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66" w:lineRule="exact"/>
        <w:rPr>
          <w:rFonts w:ascii="Arial" w:cs="Arial" w:eastAsia="Arial" w:hAnsi="Arial"/>
          <w:sz w:val="18"/>
          <w:szCs w:val="18"/>
          <w:color w:val="auto"/>
        </w:rPr>
      </w:pPr>
    </w:p>
    <w:p>
      <w:pPr>
        <w:jc w:val="both"/>
        <w:ind w:firstLine="635"/>
        <w:spacing w:after="0" w:line="277" w:lineRule="auto"/>
        <w:tabs>
          <w:tab w:leader="none" w:pos="1029"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Section 2.13 or gives notice under Section 2.20,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or a notice given under Section 2.20,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w:t>
      </w:r>
    </w:p>
    <w:p>
      <w:pPr>
        <w:sectPr>
          <w:pgSz w:w="11900" w:h="16838" w:orient="portrait"/>
          <w:cols w:equalWidth="0" w:num="1">
            <w:col w:w="11420"/>
          </w:cols>
          <w:pgMar w:left="240" w:top="121" w:right="239" w:bottom="0" w:gutter="0" w:footer="0" w:header="0"/>
        </w:sectPr>
      </w:pPr>
    </w:p>
    <w:bookmarkStart w:id="132" w:name="page133"/>
    <w:bookmarkEnd w:id="132"/>
    <w:p>
      <w:pPr>
        <w:spacing w:after="0" w:line="304" w:lineRule="auto"/>
        <w:rPr>
          <w:sz w:val="20"/>
          <w:szCs w:val="20"/>
          <w:color w:val="auto"/>
        </w:rPr>
      </w:pPr>
      <w:r>
        <w:rPr>
          <w:rFonts w:ascii="Arial" w:cs="Arial" w:eastAsia="Arial" w:hAnsi="Arial"/>
          <w:sz w:val="18"/>
          <w:szCs w:val="18"/>
          <w:color w:val="auto"/>
        </w:rPr>
        <w:t>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33"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2.18.</w:t>
      </w:r>
      <w:r>
        <w:rPr>
          <w:sz w:val="20"/>
          <w:szCs w:val="20"/>
          <w:color w:val="auto"/>
        </w:rPr>
        <w:tab/>
      </w:r>
      <w:r>
        <w:rPr>
          <w:rFonts w:ascii="Arial" w:cs="Arial" w:eastAsia="Arial" w:hAnsi="Arial"/>
          <w:sz w:val="17"/>
          <w:szCs w:val="17"/>
          <w:i w:val="1"/>
          <w:iCs w:val="1"/>
          <w:color w:val="auto"/>
        </w:rPr>
        <w:t>Incremental Credit Extensions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60" w:lineRule="auto"/>
        <w:tabs>
          <w:tab w:leader="none" w:pos="10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w:t>
      </w:r>
      <w:r>
        <w:rPr>
          <w:rFonts w:ascii="Arial" w:cs="Arial" w:eastAsia="Arial" w:hAnsi="Arial"/>
          <w:sz w:val="18"/>
          <w:szCs w:val="18"/>
          <w:b w:val="1"/>
          <w:bCs w:val="1"/>
          <w:color w:val="auto"/>
        </w:rPr>
        <w:t>Incremental Revolving Facilities</w:t>
      </w:r>
      <w:r>
        <w:rPr>
          <w:rFonts w:ascii="Arial" w:cs="Arial" w:eastAsia="Arial" w:hAnsi="Arial"/>
          <w:sz w:val="18"/>
          <w:szCs w:val="18"/>
          <w:color w:val="auto"/>
        </w:rPr>
        <w:t xml:space="preserve">”) from Additional Revolving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at the time of each such request and upon the effectiveness of each Incremental Revolving Facility Amendment, no Default shall have occurred and be continuing or shall result therefrom (or, in the case of the incurrence or provision of any Incremental Revolving Facility in connection with a Limited Condition Acquisition, no Event of Default under Section 7.01(a), (b), (h) or (i) shall have occurred and be continuing or shall result therefrom), (B) the Borrower shall have delivered a certificate of a Financial Officer certifying as to clause (A) above and setting forth the applicable clause(s) of the definition of “Incremental Cap” utilized for such Incremental Revolving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such Incremental Revolving Facility (x) shall be secured solely by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or junior basis to the Initial Revolving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Incremental Revolving Facility is secured by junior Liens, the applicable parties shall have entered into the Junior Lien Intercreditor Agreement) or shall otherwise be unsecured and (y) shall not be guaranteed by any Persons other than Loan Parties, (D) except as set forth in clause (F) below, the interest rate margins, rate floors, fees, premiums and maturity applicable to any Incremental Revolving Facility shall be determined by the Borrower and the Additional Revolving Lenders providing such Incremental Revolving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Incremental Revolving Facility shall mature prior to the Revolving Maturity Date or require any scheduled amortization or mandatory commitment reductions prior to the Revolving Maturity Date, (E) any Incremental Revolving Facility may be provided in any currency as mutually agreed among the Administrative Agent, the Borrower and the Additional Revolving Lenders, (F)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and (G) subject to the express requirements herein, any Incremental Revolving Facility Amendment shall be on the terms and pursuant to documentation to be determined by the Borrower and the Additional Revolving Lenders providing the applicable Incremental Revolving Facilities;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terms and documentation are not consistent with this Agreement (except to the extent permitted by clause (D) or (E) above), they shall be reasonably satisfactory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 Issuing Bank shall be required to act as “issuing bank” and no Swingline Lender shall be required to act as a “swingline lender” under any such Incremental Revolving Facility without its written consent. Each Incremental Revolving Facility shall be in a minimum principal amount of $10,000,000 and integral multiples of $1,000,000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 $10,000,000 if such amount represents all the remaining availability under the Incremental Cap.</w:t>
      </w:r>
    </w:p>
    <w:p>
      <w:pPr>
        <w:spacing w:after="0" w:line="175" w:lineRule="exact"/>
        <w:rPr>
          <w:rFonts w:ascii="Arial" w:cs="Arial" w:eastAsia="Arial" w:hAnsi="Arial"/>
          <w:sz w:val="18"/>
          <w:szCs w:val="18"/>
          <w:color w:val="auto"/>
        </w:rPr>
      </w:pPr>
    </w:p>
    <w:p>
      <w:pPr>
        <w:jc w:val="both"/>
        <w:ind w:left="640" w:firstLine="861"/>
        <w:spacing w:after="0" w:line="275" w:lineRule="auto"/>
        <w:tabs>
          <w:tab w:leader="none" w:pos="1876" w:val="left"/>
        </w:tabs>
        <w:numPr>
          <w:ilvl w:val="1"/>
          <w:numId w:val="81"/>
        </w:numPr>
        <w:rPr>
          <w:rFonts w:ascii="Arial" w:cs="Arial" w:eastAsia="Arial" w:hAnsi="Arial"/>
          <w:sz w:val="17"/>
          <w:szCs w:val="17"/>
          <w:color w:val="auto"/>
        </w:rPr>
      </w:pPr>
      <w:r>
        <w:rPr>
          <w:rFonts w:ascii="Arial" w:cs="Arial" w:eastAsia="Arial" w:hAnsi="Arial"/>
          <w:sz w:val="17"/>
          <w:szCs w:val="17"/>
          <w:color w:val="auto"/>
        </w:rPr>
        <w:t>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increases (so long as the interest rate margins, rate floors, fees, funding discounts and other terms of any such increase are identical to the Term Loans being increased) in the amount of Term Loans (“</w:t>
      </w:r>
      <w:r>
        <w:rPr>
          <w:rFonts w:ascii="Arial" w:cs="Arial" w:eastAsia="Arial" w:hAnsi="Arial"/>
          <w:sz w:val="17"/>
          <w:szCs w:val="17"/>
          <w:b w:val="1"/>
          <w:bCs w:val="1"/>
          <w:color w:val="auto"/>
        </w:rPr>
        <w:t>Incremental Term Facilities</w:t>
      </w:r>
      <w:r>
        <w:rPr>
          <w:rFonts w:ascii="Arial" w:cs="Arial" w:eastAsia="Arial" w:hAnsi="Arial"/>
          <w:sz w:val="17"/>
          <w:szCs w:val="17"/>
          <w:color w:val="auto"/>
        </w:rPr>
        <w:t>” and, together with any Incremental Revolving Facility, an “</w:t>
      </w:r>
      <w:r>
        <w:rPr>
          <w:rFonts w:ascii="Arial" w:cs="Arial" w:eastAsia="Arial" w:hAnsi="Arial"/>
          <w:sz w:val="17"/>
          <w:szCs w:val="17"/>
          <w:b w:val="1"/>
          <w:bCs w:val="1"/>
          <w:color w:val="auto"/>
        </w:rPr>
        <w:t>Incremental Facility</w:t>
      </w:r>
      <w:r>
        <w:rPr>
          <w:rFonts w:ascii="Arial" w:cs="Arial" w:eastAsia="Arial" w:hAnsi="Arial"/>
          <w:sz w:val="17"/>
          <w:szCs w:val="17"/>
          <w:color w:val="auto"/>
        </w:rPr>
        <w:t xml:space="preserve">”) from one or more Additional Term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at the time of each such request and upon the effectiveness of each Incremental Term Facility Amendment, no Default shall have occurred and be continuing or shall result therefrom (or, in the case of the incurrence or provision of any Incremental Term Facility in connection with a Limited Condition Acquisition, no Event of Default under Section 7.01(a), (b), (h) or (i) shall have occurred and be continuing or shall result therefrom), (B) the Borrower shall have delivered a certificate of a Financial Officer certifying as to clause (A) above and setting forth the applicable clause(s) of the definition of Incremental Cap utilized for such Incremental Term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the maturity date of any Incremental Term Loans incurred pursuant to any Incremental Term Facility shall not be earlier than the Term Maturity Date and such Incremental Term Facility shall not have a Weighted Average Life to Maturity shorter than the Weighted Average Life to Maturity of the Term Loans), (D) the All-In Yield for any term loans incurred pursuant to any Incremental Term Facility shall be determined by the Borrower and the Additional Term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All-In Yield for such term loans is greater than the All-In Yield for the Initial Term Loans by more than 50 basis points, then the All-In Yield for the Initial Term Loans shall be increased to the extent necessary so that the All-In Yield is equal to the All-In Yield for such term loans incurred pursuant to such Incremental Term Facility minus 50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this clause (D) shall not be applicable to any Incremental Term Facility that is not secured by Liens on the Collateral on a</w:t>
      </w:r>
      <w:r>
        <w:rPr>
          <w:rFonts w:ascii="Arial" w:cs="Arial" w:eastAsia="Arial" w:hAnsi="Arial"/>
          <w:sz w:val="17"/>
          <w:szCs w:val="17"/>
          <w:i w:val="1"/>
          <w:iCs w:val="1"/>
          <w:color w:val="auto"/>
        </w:rPr>
        <w:t xml:space="preserve"> pari passu </w:t>
      </w:r>
      <w:r>
        <w:rPr>
          <w:rFonts w:ascii="Arial" w:cs="Arial" w:eastAsia="Arial" w:hAnsi="Arial"/>
          <w:sz w:val="17"/>
          <w:szCs w:val="17"/>
          <w:color w:val="auto"/>
        </w:rPr>
        <w:t>basis with the Initial Term Loans;</w:t>
      </w:r>
      <w:r>
        <w:rPr>
          <w:rFonts w:ascii="Arial" w:cs="Arial" w:eastAsia="Arial" w:hAnsi="Arial"/>
          <w:sz w:val="17"/>
          <w:szCs w:val="17"/>
          <w:i w:val="1"/>
          <w:iCs w:val="1"/>
          <w:color w:val="auto"/>
        </w:rPr>
        <w:t xml:space="preserve"> provided, further</w:t>
      </w:r>
      <w:r>
        <w:rPr>
          <w:rFonts w:ascii="Arial" w:cs="Arial" w:eastAsia="Arial" w:hAnsi="Arial"/>
          <w:sz w:val="17"/>
          <w:szCs w:val="17"/>
          <w:color w:val="auto"/>
        </w:rPr>
        <w:t>, that, in determining the All-In Yield applicable to the term loans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such Incremental Term Facility and the Initial Term Loans (x) original issue discount (“</w:t>
      </w:r>
      <w:r>
        <w:rPr>
          <w:rFonts w:ascii="Arial" w:cs="Arial" w:eastAsia="Arial" w:hAnsi="Arial"/>
          <w:sz w:val="17"/>
          <w:szCs w:val="17"/>
          <w:b w:val="1"/>
          <w:bCs w:val="1"/>
          <w:color w:val="auto"/>
        </w:rPr>
        <w:t>OID</w:t>
      </w:r>
      <w:r>
        <w:rPr>
          <w:rFonts w:ascii="Arial" w:cs="Arial" w:eastAsia="Arial" w:hAnsi="Arial"/>
          <w:sz w:val="17"/>
          <w:szCs w:val="17"/>
          <w:color w:val="auto"/>
        </w:rPr>
        <w:t>”)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Arrangers (or their respective affiliates) in connection with this Agreement or to one or more arrangers (or their affiliates) of any Incremental Term Facility shall be excluded and (z) if the Incremental Term Facility includes an interest rate floor greater than the interest rate floor applicable to the Initial Term Loans, such increased amount shall be equated to interest margin for purposes of determining whether an increase to the applicable interest margin for the Initial Term Loans shall be required, to the extent an increase in the interest rate floor in the Initial Term Loans would cause an increase in the interest rate then in effect, and in such case the interest rate floor (but not the interest rate margin) applicable to the relevant Existing Credit Agreement shall be increased by such amount as will result in the interest margin applicable to such Incremental Term Facility plus the interest rate floor applicable to such Incremental Term Facility (to the extent such floor is in excess of the three month LIBO Rate then applicable) being no greater than the interest rate floor (as so increased) plus the interest rate margin applicable to Initial Term Loans minus 50 basis points (this clause (D), the “</w:t>
      </w:r>
      <w:r>
        <w:rPr>
          <w:rFonts w:ascii="Arial" w:cs="Arial" w:eastAsia="Arial" w:hAnsi="Arial"/>
          <w:sz w:val="17"/>
          <w:szCs w:val="17"/>
          <w:b w:val="1"/>
          <w:bCs w:val="1"/>
          <w:color w:val="auto"/>
        </w:rPr>
        <w:t>MFN Protections</w:t>
      </w:r>
      <w:r>
        <w:rPr>
          <w:rFonts w:ascii="Arial" w:cs="Arial" w:eastAsia="Arial" w:hAnsi="Arial"/>
          <w:sz w:val="17"/>
          <w:szCs w:val="17"/>
          <w:color w:val="auto"/>
        </w:rPr>
        <w:t xml:space="preserve">”), (E) the Incremental Term Loans incurred pursuant to any Incremental Term Facility (x) shall be secured solely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or junior basis to the Initial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w:t>
      </w:r>
    </w:p>
    <w:p>
      <w:pPr>
        <w:sectPr>
          <w:pgSz w:w="11900" w:h="16838" w:orient="portrait"/>
          <w:cols w:equalWidth="0" w:num="1">
            <w:col w:w="11420"/>
          </w:cols>
          <w:pgMar w:left="240" w:top="121" w:right="239" w:bottom="0" w:gutter="0" w:footer="0" w:header="0"/>
        </w:sectPr>
      </w:pPr>
    </w:p>
    <w:bookmarkStart w:id="133" w:name="page134"/>
    <w:bookmarkEnd w:id="133"/>
    <w:p>
      <w:pPr>
        <w:jc w:val="both"/>
        <w:ind w:left="5"/>
        <w:spacing w:after="0" w:line="264" w:lineRule="auto"/>
        <w:rPr>
          <w:sz w:val="20"/>
          <w:szCs w:val="20"/>
          <w:color w:val="auto"/>
        </w:rPr>
      </w:pPr>
      <w:r>
        <w:rPr>
          <w:rFonts w:ascii="Arial" w:cs="Arial" w:eastAsia="Arial" w:hAnsi="Arial"/>
          <w:sz w:val="18"/>
          <w:szCs w:val="18"/>
          <w:color w:val="auto"/>
        </w:rPr>
        <w:t xml:space="preserve">Incremental Term Facility is secured by junior Liens the applicable parties shall have entered into the Junior Lien Intercreditor Agreement) and (y) shall not be guaranteed by any Persons other than Loan Parties, (F) any Incremental Term Facility may be provided in any currency as mutually agreed among the Administrative Agent, the Borrower and the Additional Term Lenders and (G) subject to the express requirements herein, any Incremental Term Facility Amendment shall be on the terms and pursuant to documentation to be determined by the Borrower and the Additional Term Lenders providing the applicable Incremental Term Facilities;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terms and documentation are not consistent with this Agreement (except to the extent permitted by clause (D), (E) or (F) above), they shall be reasonably satisfactory to the Administrative Agent. Each Incremental Term Facility shall be in a minimum principal amount of $25,000,000 and integral multiples of $1,000,000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may be less than $25,000,000 if such amount represents all the remaining availability under the Incremental Cap.</w:t>
      </w:r>
    </w:p>
    <w:p>
      <w:pPr>
        <w:spacing w:after="0" w:line="170" w:lineRule="exact"/>
        <w:rPr>
          <w:sz w:val="20"/>
          <w:szCs w:val="20"/>
          <w:color w:val="auto"/>
        </w:rPr>
      </w:pPr>
    </w:p>
    <w:p>
      <w:pPr>
        <w:jc w:val="both"/>
        <w:ind w:left="5" w:firstLine="861"/>
        <w:spacing w:after="0" w:line="254" w:lineRule="auto"/>
        <w:tabs>
          <w:tab w:leader="none" w:pos="1294"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Notwithstanding anything to the contrary herein, no Incremental Facility may be established or incurred under this Section 2.18 in an amount that would exceed the Incremental Cap at the time of such establishment or incurrence. Notwithstanding anything herein to the contrary, no existing Lender will be required to participate in any Incremental Revolving Facility or Incremental Term Facility without its consent.</w:t>
      </w:r>
    </w:p>
    <w:p>
      <w:pPr>
        <w:spacing w:after="0" w:line="177" w:lineRule="exact"/>
        <w:rPr>
          <w:rFonts w:ascii="Arial" w:cs="Arial" w:eastAsia="Arial" w:hAnsi="Arial"/>
          <w:sz w:val="19"/>
          <w:szCs w:val="19"/>
          <w:color w:val="auto"/>
        </w:rPr>
      </w:pPr>
    </w:p>
    <w:p>
      <w:pPr>
        <w:ind w:left="-635" w:firstLine="635"/>
        <w:spacing w:after="0" w:line="274" w:lineRule="auto"/>
        <w:tabs>
          <w:tab w:leader="none" w:pos="4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Each notice from the Borrower pursuant to this Section shall set forth the requested amount of the relevant Incremental Revolving Facility or Incremental Term Facility.</w:t>
      </w:r>
    </w:p>
    <w:p>
      <w:pPr>
        <w:spacing w:after="0" w:line="157" w:lineRule="exact"/>
        <w:rPr>
          <w:rFonts w:ascii="Arial" w:cs="Arial" w:eastAsia="Arial" w:hAnsi="Arial"/>
          <w:sz w:val="19"/>
          <w:szCs w:val="19"/>
          <w:color w:val="auto"/>
        </w:rPr>
      </w:pPr>
    </w:p>
    <w:p>
      <w:pPr>
        <w:jc w:val="both"/>
        <w:ind w:left="5" w:firstLine="861"/>
        <w:spacing w:after="0" w:line="277" w:lineRule="auto"/>
        <w:tabs>
          <w:tab w:leader="none" w:pos="1241" w:val="left"/>
        </w:tabs>
        <w:numPr>
          <w:ilvl w:val="1"/>
          <w:numId w:val="83"/>
        </w:numPr>
        <w:rPr>
          <w:rFonts w:ascii="Arial" w:cs="Arial" w:eastAsia="Arial" w:hAnsi="Arial"/>
          <w:sz w:val="17"/>
          <w:szCs w:val="17"/>
          <w:color w:val="auto"/>
        </w:rPr>
      </w:pPr>
      <w:r>
        <w:rPr>
          <w:rFonts w:ascii="Arial" w:cs="Arial" w:eastAsia="Arial" w:hAnsi="Arial"/>
          <w:sz w:val="17"/>
          <w:szCs w:val="17"/>
          <w:color w:val="auto"/>
        </w:rPr>
        <w:t>Commitments in respect of any Incremental Revolving Facility shall become Commitments under this Agreement pursuant to an amendment (an “</w:t>
      </w:r>
      <w:r>
        <w:rPr>
          <w:rFonts w:ascii="Arial" w:cs="Arial" w:eastAsia="Arial" w:hAnsi="Arial"/>
          <w:sz w:val="17"/>
          <w:szCs w:val="17"/>
          <w:b w:val="1"/>
          <w:bCs w:val="1"/>
          <w:color w:val="auto"/>
        </w:rPr>
        <w:t>Incremental Revolving Facility Amendment</w:t>
      </w:r>
      <w:r>
        <w:rPr>
          <w:rFonts w:ascii="Arial" w:cs="Arial" w:eastAsia="Arial" w:hAnsi="Arial"/>
          <w:sz w:val="17"/>
          <w:szCs w:val="17"/>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Subject to Section 1.08, in the case of an Incremental Revolving Facility incurred to finance a Limited Condition Acquisition,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7"/>
          <w:szCs w:val="17"/>
          <w:b w:val="1"/>
          <w:bCs w:val="1"/>
          <w:color w:val="auto"/>
        </w:rPr>
        <w:t>Incremental Revolving Facility Closing Date</w:t>
      </w:r>
      <w:r>
        <w:rPr>
          <w:rFonts w:ascii="Arial" w:cs="Arial" w:eastAsia="Arial" w:hAnsi="Arial"/>
          <w:sz w:val="17"/>
          <w:szCs w:val="17"/>
          <w:color w:val="auto"/>
        </w:rPr>
        <w:t>”)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68" w:lineRule="exact"/>
        <w:rPr>
          <w:sz w:val="20"/>
          <w:szCs w:val="20"/>
          <w:color w:val="auto"/>
        </w:rPr>
      </w:pPr>
    </w:p>
    <w:p>
      <w:pPr>
        <w:jc w:val="both"/>
        <w:ind w:left="5" w:firstLine="861"/>
        <w:spacing w:after="0" w:line="261" w:lineRule="auto"/>
        <w:tabs>
          <w:tab w:leader="none" w:pos="13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Commitments in respect of any Incremental Term Facility shall become Commitments under this Agreement pursuant to an amendment (an “</w:t>
      </w:r>
      <w:r>
        <w:rPr>
          <w:rFonts w:ascii="Arial" w:cs="Arial" w:eastAsia="Arial" w:hAnsi="Arial"/>
          <w:sz w:val="18"/>
          <w:szCs w:val="18"/>
          <w:b w:val="1"/>
          <w:bCs w:val="1"/>
          <w:color w:val="auto"/>
        </w:rPr>
        <w:t>Incremental Term Facility Amendment</w:t>
      </w:r>
      <w:r>
        <w:rPr>
          <w:rFonts w:ascii="Arial" w:cs="Arial" w:eastAsia="Arial" w:hAnsi="Arial"/>
          <w:sz w:val="18"/>
          <w:szCs w:val="18"/>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Subject to Section 1.08 in the case of an Incremental Term Facility incurred to finance a Limited Condition Acquisition,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8"/>
          <w:szCs w:val="18"/>
          <w:b w:val="1"/>
          <w:bCs w:val="1"/>
          <w:color w:val="auto"/>
        </w:rPr>
        <w:t>Incremental</w:t>
      </w:r>
      <w:r>
        <w:rPr>
          <w:rFonts w:ascii="Arial" w:cs="Arial" w:eastAsia="Arial" w:hAnsi="Arial"/>
          <w:sz w:val="18"/>
          <w:szCs w:val="18"/>
          <w:color w:val="auto"/>
        </w:rPr>
        <w:t xml:space="preserve"> </w:t>
      </w:r>
      <w:r>
        <w:rPr>
          <w:rFonts w:ascii="Arial" w:cs="Arial" w:eastAsia="Arial" w:hAnsi="Arial"/>
          <w:sz w:val="18"/>
          <w:szCs w:val="18"/>
          <w:b w:val="1"/>
          <w:bCs w:val="1"/>
          <w:color w:val="auto"/>
        </w:rPr>
        <w:t>Term Facility Closing Date</w:t>
      </w:r>
      <w:r>
        <w:rPr>
          <w:rFonts w:ascii="Arial" w:cs="Arial" w:eastAsia="Arial" w:hAnsi="Arial"/>
          <w:sz w:val="18"/>
          <w:szCs w:val="18"/>
          <w:color w:val="auto"/>
        </w:rPr>
        <w:t>”) of each of the conditions set forth in Section 4.02 (it being understood that all references to “the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78" w:lineRule="exact"/>
        <w:rPr>
          <w:rFonts w:ascii="Arial" w:cs="Arial" w:eastAsia="Arial" w:hAnsi="Arial"/>
          <w:sz w:val="18"/>
          <w:szCs w:val="18"/>
          <w:color w:val="auto"/>
        </w:rPr>
      </w:pPr>
    </w:p>
    <w:p>
      <w:pPr>
        <w:jc w:val="both"/>
        <w:ind w:left="-635" w:firstLine="635"/>
        <w:spacing w:after="0" w:line="279" w:lineRule="auto"/>
        <w:tabs>
          <w:tab w:leader="none" w:pos="449"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w:t>
      </w:r>
      <w:r>
        <w:rPr>
          <w:rFonts w:ascii="Arial" w:cs="Arial" w:eastAsia="Arial" w:hAnsi="Arial"/>
          <w:sz w:val="17"/>
          <w:szCs w:val="17"/>
          <w:b w:val="1"/>
          <w:bCs w:val="1"/>
          <w:color w:val="auto"/>
        </w:rPr>
        <w:t>Revolving Commitment Increase Lender</w:t>
      </w:r>
      <w:r>
        <w:rPr>
          <w:rFonts w:ascii="Arial" w:cs="Arial" w:eastAsia="Arial" w:hAnsi="Arial"/>
          <w:sz w:val="17"/>
          <w:szCs w:val="17"/>
          <w:color w:val="auto"/>
        </w:rPr>
        <w:t>”),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spacing w:after="0" w:line="156" w:lineRule="exact"/>
        <w:rPr>
          <w:rFonts w:ascii="Arial" w:cs="Arial" w:eastAsia="Arial" w:hAnsi="Arial"/>
          <w:sz w:val="17"/>
          <w:szCs w:val="17"/>
          <w:color w:val="auto"/>
        </w:rPr>
      </w:pPr>
    </w:p>
    <w:p>
      <w:pPr>
        <w:jc w:val="both"/>
        <w:ind w:left="-635" w:firstLine="635"/>
        <w:spacing w:after="0" w:line="254" w:lineRule="auto"/>
        <w:tabs>
          <w:tab w:leader="none" w:pos="525" w:val="left"/>
        </w:tabs>
        <w:numPr>
          <w:ilvl w:val="0"/>
          <w:numId w:val="85"/>
        </w:numPr>
        <w:rPr>
          <w:rFonts w:ascii="Arial" w:cs="Arial" w:eastAsia="Arial" w:hAnsi="Arial"/>
          <w:sz w:val="19"/>
          <w:szCs w:val="19"/>
          <w:color w:val="auto"/>
        </w:rPr>
      </w:pPr>
      <w:r>
        <w:rPr>
          <w:rFonts w:ascii="Arial" w:cs="Arial" w:eastAsia="Arial" w:hAnsi="Arial"/>
          <w:sz w:val="19"/>
          <w:szCs w:val="19"/>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77" w:lineRule="exact"/>
        <w:rPr>
          <w:rFonts w:ascii="Arial" w:cs="Arial" w:eastAsia="Arial" w:hAnsi="Arial"/>
          <w:sz w:val="19"/>
          <w:szCs w:val="19"/>
          <w:color w:val="auto"/>
        </w:rPr>
      </w:pPr>
    </w:p>
    <w:p>
      <w:pPr>
        <w:ind w:left="385" w:hanging="385"/>
        <w:spacing w:after="0"/>
        <w:tabs>
          <w:tab w:leader="none" w:pos="38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This Section 2.18 shall supersede any provisions in Section 2.16 or Section 9.02 to the contrary.</w:t>
      </w:r>
    </w:p>
    <w:p>
      <w:pPr>
        <w:sectPr>
          <w:pgSz w:w="11900" w:h="16838" w:orient="portrait"/>
          <w:cols w:equalWidth="0" w:num="1">
            <w:col w:w="10785"/>
          </w:cols>
          <w:pgMar w:left="875" w:top="121" w:right="239" w:bottom="0" w:gutter="0" w:footer="0" w:header="0"/>
        </w:sectPr>
      </w:pPr>
    </w:p>
    <w:bookmarkStart w:id="134" w:name="page135"/>
    <w:bookmarkEnd w:id="134"/>
    <w:p>
      <w:pPr>
        <w:ind w:left="640"/>
        <w:spacing w:after="0"/>
        <w:tabs>
          <w:tab w:leader="none" w:pos="1800" w:val="left"/>
        </w:tabs>
        <w:rPr>
          <w:sz w:val="20"/>
          <w:szCs w:val="20"/>
          <w:color w:val="auto"/>
        </w:rPr>
      </w:pPr>
      <w:r>
        <w:rPr>
          <w:rFonts w:ascii="Arial" w:cs="Arial" w:eastAsia="Arial" w:hAnsi="Arial"/>
          <w:sz w:val="19"/>
          <w:szCs w:val="19"/>
          <w:color w:val="auto"/>
        </w:rPr>
        <w:t>Section 2.19.</w:t>
      </w:r>
      <w:r>
        <w:rPr>
          <w:sz w:val="20"/>
          <w:szCs w:val="20"/>
          <w:color w:val="auto"/>
        </w:rPr>
        <w:tab/>
      </w:r>
      <w:r>
        <w:rPr>
          <w:rFonts w:ascii="Arial" w:cs="Arial" w:eastAsia="Arial" w:hAnsi="Arial"/>
          <w:sz w:val="17"/>
          <w:szCs w:val="17"/>
          <w:i w:val="1"/>
          <w:iCs w:val="1"/>
          <w:color w:val="auto"/>
        </w:rPr>
        <w:t>Refinancing Amendments; Maturity Extension</w:t>
      </w:r>
      <w:r>
        <w:rPr>
          <w:rFonts w:ascii="Arial" w:cs="Arial" w:eastAsia="Arial" w:hAnsi="Arial"/>
          <w:sz w:val="17"/>
          <w:szCs w:val="17"/>
          <w:color w:val="auto"/>
        </w:rPr>
        <w:t>.</w:t>
      </w:r>
    </w:p>
    <w:p>
      <w:pPr>
        <w:spacing w:after="0" w:line="216" w:lineRule="exact"/>
        <w:rPr>
          <w:sz w:val="20"/>
          <w:szCs w:val="20"/>
          <w:color w:val="auto"/>
        </w:rPr>
      </w:pPr>
    </w:p>
    <w:p>
      <w:pPr>
        <w:jc w:val="both"/>
        <w:ind w:firstLine="635"/>
        <w:spacing w:after="0" w:line="277" w:lineRule="auto"/>
        <w:tabs>
          <w:tab w:leader="none" w:pos="1163" w:val="left"/>
        </w:tabs>
        <w:numPr>
          <w:ilvl w:val="1"/>
          <w:numId w:val="86"/>
        </w:numPr>
        <w:rPr>
          <w:rFonts w:ascii="Arial" w:cs="Arial" w:eastAsia="Arial" w:hAnsi="Arial"/>
          <w:sz w:val="17"/>
          <w:szCs w:val="17"/>
          <w:color w:val="auto"/>
        </w:rPr>
      </w:pPr>
      <w:r>
        <w:rPr>
          <w:rFonts w:ascii="Arial" w:cs="Arial" w:eastAsia="Arial" w:hAnsi="Arial"/>
          <w:sz w:val="17"/>
          <w:szCs w:val="17"/>
          <w:color w:val="auto"/>
        </w:rPr>
        <w:t>At any time after the Closing Date, the Borrower 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loans under any Incremental Revolving Facility, Incremental Revolving Commitments, Other Revolving Loans and Other Revolving Commitments), in the form of</w:t>
      </w:r>
    </w:p>
    <w:p>
      <w:pPr>
        <w:spacing w:after="0" w:line="3" w:lineRule="exact"/>
        <w:rPr>
          <w:rFonts w:ascii="Arial" w:cs="Arial" w:eastAsia="Arial" w:hAnsi="Arial"/>
          <w:sz w:val="17"/>
          <w:szCs w:val="17"/>
          <w:color w:val="auto"/>
        </w:rPr>
      </w:pPr>
    </w:p>
    <w:p>
      <w:pPr>
        <w:jc w:val="both"/>
        <w:ind w:firstLine="5"/>
        <w:spacing w:after="0" w:line="275" w:lineRule="auto"/>
        <w:tabs>
          <w:tab w:leader="none" w:pos="284"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Other Term Loans or Other Term Commitments or (y) Other Revolving Loans or Other Revolving Commitments, as the case may be, in each case pursuant to a Refinancing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Credit Agreement Refinancing Indebtedness (i) may be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basis with respect to the Liens on the Collateral securing the other Loans and Commitments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Credit Agreement Refinancing Indebtedness may participate on a pro rata basis or on a less than pro rata basis (but not on a greater than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in any voluntary or mandatory prepayments hereunder, as specified in the applicable Refinancing Amendment), (iii) (x)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such Credit Agreement Refinancing Indebtedness be subject to the MFN Protections.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both"/>
        <w:ind w:firstLine="635"/>
        <w:spacing w:after="0" w:line="259" w:lineRule="auto"/>
        <w:tabs>
          <w:tab w:leader="none" w:pos="1042" w:val="left"/>
        </w:tabs>
        <w:numPr>
          <w:ilvl w:val="1"/>
          <w:numId w:val="87"/>
        </w:numPr>
        <w:rPr>
          <w:rFonts w:ascii="Arial" w:cs="Arial" w:eastAsia="Arial" w:hAnsi="Arial"/>
          <w:sz w:val="19"/>
          <w:szCs w:val="19"/>
          <w:color w:val="auto"/>
        </w:rPr>
      </w:pPr>
      <w:r>
        <w:rPr>
          <w:rFonts w:ascii="Arial" w:cs="Arial" w:eastAsia="Arial" w:hAnsi="Arial"/>
          <w:sz w:val="19"/>
          <w:szCs w:val="19"/>
          <w:color w:val="auto"/>
        </w:rPr>
        <w:t>At any time after the Closing Date, the Borrower and any Lender may agree, by notice to the Administrative Agent (each such notice, an “</w:t>
      </w:r>
      <w:r>
        <w:rPr>
          <w:rFonts w:ascii="Arial" w:cs="Arial" w:eastAsia="Arial" w:hAnsi="Arial"/>
          <w:sz w:val="19"/>
          <w:szCs w:val="19"/>
          <w:b w:val="1"/>
          <w:bCs w:val="1"/>
          <w:color w:val="auto"/>
        </w:rPr>
        <w:t>Extension Notice</w:t>
      </w:r>
      <w:r>
        <w:rPr>
          <w:rFonts w:ascii="Arial" w:cs="Arial" w:eastAsia="Arial" w:hAnsi="Arial"/>
          <w:sz w:val="19"/>
          <w:szCs w:val="19"/>
          <w:color w:val="auto"/>
        </w:rPr>
        <w:t>”), to extend the maturity date of such Lender’s Revolving Commitments and/or Term Loans to the extended maturity date specified in such Extension Notice.</w:t>
      </w:r>
    </w:p>
    <w:p>
      <w:pPr>
        <w:spacing w:after="0" w:line="171" w:lineRule="exact"/>
        <w:rPr>
          <w:rFonts w:ascii="Arial" w:cs="Arial" w:eastAsia="Arial" w:hAnsi="Arial"/>
          <w:sz w:val="19"/>
          <w:szCs w:val="19"/>
          <w:color w:val="auto"/>
        </w:rPr>
      </w:pPr>
    </w:p>
    <w:p>
      <w:pPr>
        <w:ind w:left="1020" w:hanging="385"/>
        <w:spacing w:after="0"/>
        <w:tabs>
          <w:tab w:leader="none" w:pos="10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This Section 2.19 shall supersede any provisions in Section 2.16 or Section 9.02 to the contrary.</w:t>
      </w:r>
    </w:p>
    <w:p>
      <w:pPr>
        <w:spacing w:after="0" w:line="215"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i w:val="1"/>
          <w:iCs w:val="1"/>
          <w:color w:val="auto"/>
        </w:rPr>
        <w:t>Illegality.</w:t>
      </w:r>
      <w:r>
        <w:rPr>
          <w:rFonts w:ascii="Arial" w:cs="Arial" w:eastAsia="Arial" w:hAnsi="Arial"/>
          <w:sz w:val="17"/>
          <w:szCs w:val="17"/>
          <w:color w:val="auto"/>
        </w:rPr>
        <w:t xml:space="preserve">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any obligation of such Lender to make or continue Eurodollar Loans or to convert ABR Loans to Eurodollar Loans shall be suspended, and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Eurodollar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ectPr>
          <w:pgSz w:w="11900" w:h="16838" w:orient="portrait"/>
          <w:cols w:equalWidth="0" w:num="1">
            <w:col w:w="11420"/>
          </w:cols>
          <w:pgMar w:left="240" w:top="121" w:right="239" w:bottom="0" w:gutter="0" w:footer="0" w:header="0"/>
        </w:sectPr>
      </w:pPr>
    </w:p>
    <w:bookmarkStart w:id="135" w:name="page136"/>
    <w:bookmarkEnd w:id="135"/>
    <w:p>
      <w:pPr>
        <w:spacing w:after="0" w:line="29"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i w:val="1"/>
          <w:iCs w:val="1"/>
          <w:color w:val="auto"/>
        </w:rPr>
        <w:t>Defaulting Lenders.</w:t>
      </w:r>
      <w:r>
        <w:rPr>
          <w:rFonts w:ascii="Arial" w:cs="Arial" w:eastAsia="Arial" w:hAnsi="Arial"/>
          <w:sz w:val="19"/>
          <w:szCs w:val="19"/>
          <w:color w:val="auto"/>
        </w:rPr>
        <w:t xml:space="preserve"> Notwithstanding any provision of this Agreement to the contrary, if any Lender becomes a Defaulting Lender, then the following provisions shall apply for so long as such Lender is a Defaulting Lender:</w:t>
      </w:r>
    </w:p>
    <w:p>
      <w:pPr>
        <w:spacing w:after="0" w:line="157" w:lineRule="exact"/>
        <w:rPr>
          <w:sz w:val="20"/>
          <w:szCs w:val="20"/>
          <w:color w:val="auto"/>
        </w:rPr>
      </w:pPr>
    </w:p>
    <w:p>
      <w:pPr>
        <w:jc w:val="both"/>
        <w:ind w:firstLine="635"/>
        <w:spacing w:after="0" w:line="259" w:lineRule="auto"/>
        <w:tabs>
          <w:tab w:leader="none" w:pos="1110" w:val="left"/>
        </w:tabs>
        <w:numPr>
          <w:ilvl w:val="0"/>
          <w:numId w:val="88"/>
        </w:numPr>
        <w:rPr>
          <w:rFonts w:ascii="Arial" w:cs="Arial" w:eastAsia="Arial" w:hAnsi="Arial"/>
          <w:sz w:val="19"/>
          <w:szCs w:val="19"/>
          <w:color w:val="auto"/>
        </w:rPr>
      </w:pPr>
      <w:r>
        <w:rPr>
          <w:rFonts w:ascii="Arial" w:cs="Arial" w:eastAsia="Arial" w:hAnsi="Arial"/>
          <w:sz w:val="19"/>
          <w:szCs w:val="19"/>
          <w:color w:val="auto"/>
        </w:rPr>
        <w:t>fees shall cease to accrue on the unfunded portion of the Revolving Commitment of such Defaulting Lender pursuant to Section 2.10(b) (it being understood, for the avoidance of doubt, that the Borrower shall have no obligation to retroactively pay such fees after such Lender ceases to be a Defaulting Lender);</w:t>
      </w:r>
    </w:p>
    <w:p>
      <w:pPr>
        <w:spacing w:after="0" w:line="171" w:lineRule="exact"/>
        <w:rPr>
          <w:rFonts w:ascii="Arial" w:cs="Arial" w:eastAsia="Arial" w:hAnsi="Arial"/>
          <w:sz w:val="19"/>
          <w:szCs w:val="19"/>
          <w:color w:val="auto"/>
        </w:rPr>
      </w:pPr>
    </w:p>
    <w:p>
      <w:pPr>
        <w:jc w:val="both"/>
        <w:ind w:firstLine="635"/>
        <w:spacing w:after="0" w:line="273" w:lineRule="auto"/>
        <w:tabs>
          <w:tab w:leader="none" w:pos="11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(b) shall not apply to the vote of a Defaulting Lender in the case of an amendment, waiver or other modification requiring the consent of such Lender or each Lender affected thereby;</w:t>
      </w:r>
    </w:p>
    <w:p>
      <w:pPr>
        <w:spacing w:after="0" w:line="160" w:lineRule="exact"/>
        <w:rPr>
          <w:rFonts w:ascii="Arial" w:cs="Arial" w:eastAsia="Arial" w:hAnsi="Arial"/>
          <w:sz w:val="18"/>
          <w:szCs w:val="18"/>
          <w:color w:val="auto"/>
        </w:rPr>
      </w:pPr>
    </w:p>
    <w:p>
      <w:pPr>
        <w:jc w:val="both"/>
        <w:ind w:firstLine="635"/>
        <w:spacing w:after="0" w:line="277" w:lineRule="auto"/>
        <w:tabs>
          <w:tab w:leader="none" w:pos="1084"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w:t>
      </w:r>
    </w:p>
    <w:p>
      <w:pPr>
        <w:spacing w:after="0" w:line="165" w:lineRule="exact"/>
        <w:rPr>
          <w:rFonts w:ascii="Arial" w:cs="Arial" w:eastAsia="Arial" w:hAnsi="Arial"/>
          <w:sz w:val="17"/>
          <w:szCs w:val="17"/>
          <w:color w:val="auto"/>
        </w:rPr>
      </w:pPr>
    </w:p>
    <w:p>
      <w:pPr>
        <w:ind w:left="1040" w:hanging="405"/>
        <w:spacing w:after="0"/>
        <w:tabs>
          <w:tab w:leader="none" w:pos="10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such Lender becomes a Defaulting Lender then:</w:t>
      </w:r>
    </w:p>
    <w:p>
      <w:pPr>
        <w:spacing w:after="0" w:line="214" w:lineRule="exact"/>
        <w:rPr>
          <w:rFonts w:ascii="Arial" w:cs="Arial" w:eastAsia="Arial" w:hAnsi="Arial"/>
          <w:sz w:val="19"/>
          <w:szCs w:val="19"/>
          <w:color w:val="auto"/>
        </w:rPr>
      </w:pPr>
    </w:p>
    <w:p>
      <w:pPr>
        <w:jc w:val="both"/>
        <w:ind w:left="640" w:firstLine="861"/>
        <w:spacing w:after="0" w:line="252" w:lineRule="auto"/>
        <w:tabs>
          <w:tab w:leader="none" w:pos="1876"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all or any part of the Swingline Exposure and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reallocation shall be given effect only if, at the date the applicable Lender becomes a Defaulting Lender, no Default or Event of Default exists;</w:t>
      </w:r>
    </w:p>
    <w:p>
      <w:pPr>
        <w:spacing w:after="0" w:line="178" w:lineRule="exact"/>
        <w:rPr>
          <w:rFonts w:ascii="Arial" w:cs="Arial" w:eastAsia="Arial" w:hAnsi="Arial"/>
          <w:sz w:val="19"/>
          <w:szCs w:val="19"/>
          <w:color w:val="auto"/>
        </w:rPr>
      </w:pPr>
    </w:p>
    <w:p>
      <w:pPr>
        <w:jc w:val="both"/>
        <w:ind w:left="640" w:firstLine="861"/>
        <w:spacing w:after="0" w:line="269" w:lineRule="auto"/>
        <w:tabs>
          <w:tab w:leader="none" w:pos="20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 shall, without prejudice to any right or remedy available to it hereunder or under law, within one Business Day following notice by the Administrative Agent (x) first, prepay such Swingline Exposure and (y) second, cash collateralize for the benefit of the applicable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spacing w:after="0" w:line="165" w:lineRule="exact"/>
        <w:rPr>
          <w:rFonts w:ascii="Arial" w:cs="Arial" w:eastAsia="Arial" w:hAnsi="Arial"/>
          <w:sz w:val="18"/>
          <w:szCs w:val="18"/>
          <w:color w:val="auto"/>
        </w:rPr>
      </w:pPr>
    </w:p>
    <w:p>
      <w:pPr>
        <w:jc w:val="both"/>
        <w:ind w:left="640" w:firstLine="861"/>
        <w:spacing w:after="0" w:line="259" w:lineRule="auto"/>
        <w:tabs>
          <w:tab w:leader="none" w:pos="1969"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the Borrower cash collateralizes any portion of such Defaulting Lender’s LC Exposure pursuant to clause (ii) above, the Borrower shall not be required to pay any fees to such Defaulting Lender pursuant to Section 2.10(c) with respect to such Defaulting Lender’s LC Exposure during the period such Defaulting Lender’s LC Exposure is cash collateralized;</w:t>
      </w:r>
    </w:p>
    <w:p>
      <w:pPr>
        <w:spacing w:after="0" w:line="171" w:lineRule="exact"/>
        <w:rPr>
          <w:rFonts w:ascii="Arial" w:cs="Arial" w:eastAsia="Arial" w:hAnsi="Arial"/>
          <w:sz w:val="19"/>
          <w:szCs w:val="19"/>
          <w:color w:val="auto"/>
        </w:rPr>
      </w:pPr>
    </w:p>
    <w:p>
      <w:pPr>
        <w:jc w:val="both"/>
        <w:ind w:left="640" w:firstLine="861"/>
        <w:spacing w:after="0" w:line="259" w:lineRule="auto"/>
        <w:tabs>
          <w:tab w:leader="none" w:pos="1985"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the LC Exposure of the non-Defaulting Lenders is reallocated pursuant to clause (i) above, then the fees payable to the Lenders pursuant to Section 2.10(b) and Section 2.10(c) shall be adjusted in accordance with such non-Defaulting Lenders’ Applicable Percentages; and</w:t>
      </w:r>
    </w:p>
    <w:p>
      <w:pPr>
        <w:spacing w:after="0" w:line="171" w:lineRule="exact"/>
        <w:rPr>
          <w:rFonts w:ascii="Arial" w:cs="Arial" w:eastAsia="Arial" w:hAnsi="Arial"/>
          <w:sz w:val="19"/>
          <w:szCs w:val="19"/>
          <w:color w:val="auto"/>
        </w:rPr>
      </w:pPr>
    </w:p>
    <w:p>
      <w:pPr>
        <w:jc w:val="both"/>
        <w:ind w:left="640" w:firstLine="861"/>
        <w:spacing w:after="0" w:line="254" w:lineRule="auto"/>
        <w:tabs>
          <w:tab w:leader="none" w:pos="1971"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any Issuing Bank or any other Lender hereunder, all fees payable under Section 2.10(c) with respect to such Defaulting Lender’s LC Exposure shall be payable to the Issuing Bank until and to the extent that such LC Exposure is reallocated and/or cash collateralized; and</w:t>
      </w:r>
    </w:p>
    <w:p>
      <w:pPr>
        <w:spacing w:after="0" w:line="177" w:lineRule="exact"/>
        <w:rPr>
          <w:rFonts w:ascii="Arial" w:cs="Arial" w:eastAsia="Arial" w:hAnsi="Arial"/>
          <w:sz w:val="19"/>
          <w:szCs w:val="19"/>
          <w:color w:val="auto"/>
        </w:rPr>
      </w:pPr>
    </w:p>
    <w:p>
      <w:pPr>
        <w:jc w:val="both"/>
        <w:ind w:firstLine="635"/>
        <w:spacing w:after="0" w:line="250" w:lineRule="auto"/>
        <w:tabs>
          <w:tab w:leader="none" w:pos="1071" w:val="left"/>
        </w:tabs>
        <w:numPr>
          <w:ilvl w:val="0"/>
          <w:numId w:val="88"/>
        </w:numPr>
        <w:rPr>
          <w:rFonts w:ascii="Arial" w:cs="Arial" w:eastAsia="Arial" w:hAnsi="Arial"/>
          <w:sz w:val="19"/>
          <w:szCs w:val="19"/>
          <w:color w:val="auto"/>
        </w:rPr>
      </w:pPr>
      <w:r>
        <w:rPr>
          <w:rFonts w:ascii="Arial" w:cs="Arial" w:eastAsia="Arial" w:hAnsi="Arial"/>
          <w:sz w:val="19"/>
          <w:szCs w:val="19"/>
          <w:color w:val="auto"/>
        </w:rPr>
        <w:t>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made Swingline Loan or newly issued or increased Letter of Credit shall be allocated among non-Defaulting Lenders in a manner consistent with Section 2.21(d)(i) (and such Defaulting Lender shall not participate therein).</w:t>
      </w:r>
    </w:p>
    <w:p>
      <w:pPr>
        <w:spacing w:after="0" w:line="183"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If (i) a Bankruptcy Event with respect to a Lender Parent of any Lender shall occur following the Closing Date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Swingline Lenders or the Issuing Banks, as the case may be, shall have entered into arrangements with the Borrower or such Lender, satisfactory to the Issuing Bank to defease any risk to it in respect of such Lender hereunder.</w:t>
      </w:r>
    </w:p>
    <w:p>
      <w:pPr>
        <w:spacing w:after="0" w:line="183" w:lineRule="exact"/>
        <w:rPr>
          <w:sz w:val="20"/>
          <w:szCs w:val="20"/>
          <w:color w:val="auto"/>
        </w:rPr>
      </w:pPr>
    </w:p>
    <w:p>
      <w:pPr>
        <w:jc w:val="both"/>
        <w:ind w:firstLine="630"/>
        <w:spacing w:after="0" w:line="335" w:lineRule="auto"/>
        <w:rPr>
          <w:sz w:val="20"/>
          <w:szCs w:val="20"/>
          <w:color w:val="auto"/>
        </w:rPr>
      </w:pPr>
      <w:r>
        <w:rPr>
          <w:rFonts w:ascii="Arial" w:cs="Arial" w:eastAsia="Arial" w:hAnsi="Arial"/>
          <w:sz w:val="17"/>
          <w:szCs w:val="17"/>
          <w:color w:val="auto"/>
        </w:rPr>
        <w:t>In the event that the Administrative Agent, the Borrower, each Swingline Lender and each Issuing Bank each agrees that a Defaulting Lender has adequately remedied all matters that caused such Lender to be a Defaulting Lender, then the Swingline Exposure and LC Exposure of</w:t>
      </w:r>
    </w:p>
    <w:p>
      <w:pPr>
        <w:sectPr>
          <w:pgSz w:w="11900" w:h="16867" w:orient="portrait"/>
          <w:cols w:equalWidth="0" w:num="1">
            <w:col w:w="11420"/>
          </w:cols>
          <w:pgMar w:left="240" w:top="214" w:right="239" w:bottom="0" w:gutter="0" w:footer="0" w:header="0"/>
        </w:sectPr>
      </w:pPr>
    </w:p>
    <w:bookmarkStart w:id="136" w:name="page137"/>
    <w:bookmarkEnd w:id="136"/>
    <w:p>
      <w:pPr>
        <w:jc w:val="both"/>
        <w:spacing w:after="0" w:line="260" w:lineRule="auto"/>
        <w:rPr>
          <w:sz w:val="20"/>
          <w:szCs w:val="20"/>
          <w:color w:val="auto"/>
        </w:rPr>
      </w:pPr>
      <w:r>
        <w:rPr>
          <w:rFonts w:ascii="Arial" w:cs="Arial" w:eastAsia="Arial" w:hAnsi="Arial"/>
          <w:sz w:val="19"/>
          <w:szCs w:val="19"/>
          <w:color w:val="auto"/>
        </w:rPr>
        <w:t>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spacing w:after="0" w:line="170"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2.22.</w:t>
      </w:r>
      <w:r>
        <w:rPr>
          <w:sz w:val="20"/>
          <w:szCs w:val="20"/>
          <w:color w:val="auto"/>
        </w:rPr>
        <w:tab/>
      </w:r>
      <w:r>
        <w:rPr>
          <w:rFonts w:ascii="Arial" w:cs="Arial" w:eastAsia="Arial" w:hAnsi="Arial"/>
          <w:sz w:val="17"/>
          <w:szCs w:val="17"/>
          <w:i w:val="1"/>
          <w:iCs w:val="1"/>
          <w:color w:val="auto"/>
        </w:rPr>
        <w:t>Letters of Credit</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80" w:lineRule="auto"/>
        <w:tabs>
          <w:tab w:leader="none" w:pos="1031"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LC Commitment. </w:t>
      </w:r>
      <w:r>
        <w:rPr>
          <w:rFonts w:ascii="Arial" w:cs="Arial" w:eastAsia="Arial" w:hAnsi="Arial"/>
          <w:sz w:val="17"/>
          <w:szCs w:val="17"/>
          <w:color w:val="auto"/>
        </w:rPr>
        <w:t>• Subject to the terms and conditions hereof, the Issuing Bank, in reliance on the agreements of the other 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set forth in Section 2.22(c), agrees to issue standby letters of credit denominated in dollars (“</w:t>
      </w:r>
      <w:r>
        <w:rPr>
          <w:rFonts w:ascii="Arial" w:cs="Arial" w:eastAsia="Arial" w:hAnsi="Arial"/>
          <w:sz w:val="17"/>
          <w:szCs w:val="17"/>
          <w:b w:val="1"/>
          <w:bCs w:val="1"/>
          <w:color w:val="auto"/>
        </w:rPr>
        <w:t>Letters of Credit</w:t>
      </w:r>
      <w:r>
        <w:rPr>
          <w:rFonts w:ascii="Arial" w:cs="Arial" w:eastAsia="Arial" w:hAnsi="Arial"/>
          <w:sz w:val="17"/>
          <w:szCs w:val="17"/>
          <w:color w:val="auto"/>
        </w:rPr>
        <w:t xml:space="preserve">”)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the Issuing Bank;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Issuing Bank shall have no obligation to issue any Letter of Credit if, after giving effect to such issuance, (x) the LC Obligations would exceed the LC Commitment, (y) the aggregate amount of the Available Revolving Commitments would be less than zero or (z) subject to Section 9.04(b)(i) (E), the Applicable Fronting Exposure of such Issuing Bank would exceed its Revolving Commitment. Each Letter of Credit shall, except as provided in Section 2.22(a)(ii) below, expire no later than the earlier of (A) the first anniversary of its date of issuance and (B) the date that is five Business Days prior to the Revolving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Letter of Credit with a one-year term may provide for the renewal thereof for additional one-year periods (which shall in no event extend beyond the date referred to in clause (B) above).</w:t>
      </w:r>
    </w:p>
    <w:p>
      <w:pPr>
        <w:spacing w:after="0" w:line="160" w:lineRule="exact"/>
        <w:rPr>
          <w:rFonts w:ascii="Arial" w:cs="Arial" w:eastAsia="Arial" w:hAnsi="Arial"/>
          <w:sz w:val="17"/>
          <w:szCs w:val="17"/>
          <w:color w:val="auto"/>
        </w:rPr>
      </w:pPr>
    </w:p>
    <w:p>
      <w:pPr>
        <w:jc w:val="both"/>
        <w:ind w:left="640" w:firstLine="861"/>
        <w:spacing w:after="0" w:line="250" w:lineRule="auto"/>
        <w:tabs>
          <w:tab w:leader="none" w:pos="1928" w:val="left"/>
        </w:tabs>
        <w:numPr>
          <w:ilvl w:val="1"/>
          <w:numId w:val="89"/>
        </w:numPr>
        <w:rPr>
          <w:rFonts w:ascii="Arial" w:cs="Arial" w:eastAsia="Arial" w:hAnsi="Arial"/>
          <w:sz w:val="19"/>
          <w:szCs w:val="19"/>
          <w:color w:val="auto"/>
        </w:rPr>
      </w:pPr>
      <w:r>
        <w:rPr>
          <w:rFonts w:ascii="Arial" w:cs="Arial" w:eastAsia="Arial" w:hAnsi="Arial"/>
          <w:sz w:val="19"/>
          <w:szCs w:val="19"/>
          <w:color w:val="auto"/>
        </w:rPr>
        <w:t>If requested by the Borrower and if the Issuing Bank agrees, the Issuing Bank may issue one or more Letters of Credit hereunder, with expiry dates that would occur after the fifth Business Day prior to the Revolving Maturity Date, based upon the Borrower’s agreement to cash collateralize the LC Obligations in accordance with Section 2.22(h). If the Borrower fails to cash collateralize the outstanding LC Obligations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spacing w:after="0" w:line="178" w:lineRule="exact"/>
        <w:rPr>
          <w:rFonts w:ascii="Arial" w:cs="Arial" w:eastAsia="Arial" w:hAnsi="Arial"/>
          <w:sz w:val="19"/>
          <w:szCs w:val="19"/>
          <w:color w:val="auto"/>
        </w:rPr>
      </w:pPr>
    </w:p>
    <w:p>
      <w:pPr>
        <w:jc w:val="both"/>
        <w:ind w:left="640" w:firstLine="861"/>
        <w:spacing w:after="0" w:line="250" w:lineRule="auto"/>
        <w:tabs>
          <w:tab w:leader="none" w:pos="1968"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Borrower shall grant to the Administrative Agent for the benefit of the Issuing Bank and the Lenders, pursuant to a collateral agreement, a security interest in all cash, deposit accounts and all balances therein and all proceeds of the foregoing as required to be deposited pursuant to Section 2.22(a)(ii) or Section 2.22(h). Cash collateral shall be maintained in blocked, interest bearing deposit accounts at Jefferies Finance LLC (or any affiliate thereof) (the “</w:t>
      </w:r>
      <w:r>
        <w:rPr>
          <w:rFonts w:ascii="Arial" w:cs="Arial" w:eastAsia="Arial" w:hAnsi="Arial"/>
          <w:sz w:val="19"/>
          <w:szCs w:val="19"/>
          <w:b w:val="1"/>
          <w:bCs w:val="1"/>
          <w:color w:val="auto"/>
        </w:rPr>
        <w:t>LC Cash Collateral Account</w:t>
      </w:r>
      <w:r>
        <w:rPr>
          <w:rFonts w:ascii="Arial" w:cs="Arial" w:eastAsia="Arial" w:hAnsi="Arial"/>
          <w:sz w:val="19"/>
          <w:szCs w:val="19"/>
          <w:color w:val="auto"/>
        </w:rPr>
        <w:t xml:space="preserve">”). All interest on such cash collateral shall be paid to the Borrower upon the Borrower’s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interest shall first be applied to all outstanding LC Obligations at such time and the balance shall be distributed to the Borrower.</w:t>
      </w:r>
    </w:p>
    <w:p>
      <w:pPr>
        <w:spacing w:after="0" w:line="183" w:lineRule="exact"/>
        <w:rPr>
          <w:rFonts w:ascii="Arial" w:cs="Arial" w:eastAsia="Arial" w:hAnsi="Arial"/>
          <w:sz w:val="19"/>
          <w:szCs w:val="19"/>
          <w:color w:val="auto"/>
        </w:rPr>
      </w:pPr>
    </w:p>
    <w:p>
      <w:pPr>
        <w:ind w:left="640" w:firstLine="861"/>
        <w:spacing w:after="0" w:line="274" w:lineRule="auto"/>
        <w:tabs>
          <w:tab w:leader="none" w:pos="1996"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Issuing Bank shall not at any time be obligated to issue any Letter of Credit if such issuance would conflict with, or cause the Issuing Bank or any LC Participant to exceed any limits imposed by, any applicable Requirement of Law.</w:t>
      </w:r>
    </w:p>
    <w:p>
      <w:pPr>
        <w:spacing w:after="0" w:line="157" w:lineRule="exact"/>
        <w:rPr>
          <w:rFonts w:ascii="Arial" w:cs="Arial" w:eastAsia="Arial" w:hAnsi="Arial"/>
          <w:sz w:val="19"/>
          <w:szCs w:val="19"/>
          <w:color w:val="auto"/>
        </w:rPr>
      </w:pPr>
    </w:p>
    <w:p>
      <w:pPr>
        <w:jc w:val="both"/>
        <w:ind w:firstLine="635"/>
        <w:spacing w:after="0" w:line="280" w:lineRule="auto"/>
        <w:tabs>
          <w:tab w:leader="none" w:pos="1042"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Procedure for Issuance of Letter of Credit. </w:t>
      </w:r>
      <w:r>
        <w:rPr>
          <w:rFonts w:ascii="Arial" w:cs="Arial" w:eastAsia="Arial" w:hAnsi="Arial"/>
          <w:sz w:val="17"/>
          <w:szCs w:val="17"/>
          <w:color w:val="auto"/>
        </w:rPr>
        <w:t>The Borrower may from time to time request that the Issuing Bank issue a Letter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by delivering to the Issuing Bank at its address for notices specified herein an Application therefor, completed to the satisfaction of the Issuing Bank, and such other certificates, documents and other papers and information as the Issuing Bank may reasonably request. Upon receipt of any Application, the Issuing Bank will process such Application and the certificates, documents and other papers and information delivered to it in connection therewith in accordance with its customary procedures and shall promptly issue the Letter of Credit requested thereby (but in no event shall the Issuing Bank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Bank and the Borrower. The Issuing Bank shall furnish a copy of such Letter of Credit to the Borrower promptly following the issuance thereof. The Issuing Bank shall promptly furnish to the Administrative Agent, which shall in turn promptly furnish to the Lenders, notice of the issuance of each Letter of Credit (including the amount thereof).</w:t>
      </w:r>
    </w:p>
    <w:p>
      <w:pPr>
        <w:spacing w:after="0" w:line="160" w:lineRule="exact"/>
        <w:rPr>
          <w:rFonts w:ascii="Arial" w:cs="Arial" w:eastAsia="Arial" w:hAnsi="Arial"/>
          <w:sz w:val="17"/>
          <w:szCs w:val="17"/>
          <w:color w:val="auto"/>
        </w:rPr>
      </w:pPr>
    </w:p>
    <w:p>
      <w:pPr>
        <w:jc w:val="both"/>
        <w:ind w:firstLine="635"/>
        <w:spacing w:after="0" w:line="278" w:lineRule="auto"/>
        <w:tabs>
          <w:tab w:leader="none" w:pos="1031"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LC Participation. </w:t>
      </w:r>
      <w:r>
        <w:rPr>
          <w:rFonts w:ascii="Arial" w:cs="Arial" w:eastAsia="Arial" w:hAnsi="Arial"/>
          <w:sz w:val="17"/>
          <w:szCs w:val="17"/>
          <w:color w:val="auto"/>
        </w:rPr>
        <w:t>• The Issuing Bank irrevocably agrees to grant and hereby grants to each LC Participant, and, to induce the Issuing</w:t>
      </w:r>
      <w:r>
        <w:rPr>
          <w:rFonts w:ascii="Arial" w:cs="Arial" w:eastAsia="Arial" w:hAnsi="Arial"/>
          <w:sz w:val="17"/>
          <w:szCs w:val="17"/>
          <w:i w:val="1"/>
          <w:iCs w:val="1"/>
          <w:color w:val="auto"/>
        </w:rPr>
        <w:t xml:space="preserve"> </w:t>
      </w:r>
      <w:r>
        <w:rPr>
          <w:rFonts w:ascii="Arial" w:cs="Arial" w:eastAsia="Arial" w:hAnsi="Arial"/>
          <w:sz w:val="17"/>
          <w:szCs w:val="17"/>
          <w:color w:val="auto"/>
        </w:rPr>
        <w:t>Bank to issue Letters of Credit, each LC Participant irrevocably agrees to accept and purchase and hereby accepts and purchases from the Issuing Bank, on the terms and conditions set forth below, for such LC Participant’s own account and risk an undivided interest equal to such LC Participant’s Applicable Percentage in the Issuing Bank’s obligations and rights under and in respect of each Letter of Credit and the amount of each draft paid by the Issuing Bank thereunder. Each LC Participant agrees with the Issuing Bank that, if a draft is paid under any Letter of Credit for which the Issuing Bank is not reimbursed in full by the Borrower in accordance with the terms of this Agreement (or in the event that any reimbursement received by the Issuing Bank shall be required to be returned by it at any time), such LC Participant shall pay to the Issuing Bank upon demand at the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the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spacing w:after="0" w:line="163" w:lineRule="exact"/>
        <w:rPr>
          <w:rFonts w:ascii="Arial" w:cs="Arial" w:eastAsia="Arial" w:hAnsi="Arial"/>
          <w:sz w:val="17"/>
          <w:szCs w:val="17"/>
          <w:color w:val="auto"/>
        </w:rPr>
      </w:pPr>
    </w:p>
    <w:p>
      <w:pPr>
        <w:jc w:val="both"/>
        <w:ind w:left="640" w:firstLine="861"/>
        <w:spacing w:after="0" w:line="263" w:lineRule="auto"/>
        <w:tabs>
          <w:tab w:leader="none" w:pos="1889"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the Issuing Bank pursuant to Section 2.22(c) in respect of any unreimbursed portion of any payment made by the Issuing Bank under any Letter of Credit is paid to the Issuing Bank within three Business Days after the date such payment is due, such LC Participant shall pay to the Issuing Bank on demand an amount equal to the product of (A) such amount, times (B) the daily average Federal Funds Effective Rate during the period from and including the date such payment is required to the date on which such payment is immediately available to the Issuing Bank, times (C) a fraction the numerator of which is the number of days that elapse during such period (including the first day but excluding the last day) and the denominator of which is 360. If any such amount required to be paid by any LC Participant pursuant to Section 2.22(c) is not made available to the Issuing Bank by such LC Participant within three Business Days after the date such payment is due, the Issuing Bank shall be entitled to recover from such LC Participant, on demand, such amount with interest thereon calculated from such due date at the Applicable Rate to ABR Revolving Loans. A certificate of the Issuing Bank submitted to any LC Participant with respect to any amounts owing under this Section shall be conclusive in the absence of manifest error.</w:t>
      </w:r>
    </w:p>
    <w:p>
      <w:pPr>
        <w:sectPr>
          <w:pgSz w:w="11900" w:h="16838" w:orient="portrait"/>
          <w:cols w:equalWidth="0" w:num="1">
            <w:col w:w="11420"/>
          </w:cols>
          <w:pgMar w:left="240" w:top="121" w:right="239" w:bottom="151" w:gutter="0" w:footer="0" w:header="0"/>
        </w:sectPr>
      </w:pPr>
    </w:p>
    <w:bookmarkStart w:id="137" w:name="page138"/>
    <w:bookmarkEnd w:id="137"/>
    <w:p>
      <w:pPr>
        <w:jc w:val="both"/>
        <w:ind w:left="5" w:firstLine="861"/>
        <w:spacing w:after="0" w:line="267" w:lineRule="auto"/>
        <w:tabs>
          <w:tab w:leader="none" w:pos="129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Whenever, at any time after the Issuing Bank has made payment under any Letter of Credit and has received from any LC Participant its pro rata share of such payment in accordance with Section 2.22(c), the Issuing Bank receives any payment related to such Letter of Credit (whether directly from the Borrower or otherwise, including proceeds of collateral applied thereto by the Issuing Bank), or any payment of interest on account thereof, the Issuing Bank will distribute to such LC Participant its pro rata share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any such payment received by the Issuing Bank shall be required to be returned by the Issuing Bank, such</w:t>
      </w:r>
      <w:r>
        <w:rPr>
          <w:rFonts w:ascii="Arial" w:cs="Arial" w:eastAsia="Arial" w:hAnsi="Arial"/>
          <w:sz w:val="18"/>
          <w:szCs w:val="18"/>
          <w:i w:val="1"/>
          <w:iCs w:val="1"/>
          <w:color w:val="auto"/>
        </w:rPr>
        <w:t xml:space="preserve"> </w:t>
      </w:r>
      <w:r>
        <w:rPr>
          <w:rFonts w:ascii="Arial" w:cs="Arial" w:eastAsia="Arial" w:hAnsi="Arial"/>
          <w:sz w:val="18"/>
          <w:szCs w:val="18"/>
          <w:color w:val="auto"/>
        </w:rPr>
        <w:t>LC Participant shall return to the Issuing Bank the portion thereof previously distributed by the Issuing Bank to it.</w:t>
      </w:r>
    </w:p>
    <w:p>
      <w:pPr>
        <w:spacing w:after="0" w:line="168" w:lineRule="exact"/>
        <w:rPr>
          <w:rFonts w:ascii="Arial" w:cs="Arial" w:eastAsia="Arial" w:hAnsi="Arial"/>
          <w:sz w:val="18"/>
          <w:szCs w:val="18"/>
          <w:color w:val="auto"/>
        </w:rPr>
      </w:pPr>
    </w:p>
    <w:p>
      <w:pPr>
        <w:jc w:val="both"/>
        <w:ind w:left="-635" w:firstLine="635"/>
        <w:spacing w:after="0" w:line="250" w:lineRule="auto"/>
        <w:tabs>
          <w:tab w:leader="none" w:pos="42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Reimbursement Obligations of the Borrower. </w:t>
      </w:r>
      <w:r>
        <w:rPr>
          <w:rFonts w:ascii="Arial" w:cs="Arial" w:eastAsia="Arial" w:hAnsi="Arial"/>
          <w:sz w:val="19"/>
          <w:szCs w:val="19"/>
          <w:color w:val="auto"/>
        </w:rPr>
        <w:t>If any draft is paid under any Letter of Credit, the Borrower shall reimburse the Issuing</w:t>
      </w:r>
      <w:r>
        <w:rPr>
          <w:rFonts w:ascii="Arial" w:cs="Arial" w:eastAsia="Arial" w:hAnsi="Arial"/>
          <w:sz w:val="19"/>
          <w:szCs w:val="19"/>
          <w:i w:val="1"/>
          <w:iCs w:val="1"/>
          <w:color w:val="auto"/>
        </w:rPr>
        <w:t xml:space="preserve"> </w:t>
      </w:r>
      <w:r>
        <w:rPr>
          <w:rFonts w:ascii="Arial" w:cs="Arial" w:eastAsia="Arial" w:hAnsi="Arial"/>
          <w:sz w:val="19"/>
          <w:szCs w:val="19"/>
          <w:color w:val="auto"/>
        </w:rPr>
        <w:t>Bank for the amount of (x) the draft so paid and (y) any taxes, fees, charges or other costs or expenses incurred by the Issuing Bank in connection with such payment, not later than 12:00 Noon, New York City time, on the Business Day immediately following the day that the Borrower receives such notice from the relevant Issuing Bank. Each such payment shall be made to the Issuing Bank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2.11(b) and (y) thereafter, Section 2.11(c).</w:t>
      </w:r>
    </w:p>
    <w:p>
      <w:pPr>
        <w:spacing w:after="0" w:line="178" w:lineRule="exact"/>
        <w:rPr>
          <w:rFonts w:ascii="Arial" w:cs="Arial" w:eastAsia="Arial" w:hAnsi="Arial"/>
          <w:sz w:val="19"/>
          <w:szCs w:val="19"/>
          <w:color w:val="auto"/>
        </w:rPr>
      </w:pPr>
    </w:p>
    <w:p>
      <w:pPr>
        <w:jc w:val="both"/>
        <w:ind w:left="-635" w:firstLine="635"/>
        <w:spacing w:after="0" w:line="277" w:lineRule="auto"/>
        <w:tabs>
          <w:tab w:leader="none" w:pos="436"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Obligations Absolute. </w:t>
      </w:r>
      <w:r>
        <w:rPr>
          <w:rFonts w:ascii="Arial" w:cs="Arial" w:eastAsia="Arial" w:hAnsi="Arial"/>
          <w:sz w:val="17"/>
          <w:szCs w:val="17"/>
          <w:color w:val="auto"/>
        </w:rPr>
        <w:t>The Borrower’s obligations under this Section 2.22(e) shall be absolute, unconditional and irrevocable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and all circumstances and irrespective of any setoff, counterclaim or defense to payment that the Borrower may have or have had against the Issuing Bank, any beneficiary of a Letter of Credit or any other Person. The Borrower also agrees with the Issuing Bank that the Issuing Bank shall not be responsible for, and the Borrower’s Reimbursement Obligations under this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The Issuing Bank shall not be liable for any error, omission, interruption or delay in transmission, dispatch or delivery of any message or advice, however transmitted, in connection with any Letter of Credit, except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 of the Issuing Bank. The Borrower agrees that any action taken or omitted by the Issuing Bank under or in connection with any Letter of Credit or the related drafts or documents, if done in the absence of gross negligence or willful misconduct, shall be binding on the Borrower and shall not result in any liability of the Issuing Bank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Issuing Bank have any liability to any other Person for indirect, special, incidental, consequential or punitive damages (as opposed to direct or actual damages).</w:t>
      </w:r>
    </w:p>
    <w:p>
      <w:pPr>
        <w:spacing w:after="0" w:line="162" w:lineRule="exact"/>
        <w:rPr>
          <w:rFonts w:ascii="Arial" w:cs="Arial" w:eastAsia="Arial" w:hAnsi="Arial"/>
          <w:sz w:val="17"/>
          <w:szCs w:val="17"/>
          <w:color w:val="auto"/>
        </w:rPr>
      </w:pPr>
    </w:p>
    <w:p>
      <w:pPr>
        <w:jc w:val="both"/>
        <w:ind w:left="-635" w:firstLine="635"/>
        <w:spacing w:after="0" w:line="252" w:lineRule="auto"/>
        <w:tabs>
          <w:tab w:leader="none" w:pos="428"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Letters of Credit Payment. </w:t>
      </w:r>
      <w:r>
        <w:rPr>
          <w:rFonts w:ascii="Arial" w:cs="Arial" w:eastAsia="Arial" w:hAnsi="Arial"/>
          <w:sz w:val="19"/>
          <w:szCs w:val="19"/>
          <w:color w:val="auto"/>
        </w:rPr>
        <w:t>If any draft shall be presented for payment under any Letter of Credit, the Issuing Bank shall promptly</w:t>
      </w:r>
      <w:r>
        <w:rPr>
          <w:rFonts w:ascii="Arial" w:cs="Arial" w:eastAsia="Arial" w:hAnsi="Arial"/>
          <w:sz w:val="19"/>
          <w:szCs w:val="19"/>
          <w:i w:val="1"/>
          <w:iCs w:val="1"/>
          <w:color w:val="auto"/>
        </w:rPr>
        <w:t xml:space="preserve"> </w:t>
      </w:r>
      <w:r>
        <w:rPr>
          <w:rFonts w:ascii="Arial" w:cs="Arial" w:eastAsia="Arial" w:hAnsi="Arial"/>
          <w:sz w:val="19"/>
          <w:szCs w:val="19"/>
          <w:color w:val="auto"/>
        </w:rPr>
        <w:t>notify the Borrower of the date and amount thereof. The responsibility of the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78" w:lineRule="exact"/>
        <w:rPr>
          <w:rFonts w:ascii="Arial" w:cs="Arial" w:eastAsia="Arial" w:hAnsi="Arial"/>
          <w:sz w:val="19"/>
          <w:szCs w:val="19"/>
          <w:color w:val="auto"/>
        </w:rPr>
      </w:pPr>
    </w:p>
    <w:p>
      <w:pPr>
        <w:jc w:val="both"/>
        <w:ind w:left="-635" w:firstLine="635"/>
        <w:spacing w:after="0" w:line="259" w:lineRule="auto"/>
        <w:tabs>
          <w:tab w:leader="none" w:pos="407"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 xml:space="preserve">Applications. </w:t>
      </w:r>
      <w:r>
        <w:rPr>
          <w:rFonts w:ascii="Arial" w:cs="Arial" w:eastAsia="Arial" w:hAnsi="Arial"/>
          <w:sz w:val="19"/>
          <w:szCs w:val="19"/>
          <w:color w:val="auto"/>
        </w:rPr>
        <w:t>To the extent that any provision of any Application or other agreement submitted by the Borrower to, or entered into by</w:t>
      </w:r>
      <w:r>
        <w:rPr>
          <w:rFonts w:ascii="Arial" w:cs="Arial" w:eastAsia="Arial" w:hAnsi="Arial"/>
          <w:sz w:val="19"/>
          <w:szCs w:val="19"/>
          <w:i w:val="1"/>
          <w:iCs w:val="1"/>
          <w:color w:val="auto"/>
        </w:rPr>
        <w:t xml:space="preserve"> </w:t>
      </w:r>
      <w:r>
        <w:rPr>
          <w:rFonts w:ascii="Arial" w:cs="Arial" w:eastAsia="Arial" w:hAnsi="Arial"/>
          <w:sz w:val="19"/>
          <w:szCs w:val="19"/>
          <w:color w:val="auto"/>
        </w:rPr>
        <w:t>the Borrower with, the applicable Issuing Bank related to any Letter of Credit is inconsistent with the provisions of this Agreement, the provisions of this Agreement shall apply.</w:t>
      </w:r>
    </w:p>
    <w:p>
      <w:pPr>
        <w:spacing w:after="0" w:line="171" w:lineRule="exact"/>
        <w:rPr>
          <w:rFonts w:ascii="Arial" w:cs="Arial" w:eastAsia="Arial" w:hAnsi="Arial"/>
          <w:sz w:val="19"/>
          <w:szCs w:val="19"/>
          <w:color w:val="auto"/>
        </w:rPr>
      </w:pPr>
    </w:p>
    <w:p>
      <w:pPr>
        <w:ind w:left="405" w:hanging="405"/>
        <w:spacing w:after="0"/>
        <w:tabs>
          <w:tab w:leader="none" w:pos="405"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Action in Respect of Letters of Credit.</w:t>
      </w:r>
    </w:p>
    <w:p>
      <w:pPr>
        <w:spacing w:after="0" w:line="214" w:lineRule="exact"/>
        <w:rPr>
          <w:rFonts w:ascii="Arial" w:cs="Arial" w:eastAsia="Arial" w:hAnsi="Arial"/>
          <w:sz w:val="19"/>
          <w:szCs w:val="19"/>
          <w:color w:val="auto"/>
        </w:rPr>
      </w:pPr>
    </w:p>
    <w:p>
      <w:pPr>
        <w:jc w:val="both"/>
        <w:ind w:left="5" w:firstLine="861"/>
        <w:spacing w:after="0" w:line="250" w:lineRule="auto"/>
        <w:tabs>
          <w:tab w:leader="none" w:pos="1346"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 later than the date that is ten (10) Business Days prior to the 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105% of the sum of all outstanding LC Obligations with an expiration date beyond the Revolving Maturity Date.</w:t>
      </w:r>
    </w:p>
    <w:p>
      <w:pPr>
        <w:spacing w:after="0" w:line="183" w:lineRule="exact"/>
        <w:rPr>
          <w:sz w:val="20"/>
          <w:szCs w:val="20"/>
          <w:color w:val="auto"/>
        </w:rPr>
      </w:pPr>
    </w:p>
    <w:p>
      <w:pPr>
        <w:jc w:val="both"/>
        <w:ind w:left="5" w:firstLine="861"/>
        <w:spacing w:after="0" w:line="252" w:lineRule="auto"/>
        <w:tabs>
          <w:tab w:leader="none" w:pos="13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 or Lenders in respect of the LC Obligations. The Administrative Agent shall promptly give written notice of any such application;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failure to give such written notice shall not invalidate any such application.</w:t>
      </w:r>
    </w:p>
    <w:p>
      <w:pPr>
        <w:spacing w:after="0" w:line="178" w:lineRule="exact"/>
        <w:rPr>
          <w:rFonts w:ascii="Arial" w:cs="Arial" w:eastAsia="Arial" w:hAnsi="Arial"/>
          <w:sz w:val="19"/>
          <w:szCs w:val="19"/>
          <w:color w:val="auto"/>
        </w:rPr>
      </w:pPr>
    </w:p>
    <w:p>
      <w:pPr>
        <w:jc w:val="both"/>
        <w:ind w:left="-635" w:firstLine="635"/>
        <w:spacing w:after="0" w:line="250" w:lineRule="auto"/>
        <w:tabs>
          <w:tab w:leader="none" w:pos="364"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Designation of Additional Issuing Banks</w:t>
      </w:r>
      <w:r>
        <w:rPr>
          <w:rFonts w:ascii="Arial" w:cs="Arial" w:eastAsia="Arial" w:hAnsi="Arial"/>
          <w:sz w:val="19"/>
          <w:szCs w:val="19"/>
          <w:color w:val="auto"/>
        </w:rPr>
        <w:t>. The Borrower may, at any time and from time to time, designate as additional Issuing Banks</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78" w:lineRule="exact"/>
        <w:rPr>
          <w:rFonts w:ascii="Arial" w:cs="Arial" w:eastAsia="Arial" w:hAnsi="Arial"/>
          <w:sz w:val="19"/>
          <w:szCs w:val="19"/>
          <w:color w:val="auto"/>
        </w:rPr>
      </w:pPr>
    </w:p>
    <w:p>
      <w:pPr>
        <w:jc w:val="both"/>
        <w:ind w:left="-635" w:firstLine="635"/>
        <w:spacing w:after="0" w:line="286" w:lineRule="auto"/>
        <w:tabs>
          <w:tab w:leader="none" w:pos="351"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Termination of an Issuing Bank</w:t>
      </w:r>
      <w:r>
        <w:rPr>
          <w:rFonts w:ascii="Arial" w:cs="Arial" w:eastAsia="Arial" w:hAnsi="Arial"/>
          <w:sz w:val="17"/>
          <w:szCs w:val="17"/>
          <w:color w:val="auto"/>
        </w:rPr>
        <w:t>. The Borrower may terminate the appointment of any Issuing Bank as an “Issuing Bank” hereunder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termination shall become effective unless and until the LC Exposure attributable to Letters of Credit issued by such Issuing</w:t>
      </w:r>
      <w:r>
        <w:rPr>
          <w:rFonts w:ascii="Arial" w:cs="Arial" w:eastAsia="Arial" w:hAnsi="Arial"/>
          <w:sz w:val="17"/>
          <w:szCs w:val="17"/>
          <w:i w:val="1"/>
          <w:iCs w:val="1"/>
          <w:color w:val="auto"/>
        </w:rPr>
        <w:t xml:space="preserve"> </w:t>
      </w:r>
      <w:r>
        <w:rPr>
          <w:rFonts w:ascii="Arial" w:cs="Arial" w:eastAsia="Arial" w:hAnsi="Arial"/>
          <w:sz w:val="17"/>
          <w:szCs w:val="17"/>
          <w:color w:val="auto"/>
        </w:rPr>
        <w:t>Bank (or its Affiliates) shall have been reduced to zero. At the time any such termination shall become effective, the Borrower shall pay all unpaid fees accrued for the account of the terminated Issuing Bank pursuant to Section 2.10(c). Notwithstanding the effectiveness of any such termination,</w:t>
      </w:r>
    </w:p>
    <w:p>
      <w:pPr>
        <w:sectPr>
          <w:pgSz w:w="11900" w:h="16838" w:orient="portrait"/>
          <w:cols w:equalWidth="0" w:num="1">
            <w:col w:w="10785"/>
          </w:cols>
          <w:pgMar w:left="875" w:top="121" w:right="239" w:bottom="0" w:gutter="0" w:footer="0" w:header="0"/>
        </w:sectPr>
      </w:pPr>
    </w:p>
    <w:bookmarkStart w:id="138" w:name="page139"/>
    <w:bookmarkEnd w:id="138"/>
    <w:p>
      <w:pPr>
        <w:spacing w:after="0" w:line="275" w:lineRule="auto"/>
        <w:rPr>
          <w:sz w:val="20"/>
          <w:szCs w:val="20"/>
          <w:color w:val="auto"/>
        </w:rPr>
      </w:pPr>
      <w:r>
        <w:rPr>
          <w:rFonts w:ascii="Arial" w:cs="Arial" w:eastAsia="Arial" w:hAnsi="Arial"/>
          <w:sz w:val="19"/>
          <w:szCs w:val="19"/>
          <w:color w:val="auto"/>
        </w:rPr>
        <w:t>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57" w:lineRule="exact"/>
        <w:rPr>
          <w:sz w:val="20"/>
          <w:szCs w:val="20"/>
          <w:color w:val="auto"/>
        </w:rPr>
      </w:pPr>
    </w:p>
    <w:p>
      <w:pPr>
        <w:jc w:val="both"/>
        <w:ind w:firstLine="635"/>
        <w:spacing w:after="0" w:line="263" w:lineRule="auto"/>
        <w:tabs>
          <w:tab w:leader="none" w:pos="105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Issuing Bank Reports to the Administrative Agent</w:t>
      </w:r>
      <w:r>
        <w:rPr>
          <w:rFonts w:ascii="Arial" w:cs="Arial" w:eastAsia="Arial" w:hAnsi="Arial"/>
          <w:sz w:val="18"/>
          <w:szCs w:val="18"/>
          <w:color w:val="auto"/>
        </w:rPr>
        <w:t>. Unless otherwise agreed by the Administrative Agent, each Issuing Bank shall,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69"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2.23.</w:t>
      </w:r>
      <w:r>
        <w:rPr>
          <w:sz w:val="20"/>
          <w:szCs w:val="20"/>
          <w:color w:val="auto"/>
        </w:rPr>
        <w:tab/>
      </w:r>
      <w:r>
        <w:rPr>
          <w:rFonts w:ascii="Arial" w:cs="Arial" w:eastAsia="Arial" w:hAnsi="Arial"/>
          <w:sz w:val="17"/>
          <w:szCs w:val="17"/>
          <w:i w:val="1"/>
          <w:iCs w:val="1"/>
          <w:color w:val="auto"/>
        </w:rPr>
        <w:t>Swingline Loans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49" w:lineRule="auto"/>
        <w:tabs>
          <w:tab w:leader="none" w:pos="1097"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Swingline Loans</w:t>
      </w:r>
      <w:r>
        <w:rPr>
          <w:rFonts w:ascii="Arial" w:cs="Arial" w:eastAsia="Arial" w:hAnsi="Arial"/>
          <w:sz w:val="19"/>
          <w:szCs w:val="19"/>
          <w:color w:val="auto"/>
        </w:rPr>
        <w:t>. Subject to the terms and conditions set forth herein, the Swingline Lender, in reliance on the agreements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Revolving Lenders set forth in this Section, agrees to make Swingline Loans denominated in dollars to the Borrower from time to time on any Business Day during the Revolving Availability Period, in an aggregate principal amount at any time outstanding that will not result in (i) the Revolving Exposure of any Revolving Lender exceeding its Revolving Commitment, (ii) the sum of the total Revolving Exposures exceeding the Total Revolving Commitment or (iii) the aggregate principal amount of outstanding Swingline Loans of the Swingline Lender exceeding its Swingline Commitment;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1" w:lineRule="exact"/>
        <w:rPr>
          <w:rFonts w:ascii="Arial" w:cs="Arial" w:eastAsia="Arial" w:hAnsi="Arial"/>
          <w:sz w:val="19"/>
          <w:szCs w:val="19"/>
          <w:color w:val="auto"/>
        </w:rPr>
      </w:pPr>
    </w:p>
    <w:p>
      <w:pPr>
        <w:jc w:val="both"/>
        <w:ind w:firstLine="635"/>
        <w:spacing w:after="0" w:line="261" w:lineRule="auto"/>
        <w:tabs>
          <w:tab w:leader="none" w:pos="109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Borrowing Procedures for Swingline Loans</w:t>
      </w:r>
      <w:r>
        <w:rPr>
          <w:rFonts w:ascii="Arial" w:cs="Arial" w:eastAsia="Arial" w:hAnsi="Arial"/>
          <w:sz w:val="18"/>
          <w:szCs w:val="18"/>
          <w:color w:val="auto"/>
        </w:rPr>
        <w:t>. Each Borrowing of Swingline Loans shall be made upon the Borrower’s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Swingline Lender and the Administrative Agent. Each such notice shall be given by telephone to the Swingline Lender and the Administrative Agent not later than 2:00 p.m., New York City time, on the date of the requested Borrowing of Swingline Loan, and such notice shall specify (i) the amount to be borrowed, which shall be in a minimum of $100,000 or a larger multiple of $100,000, (ii) the date of such Borrowing of Swingline Loans (which shall be a Business Day), (iii) (other than in the case of Swingline Loans requested to finance the reimbursement of an LC Disbursement, in which case Section 2.03(vi) shall apply)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2.04 and (iv) shall otherwise contain the information required for Borrowing Requests set forth in Section 2.03. Each such telephonic Borrowing Request shall be irrevocable and shall be confirmed promptly by hand delivery or facsimile to the Administrative Agent and the Swingline Lender of a written Borrowing Request signed by the Borrower. Subject to the terms and conditions set forth herein, such Swingline Lender shall make each Swingline Loan available to the Borrower by credit to the Borrower’s account with such Swingline Lender or by wire transfer in accordance with instructions provided to (and reasonably acceptable to) such Swingline Lender (or, in the case of a Swingline Loan made to finance the reimbursement of an LC Disbursement as provided in Section 2.22(d), by remittance to the respective Issuing Bank), not later than 3:00 p.m., New York City time, on the requested date of such Swingline Loan.</w:t>
      </w:r>
    </w:p>
    <w:p>
      <w:pPr>
        <w:spacing w:after="0" w:line="180" w:lineRule="exact"/>
        <w:rPr>
          <w:rFonts w:ascii="Arial" w:cs="Arial" w:eastAsia="Arial" w:hAnsi="Arial"/>
          <w:sz w:val="18"/>
          <w:szCs w:val="18"/>
          <w:color w:val="auto"/>
        </w:rPr>
      </w:pPr>
    </w:p>
    <w:p>
      <w:pPr>
        <w:ind w:left="1020" w:hanging="385"/>
        <w:spacing w:after="0"/>
        <w:tabs>
          <w:tab w:leader="none" w:pos="102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Participations by Lenders in Swingline Loans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40" w:firstLine="861"/>
        <w:spacing w:after="0" w:line="262" w:lineRule="auto"/>
        <w:tabs>
          <w:tab w:leader="none" w:pos="1915" w:val="left"/>
        </w:tabs>
        <w:numPr>
          <w:ilvl w:val="1"/>
          <w:numId w:val="95"/>
        </w:numPr>
        <w:rPr>
          <w:rFonts w:ascii="Arial" w:cs="Arial" w:eastAsia="Arial" w:hAnsi="Arial"/>
          <w:sz w:val="18"/>
          <w:szCs w:val="18"/>
          <w:color w:val="auto"/>
        </w:rPr>
      </w:pPr>
      <w:r>
        <w:rPr>
          <w:rFonts w:ascii="Arial" w:cs="Arial" w:eastAsia="Arial" w:hAnsi="Arial"/>
          <w:sz w:val="18"/>
          <w:szCs w:val="18"/>
          <w:color w:val="auto"/>
        </w:rPr>
        <w:t>Immediately upon the making of a Swingline Loan by a Swingline Lender, and without any further action on the part of such Swingline Lender or the Revolving Lenders, such Swingline Lender hereby grants to each Revolving Lender, and each Revolving Lender hereby acquires from such Swingline Lender, a participation in such Swingline Loan equal to such Revolving Lender’s Applicable Percentage of the amount of such Swingline Loan. Each Revolving Lender hereby absolutely, unconditionally and irrevocably agrees to pay to the Administrative Agent, for account of the Swingline Lender, such Revolving Lender’s Applicable Percentage of such Swingline Loan or Loans. Each Revolving Lender acknowledges and agrees that its obligation to acquire and fund participations in Swingline Loans pursuant to this paragraph is absolute, unconditional and irrevocable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and timing as provided in Section 2.04 with respect to Loans made by such Revolving Lender (with references to 12:00 noon, New York City time, in such Section being deemed to be references to 3:00 p.m., New York City time) (and Section 2.04 shall apply, mutatis mutandis, to the payment obligations of the Revolving Lenders pursuant to this paragraph), and the Administrative Agent shall promptly remit to the Swingline Lender the amounts so received by it from the Revolving Lenders.</w:t>
      </w:r>
    </w:p>
    <w:p>
      <w:pPr>
        <w:spacing w:after="0" w:line="170" w:lineRule="exact"/>
        <w:rPr>
          <w:rFonts w:ascii="Arial" w:cs="Arial" w:eastAsia="Arial" w:hAnsi="Arial"/>
          <w:sz w:val="18"/>
          <w:szCs w:val="18"/>
          <w:color w:val="auto"/>
        </w:rPr>
      </w:pPr>
    </w:p>
    <w:p>
      <w:pPr>
        <w:jc w:val="both"/>
        <w:ind w:left="640" w:firstLine="861"/>
        <w:spacing w:after="0" w:line="263" w:lineRule="auto"/>
        <w:tabs>
          <w:tab w:leader="none" w:pos="196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notify the Borrower of any participations in any Swingline Loan funded pursuant to the preceding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made by such Swingline Lender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the preceding paragraph and to such Swingline Lender, as their interests may appear,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2" w:lineRule="exact"/>
        <w:rPr>
          <w:rFonts w:ascii="Arial" w:cs="Arial" w:eastAsia="Arial" w:hAnsi="Arial"/>
          <w:sz w:val="18"/>
          <w:szCs w:val="18"/>
          <w:color w:val="auto"/>
        </w:rPr>
      </w:pPr>
    </w:p>
    <w:p>
      <w:pPr>
        <w:jc w:val="both"/>
        <w:ind w:left="640" w:firstLine="861"/>
        <w:spacing w:after="0" w:line="294" w:lineRule="auto"/>
        <w:tabs>
          <w:tab w:leader="none" w:pos="1983"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any Revolving Lender fails to make available to the Administrative Agent for the account of the Swingline Lender any amount required to be paid by such Revolving Lender pursuant to the foregoing provisions of this Section 2.23 (including by the time referred to in Section 2.23(c)(i)), the Swingline Lender shall be entitled to recover from such Revolving Lender (acting through the Administrative Agent), on demand, an amount equal to the product of (A) such amount, times (B) the daily average Federal Funds Effective</w:t>
      </w:r>
    </w:p>
    <w:p>
      <w:pPr>
        <w:sectPr>
          <w:pgSz w:w="11900" w:h="16838" w:orient="portrait"/>
          <w:cols w:equalWidth="0" w:num="1">
            <w:col w:w="11420"/>
          </w:cols>
          <w:pgMar w:left="240" w:top="121" w:right="239" w:bottom="0" w:gutter="0" w:footer="0" w:header="0"/>
        </w:sectPr>
      </w:pPr>
    </w:p>
    <w:bookmarkStart w:id="139" w:name="page140"/>
    <w:bookmarkEnd w:id="139"/>
    <w:p>
      <w:pPr>
        <w:jc w:val="both"/>
        <w:ind w:left="640"/>
        <w:spacing w:after="0" w:line="249" w:lineRule="auto"/>
        <w:rPr>
          <w:sz w:val="20"/>
          <w:szCs w:val="20"/>
          <w:color w:val="auto"/>
        </w:rPr>
      </w:pPr>
      <w:r>
        <w:rPr>
          <w:rFonts w:ascii="Arial" w:cs="Arial" w:eastAsia="Arial" w:hAnsi="Arial"/>
          <w:sz w:val="19"/>
          <w:szCs w:val="19"/>
          <w:color w:val="auto"/>
        </w:rPr>
        <w:t>Rate during the period from and including the date such payment is required to the date on which such payment is immediately available to the Swingline Lender, times (C) a fraction the numerator of which is the number of days that elapse during such period (including the first day but excluding the last day) and the denominator of which is 360. If any such amount required to be paid by any Revolving Lender pursuant to this Section 2.23 is not made available to the Swingline Lender by such Revolving Lender within three Business Days after the date such payment is due, the Swingline Lender shall be entitled to recover from such Revolving Lender, on demand, such amount with interest thereon calculated from such due date at the Applicable Rate to ABR Revolving Loans. A certificate of the Swingline Lender submitted to any Revolving Lender (through the Administrative Agent) with respect to any amounts owing under this clause (iii) shall be conclusive absent manifest error.</w:t>
      </w:r>
    </w:p>
    <w:p>
      <w:pPr>
        <w:spacing w:after="0" w:line="183" w:lineRule="exact"/>
        <w:rPr>
          <w:sz w:val="20"/>
          <w:szCs w:val="20"/>
          <w:color w:val="auto"/>
        </w:rPr>
      </w:pPr>
    </w:p>
    <w:p>
      <w:pPr>
        <w:jc w:val="both"/>
        <w:ind w:firstLine="635"/>
        <w:spacing w:after="0" w:line="294" w:lineRule="auto"/>
        <w:tabs>
          <w:tab w:leader="none" w:pos="1042"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Resignation of Swingline Lender</w:t>
      </w:r>
      <w:r>
        <w:rPr>
          <w:rFonts w:ascii="Arial" w:cs="Arial" w:eastAsia="Arial" w:hAnsi="Arial"/>
          <w:sz w:val="17"/>
          <w:szCs w:val="17"/>
          <w:color w:val="auto"/>
        </w:rPr>
        <w:t>. Any Swingline Lender may resign at any time by giving 30 days’ prior notice to the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Agent, the Lenders and the Borrower. After the resignation of a Swingline Lender hereunder, the retiring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REPRESENTATIONS AND WARRANTIES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of Holdings and the Borrower represents and warrants to the Administrative Agent and each of the Lenders that:</w:t>
      </w:r>
    </w:p>
    <w:p>
      <w:pPr>
        <w:spacing w:after="0" w:line="215"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Organization; Powers.</w:t>
      </w:r>
      <w:r>
        <w:rPr>
          <w:rFonts w:ascii="Arial" w:cs="Arial" w:eastAsia="Arial" w:hAnsi="Arial"/>
          <w:sz w:val="19"/>
          <w:szCs w:val="19"/>
          <w:color w:val="auto"/>
        </w:rPr>
        <w:t xml:space="preserve"> 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3"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i w:val="1"/>
          <w:iCs w:val="1"/>
          <w:color w:val="auto"/>
        </w:rPr>
        <w:t>Authorization; Enforceability.</w:t>
      </w:r>
      <w:r>
        <w:rPr>
          <w:rFonts w:ascii="Arial" w:cs="Arial" w:eastAsia="Arial" w:hAnsi="Arial"/>
          <w:sz w:val="19"/>
          <w:szCs w:val="19"/>
          <w:color w:val="auto"/>
        </w:rPr>
        <w:t xml:space="preserve"> 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Governmental Approvals; No Conflicts.</w:t>
      </w:r>
      <w:r>
        <w:rPr>
          <w:rFonts w:ascii="Arial" w:cs="Arial" w:eastAsia="Arial" w:hAnsi="Arial"/>
          <w:sz w:val="18"/>
          <w:szCs w:val="18"/>
          <w:color w:val="auto"/>
        </w:rPr>
        <w:t xml:space="preserve"> 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69"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3.04.</w:t>
      </w:r>
      <w:r>
        <w:rPr>
          <w:sz w:val="20"/>
          <w:szCs w:val="20"/>
          <w:color w:val="auto"/>
        </w:rPr>
        <w:tab/>
      </w:r>
      <w:r>
        <w:rPr>
          <w:rFonts w:ascii="Arial" w:cs="Arial" w:eastAsia="Arial" w:hAnsi="Arial"/>
          <w:sz w:val="18"/>
          <w:szCs w:val="18"/>
          <w:i w:val="1"/>
          <w:iCs w:val="1"/>
          <w:color w:val="auto"/>
        </w:rPr>
        <w:t>Financial Condition; No Material Adverse Effect</w:t>
      </w:r>
      <w:r>
        <w:rPr>
          <w:rFonts w:ascii="Arial" w:cs="Arial" w:eastAsia="Arial" w:hAnsi="Arial"/>
          <w:sz w:val="18"/>
          <w:szCs w:val="18"/>
          <w:color w:val="auto"/>
        </w:rPr>
        <w:t>.</w:t>
      </w:r>
    </w:p>
    <w:p>
      <w:pPr>
        <w:spacing w:after="0" w:line="215" w:lineRule="exact"/>
        <w:rPr>
          <w:sz w:val="20"/>
          <w:szCs w:val="20"/>
          <w:color w:val="auto"/>
        </w:rPr>
      </w:pPr>
    </w:p>
    <w:p>
      <w:pPr>
        <w:jc w:val="both"/>
        <w:ind w:firstLine="635"/>
        <w:spacing w:after="0" w:line="254" w:lineRule="auto"/>
        <w:tabs>
          <w:tab w:leader="none" w:pos="1071"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periods covered thereby, except as otherwise expressly noted therein and (ii) fairly present the financial condition of Holdings and its consolidated Subsidiaries as of the date thereof and their results of operations for the periods covered thereby in accordance with GAAP consistently applied throughout the periods covered thereby, except as otherwise expressly noted therein.</w:t>
      </w:r>
    </w:p>
    <w:p>
      <w:pPr>
        <w:spacing w:after="0" w:line="177" w:lineRule="exact"/>
        <w:rPr>
          <w:rFonts w:ascii="Arial" w:cs="Arial" w:eastAsia="Arial" w:hAnsi="Arial"/>
          <w:sz w:val="19"/>
          <w:szCs w:val="19"/>
          <w:color w:val="auto"/>
        </w:rPr>
      </w:pPr>
    </w:p>
    <w:p>
      <w:pPr>
        <w:ind w:left="1040" w:hanging="405"/>
        <w:spacing w:after="0"/>
        <w:tabs>
          <w:tab w:leader="none" w:pos="10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Since December 31, 2018, there has been no Material Adverse Effect.</w:t>
      </w:r>
    </w:p>
    <w:p>
      <w:pPr>
        <w:spacing w:after="0" w:line="215"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3.05.</w:t>
      </w:r>
      <w:r>
        <w:rPr>
          <w:sz w:val="20"/>
          <w:szCs w:val="20"/>
          <w:color w:val="auto"/>
        </w:rPr>
        <w:tab/>
      </w:r>
      <w:r>
        <w:rPr>
          <w:rFonts w:ascii="Arial" w:cs="Arial" w:eastAsia="Arial" w:hAnsi="Arial"/>
          <w:sz w:val="17"/>
          <w:szCs w:val="17"/>
          <w:i w:val="1"/>
          <w:iCs w:val="1"/>
          <w:color w:val="auto"/>
        </w:rPr>
        <w:t>Properties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2" w:lineRule="auto"/>
        <w:tabs>
          <w:tab w:leader="none" w:pos="1123" w:val="left"/>
        </w:tabs>
        <w:numPr>
          <w:ilvl w:val="0"/>
          <w:numId w:val="98"/>
        </w:numPr>
        <w:rPr>
          <w:rFonts w:ascii="Arial" w:cs="Arial" w:eastAsia="Arial" w:hAnsi="Arial"/>
          <w:sz w:val="19"/>
          <w:szCs w:val="19"/>
          <w:color w:val="auto"/>
        </w:rPr>
      </w:pPr>
      <w:r>
        <w:rPr>
          <w:rFonts w:ascii="Arial" w:cs="Arial" w:eastAsia="Arial" w:hAnsi="Arial"/>
          <w:sz w:val="19"/>
          <w:szCs w:val="19"/>
          <w:color w:val="auto"/>
        </w:rPr>
        <w:t>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78" w:lineRule="exact"/>
        <w:rPr>
          <w:rFonts w:ascii="Arial" w:cs="Arial" w:eastAsia="Arial" w:hAnsi="Arial"/>
          <w:sz w:val="19"/>
          <w:szCs w:val="19"/>
          <w:color w:val="auto"/>
        </w:rPr>
      </w:pPr>
    </w:p>
    <w:p>
      <w:pPr>
        <w:ind w:firstLine="635"/>
        <w:spacing w:after="0" w:line="274" w:lineRule="auto"/>
        <w:tabs>
          <w:tab w:leader="none" w:pos="1055" w:val="left"/>
        </w:tabs>
        <w:numPr>
          <w:ilvl w:val="0"/>
          <w:numId w:val="98"/>
        </w:numPr>
        <w:rPr>
          <w:rFonts w:ascii="Arial" w:cs="Arial" w:eastAsia="Arial" w:hAnsi="Arial"/>
          <w:sz w:val="19"/>
          <w:szCs w:val="19"/>
          <w:color w:val="auto"/>
        </w:rPr>
      </w:pPr>
      <w:r>
        <w:rPr>
          <w:rFonts w:ascii="Arial" w:cs="Arial" w:eastAsia="Arial" w:hAnsi="Arial"/>
          <w:sz w:val="19"/>
          <w:szCs w:val="19"/>
          <w:color w:val="auto"/>
        </w:rPr>
        <w:t>As of the Closing Date, after giving effect to the Transactions to be consummated on or prior to the Closing Date, none of Holdings, the Borrower or any Restricted Subsidiary owns any real property.</w:t>
      </w:r>
    </w:p>
    <w:p>
      <w:pPr>
        <w:spacing w:after="0" w:line="15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3.06.</w:t>
      </w:r>
      <w:r>
        <w:rPr>
          <w:sz w:val="20"/>
          <w:szCs w:val="20"/>
          <w:color w:val="auto"/>
        </w:rPr>
        <w:tab/>
      </w:r>
      <w:r>
        <w:rPr>
          <w:rFonts w:ascii="Arial" w:cs="Arial" w:eastAsia="Arial" w:hAnsi="Arial"/>
          <w:sz w:val="18"/>
          <w:szCs w:val="18"/>
          <w:i w:val="1"/>
          <w:iCs w:val="1"/>
          <w:color w:val="auto"/>
        </w:rPr>
        <w:t>Litigation and Environmental Matters</w:t>
      </w:r>
      <w:r>
        <w:rPr>
          <w:rFonts w:ascii="Arial" w:cs="Arial" w:eastAsia="Arial" w:hAnsi="Arial"/>
          <w:sz w:val="18"/>
          <w:szCs w:val="18"/>
          <w:color w:val="auto"/>
        </w:rPr>
        <w:t>.</w:t>
      </w:r>
    </w:p>
    <w:p>
      <w:pPr>
        <w:spacing w:after="0" w:line="215" w:lineRule="exact"/>
        <w:rPr>
          <w:sz w:val="20"/>
          <w:szCs w:val="20"/>
          <w:color w:val="auto"/>
        </w:rPr>
      </w:pPr>
    </w:p>
    <w:p>
      <w:pPr>
        <w:jc w:val="both"/>
        <w:ind w:firstLine="635"/>
        <w:spacing w:after="0" w:line="289" w:lineRule="auto"/>
        <w:tabs>
          <w:tab w:leader="none" w:pos="111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in each case, before (or, in the case of material threatened claims, actions, suits, investigations or proceedings, would be before) or by any Governmental</w:t>
      </w:r>
    </w:p>
    <w:p>
      <w:pPr>
        <w:sectPr>
          <w:pgSz w:w="11900" w:h="16838" w:orient="portrait"/>
          <w:cols w:equalWidth="0" w:num="1">
            <w:col w:w="11420"/>
          </w:cols>
          <w:pgMar w:left="240" w:top="121" w:right="239" w:bottom="0" w:gutter="0" w:footer="0" w:header="0"/>
        </w:sectPr>
      </w:pPr>
    </w:p>
    <w:bookmarkStart w:id="140" w:name="page141"/>
    <w:bookmarkEnd w:id="140"/>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Authority, Regulatory Supervising Organization or arbitrator that could reasonably be expected, individually or in the aggregate, to result in a Material Adverse Effect.</w:t>
      </w:r>
    </w:p>
    <w:p>
      <w:pPr>
        <w:spacing w:after="0" w:line="157" w:lineRule="exact"/>
        <w:rPr>
          <w:sz w:val="20"/>
          <w:szCs w:val="20"/>
          <w:color w:val="auto"/>
        </w:rPr>
      </w:pPr>
    </w:p>
    <w:p>
      <w:pPr>
        <w:jc w:val="both"/>
        <w:ind w:firstLine="635"/>
        <w:spacing w:after="0" w:line="267" w:lineRule="auto"/>
        <w:tabs>
          <w:tab w:leader="none" w:pos="11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pacing w:after="0" w:line="167"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Compliance with Laws and Agreements</w:t>
      </w:r>
      <w:r>
        <w:rPr>
          <w:rFonts w:ascii="Arial" w:cs="Arial" w:eastAsia="Arial" w:hAnsi="Arial"/>
          <w:sz w:val="19"/>
          <w:szCs w:val="19"/>
          <w:color w:val="auto"/>
        </w:rPr>
        <w:t>. 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spacing w:after="0" w:line="178"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i w:val="1"/>
          <w:iCs w:val="1"/>
          <w:color w:val="auto"/>
        </w:rPr>
        <w:t>Investment Company Status.</w:t>
      </w:r>
      <w:r>
        <w:rPr>
          <w:rFonts w:ascii="Arial" w:cs="Arial" w:eastAsia="Arial" w:hAnsi="Arial"/>
          <w:sz w:val="19"/>
          <w:szCs w:val="19"/>
          <w:color w:val="auto"/>
        </w:rPr>
        <w:t xml:space="preserve"> No Loan Party is required to be registered as an “investment company” within the meaning of the Investment Company Act of 1940, as amended from time to time.</w:t>
      </w:r>
    </w:p>
    <w:p>
      <w:pPr>
        <w:spacing w:after="0" w:line="157" w:lineRule="exact"/>
        <w:rPr>
          <w:sz w:val="20"/>
          <w:szCs w:val="20"/>
          <w:color w:val="auto"/>
        </w:rPr>
      </w:pPr>
    </w:p>
    <w:p>
      <w:pPr>
        <w:jc w:val="both"/>
        <w:ind w:firstLine="630"/>
        <w:spacing w:after="0" w:line="266"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Taxes.</w:t>
      </w:r>
      <w:r>
        <w:rPr>
          <w:rFonts w:ascii="Arial" w:cs="Arial" w:eastAsia="Arial" w:hAnsi="Arial"/>
          <w:sz w:val="18"/>
          <w:szCs w:val="18"/>
          <w:color w:val="auto"/>
        </w:rPr>
        <w:t xml:space="preserve"> 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spacing w:after="0" w:line="166"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7"/>
          <w:szCs w:val="17"/>
          <w:i w:val="1"/>
          <w:iCs w:val="1"/>
          <w:color w:val="auto"/>
        </w:rPr>
        <w:t>ERISA</w:t>
      </w:r>
      <w:r>
        <w:rPr>
          <w:rFonts w:ascii="Arial" w:cs="Arial" w:eastAsia="Arial" w:hAnsi="Arial"/>
          <w:sz w:val="17"/>
          <w:szCs w:val="17"/>
          <w:color w:val="auto"/>
        </w:rPr>
        <w:t>.</w:t>
      </w:r>
    </w:p>
    <w:p>
      <w:pPr>
        <w:spacing w:after="0" w:line="215" w:lineRule="exact"/>
        <w:rPr>
          <w:sz w:val="20"/>
          <w:szCs w:val="20"/>
          <w:color w:val="auto"/>
        </w:rPr>
      </w:pPr>
    </w:p>
    <w:p>
      <w:pPr>
        <w:ind w:firstLine="635"/>
        <w:spacing w:after="0" w:line="274" w:lineRule="auto"/>
        <w:tabs>
          <w:tab w:leader="none" w:pos="107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result in a Material Adverse Effect, each Plan is in compliance with the applicable provisions of ERISA, the Code and other federal or state laws.</w:t>
      </w:r>
    </w:p>
    <w:p>
      <w:pPr>
        <w:spacing w:after="0" w:line="157" w:lineRule="exact"/>
        <w:rPr>
          <w:rFonts w:ascii="Arial" w:cs="Arial" w:eastAsia="Arial" w:hAnsi="Arial"/>
          <w:sz w:val="19"/>
          <w:szCs w:val="19"/>
          <w:color w:val="auto"/>
        </w:rPr>
      </w:pPr>
    </w:p>
    <w:p>
      <w:pPr>
        <w:jc w:val="both"/>
        <w:ind w:firstLine="635"/>
        <w:spacing w:after="0" w:line="264" w:lineRule="auto"/>
        <w:tabs>
          <w:tab w:leader="none" w:pos="10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result in a Material Adverse Effect, (i) no ERISA Event has occurred or is reasonably expected to occur, (ii) neither the Borrower nor any ERISA Affiliate has incurred, or reasonably expects to incur, any liability under Title IV of ERISA with respect to any Plan (other than premiums due and not delinquent under Section 4007 of ERISA),</w:t>
      </w:r>
    </w:p>
    <w:p>
      <w:pPr>
        <w:spacing w:after="0" w:line="2" w:lineRule="exact"/>
        <w:rPr>
          <w:rFonts w:ascii="Arial" w:cs="Arial" w:eastAsia="Arial" w:hAnsi="Arial"/>
          <w:sz w:val="18"/>
          <w:szCs w:val="18"/>
          <w:color w:val="auto"/>
        </w:rPr>
      </w:pPr>
    </w:p>
    <w:p>
      <w:pPr>
        <w:jc w:val="both"/>
        <w:ind w:firstLine="5"/>
        <w:spacing w:after="0" w:line="249" w:lineRule="auto"/>
        <w:tabs>
          <w:tab w:leader="none" w:pos="33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 4069 or 4212(c) of ERISA.</w:t>
      </w:r>
    </w:p>
    <w:p>
      <w:pPr>
        <w:spacing w:after="0" w:line="180"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i w:val="1"/>
          <w:iCs w:val="1"/>
          <w:color w:val="auto"/>
        </w:rPr>
        <w:t>Disclosure</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48" w:lineRule="auto"/>
        <w:tabs>
          <w:tab w:leader="none" w:pos="103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Neither (i) the Information Materials as of the Closing Date nor (ii)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Closing Date in connection with the transactions consummated on the Closing Date, as of the Closing Date, it being understood that any such projected financial information may vary from actual results and such variations could be material.</w:t>
      </w:r>
    </w:p>
    <w:p>
      <w:pPr>
        <w:spacing w:after="0" w:line="186" w:lineRule="exact"/>
        <w:rPr>
          <w:rFonts w:ascii="Arial" w:cs="Arial" w:eastAsia="Arial" w:hAnsi="Arial"/>
          <w:sz w:val="19"/>
          <w:szCs w:val="19"/>
          <w:color w:val="auto"/>
        </w:rPr>
      </w:pPr>
    </w:p>
    <w:p>
      <w:pPr>
        <w:jc w:val="both"/>
        <w:ind w:firstLine="635"/>
        <w:spacing w:after="0" w:line="259" w:lineRule="auto"/>
        <w:tabs>
          <w:tab w:leader="none" w:pos="104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the Borrower has provided a Beneficial Ownership Certification to any Lender in connection with this Agreement on or prior to the Closing Date, as of the Closing Date, to the best knowledge of the Borrower, the information included in such Beneficial Ownership Certification is true and correct in all respects.</w:t>
      </w:r>
    </w:p>
    <w:p>
      <w:pPr>
        <w:spacing w:after="0" w:line="172"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i w:val="1"/>
          <w:iCs w:val="1"/>
          <w:color w:val="auto"/>
        </w:rPr>
        <w:t>Subsidiaries.</w:t>
      </w:r>
      <w:r>
        <w:rPr>
          <w:rFonts w:ascii="Arial" w:cs="Arial" w:eastAsia="Arial" w:hAnsi="Arial"/>
          <w:sz w:val="19"/>
          <w:szCs w:val="19"/>
          <w:color w:val="auto"/>
        </w:rPr>
        <w:t xml:space="preserve"> As of the Closing Date, Schedule 3.12 sets forth the name of, and the ownership interest of Holdings, the Borrower and each Subsidiary in, each Subsidiary.</w:t>
      </w:r>
    </w:p>
    <w:p>
      <w:pPr>
        <w:spacing w:after="0" w:line="157"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Intellectual Property; Licenses, Etc</w:t>
      </w:r>
      <w:r>
        <w:rPr>
          <w:rFonts w:ascii="Arial" w:cs="Arial" w:eastAsia="Arial" w:hAnsi="Arial"/>
          <w:sz w:val="18"/>
          <w:szCs w:val="18"/>
          <w:color w:val="auto"/>
        </w:rPr>
        <w:t>.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pacing w:after="0" w:line="167"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i w:val="1"/>
          <w:iCs w:val="1"/>
          <w:color w:val="auto"/>
        </w:rPr>
        <w:t>Solvency.</w:t>
      </w:r>
      <w:r>
        <w:rPr>
          <w:rFonts w:ascii="Arial" w:cs="Arial" w:eastAsia="Arial" w:hAnsi="Arial"/>
          <w:sz w:val="19"/>
          <w:szCs w:val="19"/>
          <w:color w:val="auto"/>
        </w:rPr>
        <w:t xml:space="preserve"> Immediately after the consummation of the Transactions to occur on the Closing Date, the Borrower and its Subsidiaries, on a consolidated basis, will not be Insolvent.</w:t>
      </w:r>
    </w:p>
    <w:p>
      <w:pPr>
        <w:spacing w:after="0" w:line="157"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i w:val="1"/>
          <w:iCs w:val="1"/>
          <w:color w:val="auto"/>
        </w:rPr>
        <w:t>Senior Indebtedness.</w:t>
      </w:r>
      <w:r>
        <w:rPr>
          <w:rFonts w:ascii="Arial" w:cs="Arial" w:eastAsia="Arial" w:hAnsi="Arial"/>
          <w:sz w:val="19"/>
          <w:szCs w:val="19"/>
          <w:color w:val="auto"/>
        </w:rPr>
        <w:t xml:space="preserve"> The Loan Document Obligations constitute “Senior Indebtedness” (or any comparable term) under and as defined in the documentation governing any Junior Financing or the Second Lien Notes.</w:t>
      </w:r>
    </w:p>
    <w:p>
      <w:pPr>
        <w:spacing w:after="0" w:line="157" w:lineRule="exact"/>
        <w:rPr>
          <w:sz w:val="20"/>
          <w:szCs w:val="20"/>
          <w:color w:val="auto"/>
        </w:rPr>
      </w:pPr>
    </w:p>
    <w:p>
      <w:pPr>
        <w:jc w:val="both"/>
        <w:ind w:firstLine="630"/>
        <w:spacing w:after="0" w:line="335"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i w:val="1"/>
          <w:iCs w:val="1"/>
          <w:color w:val="auto"/>
        </w:rPr>
        <w:t>Federal Reserve Regulations</w:t>
      </w:r>
      <w:r>
        <w:rPr>
          <w:rFonts w:ascii="Arial" w:cs="Arial" w:eastAsia="Arial" w:hAnsi="Arial"/>
          <w:sz w:val="17"/>
          <w:szCs w:val="17"/>
          <w:color w:val="auto"/>
        </w:rPr>
        <w:t>. No part of the proceeds of the Loans will be used, directly or indirectly, to purchase or carry any margin stock or to refinance any Indebtedness originally incurred for such purpose, in each case, in a manner that entails a violation (including</w:t>
      </w:r>
    </w:p>
    <w:p>
      <w:pPr>
        <w:sectPr>
          <w:pgSz w:w="11900" w:h="16959" w:orient="portrait"/>
          <w:cols w:equalWidth="0" w:num="1">
            <w:col w:w="11420"/>
          </w:cols>
          <w:pgMar w:left="240" w:top="121" w:right="239" w:bottom="0" w:gutter="0" w:footer="0" w:header="0"/>
        </w:sectPr>
      </w:pPr>
    </w:p>
    <w:bookmarkStart w:id="141" w:name="page142"/>
    <w:bookmarkEnd w:id="141"/>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on the part of any Lender) of the provisions of Regulations U or X of the Board of Governors.</w:t>
      </w:r>
    </w:p>
    <w:p>
      <w:pPr>
        <w:spacing w:after="0" w:line="216"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3.17.</w:t>
      </w:r>
      <w:r>
        <w:rPr>
          <w:sz w:val="20"/>
          <w:szCs w:val="20"/>
          <w:color w:val="auto"/>
        </w:rPr>
        <w:tab/>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215" w:lineRule="exact"/>
        <w:rPr>
          <w:sz w:val="20"/>
          <w:szCs w:val="20"/>
          <w:color w:val="auto"/>
        </w:rPr>
      </w:pPr>
    </w:p>
    <w:p>
      <w:pPr>
        <w:ind w:firstLine="635"/>
        <w:spacing w:after="0" w:line="274" w:lineRule="auto"/>
        <w:tabs>
          <w:tab w:leader="none" w:pos="105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Refinancing Borrower will use the proceeds of the Refinancing Term Loans on the Closing Date (i) to consummate the Closing Date Refinancings and (ii) to pay fees and expenses in connection therewith.</w:t>
      </w:r>
    </w:p>
    <w:p>
      <w:pPr>
        <w:spacing w:after="0" w:line="157" w:lineRule="exact"/>
        <w:rPr>
          <w:rFonts w:ascii="Arial" w:cs="Arial" w:eastAsia="Arial" w:hAnsi="Arial"/>
          <w:sz w:val="19"/>
          <w:szCs w:val="19"/>
          <w:color w:val="auto"/>
        </w:rPr>
      </w:pPr>
    </w:p>
    <w:p>
      <w:pPr>
        <w:ind w:firstLine="635"/>
        <w:spacing w:after="0" w:line="274" w:lineRule="auto"/>
        <w:tabs>
          <w:tab w:leader="none" w:pos="102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Acquisition Borrower will use the proceeds of the Acquisition Term Loans on the Closing Date (i) to consummate the Acquisition and (ii) to pay fees and expenses in connection herewith and therewith.</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01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and its Restricted Subsidiaries will use the proceeds of borrowings under the Revolving Commitment and the Letters of Credit issued hereunder for general corporate purposes (including, without limitation, for the financing of Permitted Acquisitions and to pay fees and expenses in connection therewith).</w:t>
      </w:r>
    </w:p>
    <w:p>
      <w:pPr>
        <w:spacing w:after="0" w:line="17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3.18.</w:t>
      </w:r>
      <w:r>
        <w:rPr>
          <w:sz w:val="20"/>
          <w:szCs w:val="20"/>
          <w:color w:val="auto"/>
        </w:rPr>
        <w:tab/>
      </w:r>
      <w:r>
        <w:rPr>
          <w:rFonts w:ascii="Arial" w:cs="Arial" w:eastAsia="Arial" w:hAnsi="Arial"/>
          <w:sz w:val="17"/>
          <w:szCs w:val="17"/>
          <w:i w:val="1"/>
          <w:iCs w:val="1"/>
          <w:color w:val="auto"/>
        </w:rPr>
        <w:t>Regulatory Status and Memberships Held</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89" w:lineRule="auto"/>
        <w:tabs>
          <w:tab w:leader="none" w:pos="10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set forth on Schedule 3.18,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spacing w:after="0" w:line="148" w:lineRule="exact"/>
        <w:rPr>
          <w:rFonts w:ascii="Arial" w:cs="Arial" w:eastAsia="Arial" w:hAnsi="Arial"/>
          <w:sz w:val="17"/>
          <w:szCs w:val="17"/>
          <w:color w:val="auto"/>
        </w:rPr>
      </w:pPr>
    </w:p>
    <w:p>
      <w:pPr>
        <w:jc w:val="both"/>
        <w:ind w:firstLine="635"/>
        <w:spacing w:after="0" w:line="259" w:lineRule="auto"/>
        <w:tabs>
          <w:tab w:leader="none" w:pos="11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Subsidiary of the Borrower listed on Schedule 3.18 is duly registered with, or a member of, the Regulatory Supervising Organization(s) indicated for such Subsidiary and is in compliance in all material respects with all applicable rules and regulations of such Regulatory Supervising Organization(s).</w:t>
      </w:r>
    </w:p>
    <w:p>
      <w:pPr>
        <w:spacing w:after="0" w:line="17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3.19.</w:t>
      </w:r>
      <w:r>
        <w:rPr>
          <w:sz w:val="20"/>
          <w:szCs w:val="20"/>
          <w:color w:val="auto"/>
        </w:rPr>
        <w:tab/>
      </w:r>
      <w:r>
        <w:rPr>
          <w:rFonts w:ascii="Arial" w:cs="Arial" w:eastAsia="Arial" w:hAnsi="Arial"/>
          <w:sz w:val="17"/>
          <w:szCs w:val="17"/>
          <w:i w:val="1"/>
          <w:iCs w:val="1"/>
          <w:color w:val="auto"/>
        </w:rPr>
        <w:t>PATRIOT Act, OFAC and FCPA</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2" w:lineRule="auto"/>
        <w:tabs>
          <w:tab w:leader="none" w:pos="111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78" w:lineRule="exact"/>
        <w:rPr>
          <w:rFonts w:ascii="Arial" w:cs="Arial" w:eastAsia="Arial" w:hAnsi="Arial"/>
          <w:sz w:val="19"/>
          <w:szCs w:val="19"/>
          <w:color w:val="auto"/>
        </w:rPr>
      </w:pPr>
    </w:p>
    <w:p>
      <w:pPr>
        <w:jc w:val="both"/>
        <w:ind w:firstLine="635"/>
        <w:spacing w:after="0" w:line="254" w:lineRule="auto"/>
        <w:tabs>
          <w:tab w:leader="none" w:pos="113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9"/>
          <w:szCs w:val="19"/>
          <w:b w:val="1"/>
          <w:bCs w:val="1"/>
          <w:color w:val="auto"/>
        </w:rPr>
        <w:t>FCPA</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635"/>
        <w:spacing w:after="0" w:line="259" w:lineRule="auto"/>
        <w:tabs>
          <w:tab w:leader="none" w:pos="103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Title III of the USA Patriot Act or the FCPA.</w:t>
      </w:r>
    </w:p>
    <w:p>
      <w:pPr>
        <w:spacing w:after="0" w:line="171" w:lineRule="exact"/>
        <w:rPr>
          <w:rFonts w:ascii="Arial" w:cs="Arial" w:eastAsia="Arial" w:hAnsi="Arial"/>
          <w:sz w:val="19"/>
          <w:szCs w:val="19"/>
          <w:color w:val="auto"/>
        </w:rPr>
      </w:pPr>
    </w:p>
    <w:p>
      <w:pPr>
        <w:jc w:val="both"/>
        <w:ind w:firstLine="635"/>
        <w:spacing w:after="0" w:line="286" w:lineRule="auto"/>
        <w:tabs>
          <w:tab w:leader="none" w:pos="102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 None of the Loan Parties is an individual or entity currently on OFAC’s list of Specially Designated Nationals and Blocked Persons (the “</w:t>
      </w:r>
      <w:r>
        <w:rPr>
          <w:rFonts w:ascii="Arial" w:cs="Arial" w:eastAsia="Arial" w:hAnsi="Arial"/>
          <w:sz w:val="17"/>
          <w:szCs w:val="17"/>
          <w:b w:val="1"/>
          <w:bCs w:val="1"/>
          <w:color w:val="auto"/>
        </w:rPr>
        <w:t>SDN List</w:t>
      </w:r>
      <w:r>
        <w:rPr>
          <w:rFonts w:ascii="Arial" w:cs="Arial" w:eastAsia="Arial" w:hAnsi="Arial"/>
          <w:sz w:val="17"/>
          <w:szCs w:val="17"/>
          <w:color w:val="auto"/>
        </w:rPr>
        <w:t>”) or is owned 50% or more, directly or indirectly, by one or more parties on the SDN List and (ii) except as would not, individually 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p>
      <w:pPr>
        <w:spacing w:after="0" w:line="15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3.20.</w:t>
      </w:r>
      <w:r>
        <w:rPr>
          <w:sz w:val="20"/>
          <w:szCs w:val="20"/>
          <w:color w:val="auto"/>
        </w:rPr>
        <w:tab/>
      </w:r>
      <w:r>
        <w:rPr>
          <w:rFonts w:ascii="Arial" w:cs="Arial" w:eastAsia="Arial" w:hAnsi="Arial"/>
          <w:sz w:val="17"/>
          <w:szCs w:val="17"/>
          <w:i w:val="1"/>
          <w:iCs w:val="1"/>
          <w:color w:val="auto"/>
        </w:rPr>
        <w:t>EEA Financial Institutions</w:t>
      </w:r>
      <w:r>
        <w:rPr>
          <w:rFonts w:ascii="Arial" w:cs="Arial" w:eastAsia="Arial" w:hAnsi="Arial"/>
          <w:sz w:val="17"/>
          <w:szCs w:val="17"/>
          <w:color w:val="auto"/>
        </w:rPr>
        <w:t>. No Loan Party is an EEA Financial Institution.</w:t>
      </w:r>
    </w:p>
    <w:p>
      <w:pPr>
        <w:spacing w:after="0" w:line="24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ARTICLE 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CONDITIONS</w:t>
      </w:r>
    </w:p>
    <w:p>
      <w:pPr>
        <w:spacing w:after="0" w:line="228"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Closing Date.</w:t>
      </w:r>
      <w:r>
        <w:rPr>
          <w:rFonts w:ascii="Arial" w:cs="Arial" w:eastAsia="Arial" w:hAnsi="Arial"/>
          <w:sz w:val="19"/>
          <w:szCs w:val="19"/>
          <w:color w:val="auto"/>
        </w:rPr>
        <w:t xml:space="preserve"> The obligations of the Lenders to make Loans hereunder on the Closing Date shall not become effective until the date on which each of the following conditions shall be satisfied (or waived in accordance with Section 9.02):</w:t>
      </w:r>
    </w:p>
    <w:p>
      <w:pPr>
        <w:spacing w:after="0" w:line="157" w:lineRule="exact"/>
        <w:rPr>
          <w:sz w:val="20"/>
          <w:szCs w:val="20"/>
          <w:color w:val="auto"/>
        </w:rPr>
      </w:pPr>
    </w:p>
    <w:p>
      <w:pPr>
        <w:jc w:val="both"/>
        <w:ind w:firstLine="635"/>
        <w:spacing w:after="0" w:line="254" w:lineRule="auto"/>
        <w:tabs>
          <w:tab w:leader="none" w:pos="104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each party hereto either (i) a counterpart of this Agreement (or in the case of ITG and its subsidiaries, a joinder hereto) signed on behalf of such party or (ii) written evidence satisfactory to the Administrative Agent (which may include facsimile or other electronic transmission of a signed counterpart of this Agreement) that such party has signed a counterpart of this Agreement (or in the case of ITG and its subsidiaries, a joinder hereto).</w:t>
      </w:r>
    </w:p>
    <w:p>
      <w:pPr>
        <w:spacing w:after="0" w:line="177" w:lineRule="exact"/>
        <w:rPr>
          <w:rFonts w:ascii="Arial" w:cs="Arial" w:eastAsia="Arial" w:hAnsi="Arial"/>
          <w:sz w:val="19"/>
          <w:szCs w:val="19"/>
          <w:color w:val="auto"/>
        </w:rPr>
      </w:pPr>
    </w:p>
    <w:p>
      <w:pPr>
        <w:jc w:val="both"/>
        <w:ind w:firstLine="635"/>
        <w:spacing w:after="0" w:line="252" w:lineRule="auto"/>
        <w:tabs>
          <w:tab w:leader="none" w:pos="104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Administrative Agent shall have received written opinions (addressed to the Administrative Agent and the Lenders and dated the Closing Date) of Paul, Weiss, Rifkind, Wharton &amp; Garrison LLP, New York counsel for the Loan Parties, and Cleary, Gottlieb, Steen &amp; Hamilton LLP, special counsel for the Loan Parties, as to such matters as the Administrative Agent may reasonably request and in form and substance reasonably satisfactory to the Administrative Agent and the Lead Arrangers. Each of Holdings and the Borrower hereby requests such counsels to deliver such opinions.</w:t>
      </w:r>
    </w:p>
    <w:p>
      <w:pPr>
        <w:spacing w:after="0" w:line="178" w:lineRule="exact"/>
        <w:rPr>
          <w:rFonts w:ascii="Arial" w:cs="Arial" w:eastAsia="Arial" w:hAnsi="Arial"/>
          <w:sz w:val="19"/>
          <w:szCs w:val="19"/>
          <w:color w:val="auto"/>
        </w:rPr>
      </w:pPr>
    </w:p>
    <w:p>
      <w:pPr>
        <w:jc w:val="both"/>
        <w:ind w:firstLine="635"/>
        <w:spacing w:after="0" w:line="259" w:lineRule="auto"/>
        <w:tabs>
          <w:tab w:leader="none" w:pos="107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of each Loan Party, dated the Closing Date, substantially in the form of Exhibit G with appropriate insertions, executed by any Responsible Officer of such Loan Party, and including or attaching the documents referred to in paragraph (d) of this Section.</w:t>
      </w:r>
    </w:p>
    <w:p>
      <w:pPr>
        <w:spacing w:after="0" w:line="171" w:lineRule="exact"/>
        <w:rPr>
          <w:rFonts w:ascii="Arial" w:cs="Arial" w:eastAsia="Arial" w:hAnsi="Arial"/>
          <w:sz w:val="19"/>
          <w:szCs w:val="19"/>
          <w:color w:val="auto"/>
        </w:rPr>
      </w:pPr>
    </w:p>
    <w:p>
      <w:pPr>
        <w:jc w:val="both"/>
        <w:ind w:firstLine="635"/>
        <w:spacing w:after="0" w:line="335" w:lineRule="auto"/>
        <w:tabs>
          <w:tab w:leader="none" w:pos="10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w:t>
      </w:r>
    </w:p>
    <w:p>
      <w:pPr>
        <w:sectPr>
          <w:pgSz w:w="11900" w:h="16985" w:orient="portrait"/>
          <w:cols w:equalWidth="0" w:num="1">
            <w:col w:w="11420"/>
          </w:cols>
          <w:pgMar w:left="240" w:top="121" w:right="239" w:bottom="0" w:gutter="0" w:footer="0" w:header="0"/>
        </w:sectPr>
      </w:pPr>
    </w:p>
    <w:bookmarkStart w:id="142" w:name="page143"/>
    <w:bookmarkEnd w:id="142"/>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80" w:lineRule="exact"/>
        <w:rPr>
          <w:sz w:val="20"/>
          <w:szCs w:val="20"/>
          <w:color w:val="auto"/>
        </w:rPr>
      </w:pPr>
    </w:p>
    <w:p>
      <w:pPr>
        <w:jc w:val="both"/>
        <w:ind w:firstLine="635"/>
        <w:spacing w:after="0" w:line="273" w:lineRule="auto"/>
        <w:tabs>
          <w:tab w:leader="none" w:pos="104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previously agreed in writing by the Lead Arrangers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w:t>
      </w:r>
    </w:p>
    <w:p>
      <w:pPr>
        <w:spacing w:after="0" w:line="160" w:lineRule="exact"/>
        <w:rPr>
          <w:rFonts w:ascii="Arial" w:cs="Arial" w:eastAsia="Arial" w:hAnsi="Arial"/>
          <w:sz w:val="18"/>
          <w:szCs w:val="18"/>
          <w:color w:val="auto"/>
        </w:rPr>
      </w:pPr>
    </w:p>
    <w:p>
      <w:pPr>
        <w:ind w:firstLine="635"/>
        <w:spacing w:after="0" w:line="274" w:lineRule="auto"/>
        <w:tabs>
          <w:tab w:leader="none" w:pos="99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from the chief financial officer or chief operating officer of the Borrower in the form of Exhibit Q certifying as to the satisfaction of the conditions set forth in clauses (i), (j) and (k) of this Section 4.01.</w:t>
      </w:r>
    </w:p>
    <w:p>
      <w:pPr>
        <w:spacing w:after="0" w:line="157" w:lineRule="exact"/>
        <w:rPr>
          <w:rFonts w:ascii="Arial" w:cs="Arial" w:eastAsia="Arial" w:hAnsi="Arial"/>
          <w:sz w:val="19"/>
          <w:szCs w:val="19"/>
          <w:color w:val="auto"/>
        </w:rPr>
      </w:pPr>
    </w:p>
    <w:p>
      <w:pPr>
        <w:jc w:val="both"/>
        <w:ind w:firstLine="635"/>
        <w:spacing w:after="0" w:line="250" w:lineRule="auto"/>
        <w:tabs>
          <w:tab w:leader="none" w:pos="105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and the Lead Arrangers shall have received, at least three (3) Business Days prior to the Closing Date, all documentation and other information about the Loan Parties (including a Beneficial Ownership Certification by the Borrower required under the Beneficial Ownership Regulation) as shall have been reasonably requested in writing at least 10 Business Days prior to the Closing Date by the Administrative Agent or the Lead Arrangers that they shall have reasonably determined is required by regulatory authorities under applicable “know your customer” and anti-money laundering rules and regulations, including without limitation the USA Patriot Act and the Beneficial Ownership Regulation.</w:t>
      </w:r>
    </w:p>
    <w:p>
      <w:pPr>
        <w:spacing w:after="0" w:line="183" w:lineRule="exact"/>
        <w:rPr>
          <w:rFonts w:ascii="Arial" w:cs="Arial" w:eastAsia="Arial" w:hAnsi="Arial"/>
          <w:sz w:val="19"/>
          <w:szCs w:val="19"/>
          <w:color w:val="auto"/>
        </w:rPr>
      </w:pPr>
    </w:p>
    <w:p>
      <w:pPr>
        <w:ind w:left="1040" w:hanging="405"/>
        <w:spacing w:after="0"/>
        <w:tabs>
          <w:tab w:leader="none" w:pos="10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requesting the borrowing of the Initial Term Loans.</w:t>
      </w:r>
    </w:p>
    <w:p>
      <w:pPr>
        <w:spacing w:after="0" w:line="214" w:lineRule="exact"/>
        <w:rPr>
          <w:rFonts w:ascii="Arial" w:cs="Arial" w:eastAsia="Arial" w:hAnsi="Arial"/>
          <w:sz w:val="19"/>
          <w:szCs w:val="19"/>
          <w:color w:val="auto"/>
        </w:rPr>
      </w:pPr>
    </w:p>
    <w:p>
      <w:pPr>
        <w:jc w:val="both"/>
        <w:ind w:firstLine="635"/>
        <w:spacing w:after="0" w:line="254" w:lineRule="auto"/>
        <w:tabs>
          <w:tab w:leader="none" w:pos="98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Acquisition shall have been or shall concurrently be consummated in accordance with the terms of the Merger Agreement without giving effect to any amendment, change or supplement or waiver of any provision thereof (including any change in the purchase price) in any manner that is materially adverse to the interests of the Lenders (in their capacities as such) without the prior written consent (not to be unreasonably withheld or delayed) of the Lead Arrangers.</w:t>
      </w:r>
    </w:p>
    <w:p>
      <w:pPr>
        <w:spacing w:after="0" w:line="177" w:lineRule="exact"/>
        <w:rPr>
          <w:rFonts w:ascii="Arial" w:cs="Arial" w:eastAsia="Arial" w:hAnsi="Arial"/>
          <w:sz w:val="19"/>
          <w:szCs w:val="19"/>
          <w:color w:val="auto"/>
        </w:rPr>
      </w:pPr>
    </w:p>
    <w:p>
      <w:pPr>
        <w:ind w:firstLine="635"/>
        <w:spacing w:after="0" w:line="274" w:lineRule="auto"/>
        <w:tabs>
          <w:tab w:leader="none" w:pos="98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Acquisition Agreement Representations shall be true and correct in all respects and the Specified Representations shall be true and correct in all material respects as of the Closing Date.</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02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ITG Refinancing shall have been consummated or shall substantially concurrently be consummated with the initial funding of the Facilities. The Existing Credit Agreement Refinancing shall have been consummated or shall substantially concurrently be consummated with the initial funding of the Facilities.</w:t>
      </w:r>
    </w:p>
    <w:p>
      <w:pPr>
        <w:spacing w:after="0" w:line="171" w:lineRule="exact"/>
        <w:rPr>
          <w:rFonts w:ascii="Arial" w:cs="Arial" w:eastAsia="Arial" w:hAnsi="Arial"/>
          <w:sz w:val="19"/>
          <w:szCs w:val="19"/>
          <w:color w:val="auto"/>
        </w:rPr>
      </w:pPr>
    </w:p>
    <w:p>
      <w:pPr>
        <w:jc w:val="both"/>
        <w:ind w:firstLine="635"/>
        <w:spacing w:after="0" w:line="261" w:lineRule="auto"/>
        <w:tabs>
          <w:tab w:leader="none" w:pos="99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Collateral and Guarantee Requirement shall have been satisfied and the Administrative Agent shall have received (x) a completed Perfection Certificate dated the Closing Date and signed by a Responsible Officer of the Borrower, together with all attachments contemplated thereby and (y) UCC, tax and judgment lien searches in respect of the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notwithstanding the use by Holdings and the Borrower of commercially reasonable efforts to cause the Collateral and Guarantee Requirement to be satisfied on the Closing Date, the requirements thereof (other than, subject to the next succeeding proviso, (a) the execution and delivery of the Guarantee Agreement (or with respect to ITG and its subsidiaries, a joinder thereto), the Collateral Agreement (or with respect to ITG and its subsidiaries, a joinder thereto) and the Junior Lien Intercreditor Joinder by the Loan Parties, (b) creation of and perfection of security interests in the Equity Interests of (i) Domestic Subsidiaries of Holdings and (ii) the Borrower, (c) the delivery of certificates evidencing equity interests of the Borrower and its wholly-owned, material domestic Subsidiaries (in each case, to the extent certificated) evidencing the Equity Interests required to be pledged pursuant to the Collateral and Guarantee Requirement with respect to which a Lien may be perfected by the delivery of a stock or equivalent certificate, but, with respect to Subsidiaries of ITG, only to the extent received after use of commercially reasonably efforts to do so), (d) the execution and delivery of “short form” intellectual property security agreements with respect to the Intellectual Property of the Loan Parties that is to be perfected by filing such agreements with the United States Patent and Trademark Office or the United States Copyright Office, (e) delivery of Uniform Commercial Code financing statements with respect to perfection of security interests in other assets of the Loan Parties that may be perfected by the filing of a financing statement under the Uniform Commercial Code and (f) the designation of this Agreement as a “Credit Agreement” under the Junior Lien Intercreditor Agreement in accordance with the Junior Lien Intercreditor Agreement) are not satisfied as of the Closing Date after use of commercially reasonable efforts to do so without undue burden or expense, the satisfaction of such requirements shall not be a condition to the availability of the Loans on the Closing Date.</w:t>
      </w:r>
    </w:p>
    <w:p>
      <w:pPr>
        <w:spacing w:after="0" w:line="174" w:lineRule="exact"/>
        <w:rPr>
          <w:rFonts w:ascii="Arial" w:cs="Arial" w:eastAsia="Arial" w:hAnsi="Arial"/>
          <w:sz w:val="18"/>
          <w:szCs w:val="18"/>
          <w:color w:val="auto"/>
        </w:rPr>
      </w:pPr>
    </w:p>
    <w:p>
      <w:pPr>
        <w:jc w:val="both"/>
        <w:ind w:firstLine="635"/>
        <w:spacing w:after="0" w:line="262" w:lineRule="auto"/>
        <w:tabs>
          <w:tab w:leader="none" w:pos="11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Administrative Agent and the Lead Arrangers shall have received (i) (A) the audited consolidated balance sheets and related consolidated statements of operations cash flows and shareholders’ equity of Holdings for the two most recently completed fiscal years of Holdings and (B) the audited consolidated statements of financial condition and related statements of operations, (loss) income, changes in stockholders’ equity and cash flows of ITG for the two most recently completed fiscal years of ITG, in each case, ended at least 90 days before the Closing Date, accompanied by a report thereon by their respective independent registered public accountants; (ii) the unaudited consolidated balance sheets and related statements of operations and cash flows of Holdings and the unaudited condensed consolidated statements of financial condition and related statements of operations and cash flows of ITG (to the extent required to be delivered under the Merger Agreement) for each subsequent fiscal quarter (other than the fourth fiscal quarter of any fiscal year) of Holdings and ITG, respectively, ended at least 45 days before the Closing Date (the “</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and (iii) a pro forma balance sheet and related statement of operations of Holdings and its subsidiaries (including ITG and its subsidiaries) as of and for the twelve-month period ending with the latest quarterly period of Holdings covered by the Quarterly Financial Statements, in each case after giving effect to the Transactions (the “</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all of which financial statements shall be prepared in accordance with GAAP.</w:t>
      </w:r>
    </w:p>
    <w:p>
      <w:pPr>
        <w:spacing w:after="0" w:line="175" w:lineRule="exact"/>
        <w:rPr>
          <w:rFonts w:ascii="Arial" w:cs="Arial" w:eastAsia="Arial" w:hAnsi="Arial"/>
          <w:sz w:val="18"/>
          <w:szCs w:val="18"/>
          <w:color w:val="auto"/>
        </w:rPr>
      </w:pPr>
    </w:p>
    <w:p>
      <w:pPr>
        <w:ind w:firstLine="635"/>
        <w:spacing w:after="0" w:line="274" w:lineRule="auto"/>
        <w:tabs>
          <w:tab w:leader="none" w:pos="106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a Solvency Certificate from the Borrower’s chief financial officer in substantially the form attached as Exhibit Q hereto.</w:t>
      </w:r>
    </w:p>
    <w:p>
      <w:pPr>
        <w:spacing w:after="0" w:line="157" w:lineRule="exact"/>
        <w:rPr>
          <w:rFonts w:ascii="Arial" w:cs="Arial" w:eastAsia="Arial" w:hAnsi="Arial"/>
          <w:sz w:val="19"/>
          <w:szCs w:val="19"/>
          <w:color w:val="auto"/>
        </w:rPr>
      </w:pPr>
    </w:p>
    <w:p>
      <w:pPr>
        <w:ind w:firstLine="635"/>
        <w:spacing w:after="0" w:line="274" w:lineRule="auto"/>
        <w:tabs>
          <w:tab w:leader="none" w:pos="123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reasonably satisfactory to the Administrative Agent that the Asset Contributions shall occur substantially concurrently on the Closing Date.</w:t>
      </w:r>
    </w:p>
    <w:p>
      <w:pPr>
        <w:spacing w:after="0" w:line="157" w:lineRule="exact"/>
        <w:rPr>
          <w:sz w:val="20"/>
          <w:szCs w:val="20"/>
          <w:color w:val="auto"/>
        </w:rPr>
      </w:pPr>
    </w:p>
    <w:p>
      <w:pPr>
        <w:ind w:firstLine="630"/>
        <w:spacing w:after="0" w:line="335" w:lineRule="auto"/>
        <w:rPr>
          <w:sz w:val="20"/>
          <w:szCs w:val="20"/>
          <w:color w:val="auto"/>
        </w:rPr>
      </w:pPr>
      <w:r>
        <w:rPr>
          <w:rFonts w:ascii="Arial" w:cs="Arial" w:eastAsia="Arial" w:hAnsi="Arial"/>
          <w:sz w:val="17"/>
          <w:szCs w:val="17"/>
          <w:color w:val="auto"/>
        </w:rPr>
        <w:t>Notwithstanding anything in the foregoing to the contrary, it is acknowledged and agreed the joinders and other instruments and certificates delivered by or in respect of ITG and its subsidiaries under this Section 4.01 shall not be deemed to be delivered and/or effective until the</w:t>
      </w:r>
    </w:p>
    <w:p>
      <w:pPr>
        <w:sectPr>
          <w:pgSz w:w="11900" w:h="16998" w:orient="portrait"/>
          <w:cols w:equalWidth="0" w:num="1">
            <w:col w:w="11420"/>
          </w:cols>
          <w:pgMar w:left="240" w:top="121" w:right="239" w:bottom="0" w:gutter="0" w:footer="0" w:header="0"/>
        </w:sectPr>
      </w:pPr>
    </w:p>
    <w:bookmarkStart w:id="143" w:name="page144"/>
    <w:bookmarkEnd w:id="143"/>
    <w:p>
      <w:pPr>
        <w:jc w:val="both"/>
        <w:spacing w:after="0" w:line="275" w:lineRule="auto"/>
        <w:rPr>
          <w:sz w:val="20"/>
          <w:szCs w:val="20"/>
          <w:color w:val="auto"/>
        </w:rPr>
      </w:pPr>
      <w:r>
        <w:rPr>
          <w:rFonts w:ascii="Arial" w:cs="Arial" w:eastAsia="Arial" w:hAnsi="Arial"/>
          <w:sz w:val="19"/>
          <w:szCs w:val="19"/>
          <w:color w:val="auto"/>
        </w:rPr>
        <w:t>Acquisition and the Asset Contributions have been consummated. The Administrative Agent shall notify Holdings, the Borrower and the Lenders of the Closing Date, and such notice shall be conclusive and binding.</w:t>
      </w:r>
    </w:p>
    <w:p>
      <w:pPr>
        <w:spacing w:after="0" w:line="157"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Each Credit Event.</w:t>
      </w:r>
      <w:r>
        <w:rPr>
          <w:rFonts w:ascii="Arial" w:cs="Arial" w:eastAsia="Arial" w:hAnsi="Arial"/>
          <w:sz w:val="19"/>
          <w:szCs w:val="19"/>
          <w:color w:val="auto"/>
        </w:rPr>
        <w:t xml:space="preserve"> The obligation of each Lender to make a Loan on the occasion of any Borrowing (excluding any Borrowing on the Closing Date), and of each Issuing Bank to issue, amend, renew or extend any Letter of Credit, is subject to receipt of the request therefor in accordance herewith and to the satisfaction of the following conditions:</w:t>
      </w:r>
    </w:p>
    <w:p>
      <w:pPr>
        <w:spacing w:after="0" w:line="172" w:lineRule="exact"/>
        <w:rPr>
          <w:sz w:val="20"/>
          <w:szCs w:val="20"/>
          <w:color w:val="auto"/>
        </w:rPr>
      </w:pPr>
    </w:p>
    <w:p>
      <w:pPr>
        <w:jc w:val="both"/>
        <w:ind w:firstLine="635"/>
        <w:spacing w:after="0" w:line="249" w:lineRule="auto"/>
        <w:tabs>
          <w:tab w:leader="none" w:pos="112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however</w:t>
      </w:r>
      <w:r>
        <w:rPr>
          <w:rFonts w:ascii="Arial" w:cs="Arial" w:eastAsia="Arial" w:hAnsi="Arial"/>
          <w:sz w:val="19"/>
          <w:szCs w:val="19"/>
          <w:color w:val="auto"/>
        </w:rPr>
        <w:t>, that in the case of any Borrowing under an Incremental Facility, the proceeds of which are to be used to fund a Limited Condition Acquisition, if agreed to by the lenders providing such Incremental Facility, such representations may be limited to the Specified Representations.</w:t>
      </w:r>
    </w:p>
    <w:p>
      <w:pPr>
        <w:spacing w:after="0" w:line="181" w:lineRule="exact"/>
        <w:rPr>
          <w:rFonts w:ascii="Arial" w:cs="Arial" w:eastAsia="Arial" w:hAnsi="Arial"/>
          <w:sz w:val="19"/>
          <w:szCs w:val="19"/>
          <w:color w:val="auto"/>
        </w:rPr>
      </w:pPr>
    </w:p>
    <w:p>
      <w:pPr>
        <w:jc w:val="both"/>
        <w:ind w:firstLine="635"/>
        <w:spacing w:after="0" w:line="273" w:lineRule="auto"/>
        <w:tabs>
          <w:tab w:leader="none" w:pos="10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 Incremental Facility, the proceeds of which are to be used to fund a Limited Condition Acquisition, if agreed to by the lenders providing such Incremental Facility, no Event of Default under Section 7.01(a), (b), (h) or (i) shall have occurred and be continuing).</w:t>
      </w:r>
    </w:p>
    <w:p>
      <w:pPr>
        <w:spacing w:after="0" w:line="160" w:lineRule="exact"/>
        <w:rPr>
          <w:rFonts w:ascii="Arial" w:cs="Arial" w:eastAsia="Arial" w:hAnsi="Arial"/>
          <w:sz w:val="18"/>
          <w:szCs w:val="18"/>
          <w:color w:val="auto"/>
        </w:rPr>
      </w:pPr>
    </w:p>
    <w:p>
      <w:pPr>
        <w:ind w:left="1020" w:hanging="385"/>
        <w:spacing w:after="0"/>
        <w:tabs>
          <w:tab w:leader="none" w:pos="10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Administrative Agent shall have received a duly completed Borrowing Request or Letter of Credit Application, as applicable.</w:t>
      </w:r>
    </w:p>
    <w:p>
      <w:pPr>
        <w:spacing w:after="0" w:line="226"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Each Borrowing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and (b) of this Section.</w:t>
      </w: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5</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AFFIRMATIVE COVENANTS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Holdings and the Borrower covenants and agrees with the Administrative Agent and each of the Lenders that, until the Termination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199"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Financial Statements and Other Information.</w:t>
      </w:r>
      <w:r>
        <w:rPr>
          <w:rFonts w:ascii="Arial" w:cs="Arial" w:eastAsia="Arial" w:hAnsi="Arial"/>
          <w:sz w:val="19"/>
          <w:szCs w:val="19"/>
          <w:color w:val="auto"/>
        </w:rPr>
        <w:t xml:space="preserve"> Holdings or the Borrower will furnish to the Administrative Agent, which will furnish to each Lender:</w:t>
      </w:r>
    </w:p>
    <w:p>
      <w:pPr>
        <w:spacing w:after="0" w:line="157" w:lineRule="exact"/>
        <w:rPr>
          <w:sz w:val="20"/>
          <w:szCs w:val="20"/>
          <w:color w:val="auto"/>
        </w:rPr>
      </w:pPr>
    </w:p>
    <w:p>
      <w:pPr>
        <w:jc w:val="both"/>
        <w:ind w:firstLine="635"/>
        <w:spacing w:after="0" w:line="278" w:lineRule="auto"/>
        <w:tabs>
          <w:tab w:leader="none" w:pos="109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2018),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spacing w:after="0" w:line="163" w:lineRule="exact"/>
        <w:rPr>
          <w:rFonts w:ascii="Arial" w:cs="Arial" w:eastAsia="Arial" w:hAnsi="Arial"/>
          <w:sz w:val="17"/>
          <w:szCs w:val="17"/>
          <w:color w:val="auto"/>
        </w:rPr>
      </w:pPr>
    </w:p>
    <w:p>
      <w:pPr>
        <w:jc w:val="both"/>
        <w:ind w:firstLine="635"/>
        <w:spacing w:after="0" w:line="262" w:lineRule="auto"/>
        <w:tabs>
          <w:tab w:leader="none" w:pos="10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commencing with the financial statements for the fiscal quarter ending March 31, 2019, on or before the date on which such financial statements are required or permitted to be filed with the SEC with respect to each of the first three fiscal quarters of each 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75" w:lineRule="exact"/>
        <w:rPr>
          <w:rFonts w:ascii="Arial" w:cs="Arial" w:eastAsia="Arial" w:hAnsi="Arial"/>
          <w:sz w:val="18"/>
          <w:szCs w:val="18"/>
          <w:color w:val="auto"/>
        </w:rPr>
      </w:pPr>
    </w:p>
    <w:p>
      <w:pPr>
        <w:jc w:val="both"/>
        <w:ind w:firstLine="635"/>
        <w:spacing w:after="0" w:line="259" w:lineRule="auto"/>
        <w:tabs>
          <w:tab w:leader="none" w:pos="105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w:t>
      </w:r>
    </w:p>
    <w:p>
      <w:pPr>
        <w:spacing w:after="0" w:line="171" w:lineRule="exact"/>
        <w:rPr>
          <w:rFonts w:ascii="Arial" w:cs="Arial" w:eastAsia="Arial" w:hAnsi="Arial"/>
          <w:sz w:val="19"/>
          <w:szCs w:val="19"/>
          <w:color w:val="auto"/>
        </w:rPr>
      </w:pPr>
    </w:p>
    <w:p>
      <w:pPr>
        <w:jc w:val="both"/>
        <w:ind w:firstLine="635"/>
        <w:spacing w:after="0" w:line="286" w:lineRule="auto"/>
        <w:tabs>
          <w:tab w:leader="none" w:pos="10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if the Financial Performance Covenant is in effect with respect to the last day of the applicable fiscal period, demonstrating compliance with the Financial Performance Covenant and (B) beginning with the financial statements for the fiscal quarter ended December 31, 2019, of Excess Cash Flow for the fiscal quarter ended December 31, 2019 and, in the case of financial</w:t>
      </w:r>
    </w:p>
    <w:p>
      <w:pPr>
        <w:sectPr>
          <w:pgSz w:w="11900" w:h="16838" w:orient="portrait"/>
          <w:cols w:equalWidth="0" w:num="1">
            <w:col w:w="11420"/>
          </w:cols>
          <w:pgMar w:left="240" w:top="121" w:right="239" w:bottom="0" w:gutter="0" w:footer="0" w:header="0"/>
        </w:sectPr>
      </w:pPr>
    </w:p>
    <w:bookmarkStart w:id="144" w:name="page145"/>
    <w:bookmarkEnd w:id="144"/>
    <w:p>
      <w:pPr>
        <w:jc w:val="both"/>
        <w:spacing w:after="0" w:line="289" w:lineRule="auto"/>
        <w:rPr>
          <w:sz w:val="20"/>
          <w:szCs w:val="20"/>
          <w:color w:val="auto"/>
        </w:rPr>
      </w:pPr>
      <w:r>
        <w:rPr>
          <w:rFonts w:ascii="Arial" w:cs="Arial" w:eastAsia="Arial" w:hAnsi="Arial"/>
          <w:sz w:val="17"/>
          <w:szCs w:val="17"/>
          <w:color w:val="auto"/>
        </w:rPr>
        <w:t>statements delivered with respect to any subsequent fiscal quarter, of Excess Cash Flow for such fiscal quarter (or in the case of financial statements delivered under paragraph (a) above, for the fourth fiscal quarter of such fiscal year)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50" w:lineRule="exact"/>
        <w:rPr>
          <w:sz w:val="20"/>
          <w:szCs w:val="20"/>
          <w:color w:val="auto"/>
        </w:rPr>
      </w:pPr>
    </w:p>
    <w:p>
      <w:pPr>
        <w:ind w:left="1020" w:hanging="385"/>
        <w:spacing w:after="0"/>
        <w:tabs>
          <w:tab w:leader="none" w:pos="10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4" w:lineRule="exact"/>
        <w:rPr>
          <w:rFonts w:ascii="Arial" w:cs="Arial" w:eastAsia="Arial" w:hAnsi="Arial"/>
          <w:sz w:val="19"/>
          <w:szCs w:val="19"/>
          <w:color w:val="auto"/>
        </w:rPr>
      </w:pPr>
    </w:p>
    <w:p>
      <w:pPr>
        <w:jc w:val="both"/>
        <w:ind w:firstLine="635"/>
        <w:spacing w:after="0" w:line="254" w:lineRule="auto"/>
        <w:tabs>
          <w:tab w:leader="none" w:pos="99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p>
      <w:pPr>
        <w:spacing w:after="0" w:line="177" w:lineRule="exact"/>
        <w:rPr>
          <w:rFonts w:ascii="Arial" w:cs="Arial" w:eastAsia="Arial" w:hAnsi="Arial"/>
          <w:sz w:val="19"/>
          <w:szCs w:val="19"/>
          <w:color w:val="auto"/>
        </w:rPr>
      </w:pPr>
    </w:p>
    <w:p>
      <w:pPr>
        <w:jc w:val="both"/>
        <w:ind w:firstLine="635"/>
        <w:spacing w:after="0" w:line="289" w:lineRule="auto"/>
        <w:tabs>
          <w:tab w:leader="none" w:pos="104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148" w:lineRule="exact"/>
        <w:rPr>
          <w:rFonts w:ascii="Arial" w:cs="Arial" w:eastAsia="Arial" w:hAnsi="Arial"/>
          <w:sz w:val="17"/>
          <w:szCs w:val="17"/>
          <w:color w:val="auto"/>
        </w:rPr>
      </w:pPr>
    </w:p>
    <w:p>
      <w:pPr>
        <w:ind w:firstLine="635"/>
        <w:spacing w:after="0" w:line="274" w:lineRule="auto"/>
        <w:tabs>
          <w:tab w:leader="none" w:pos="114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03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promptly after the request by the Administrative Agent on behalf of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 and</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03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w:t>
      </w:r>
    </w:p>
    <w:p>
      <w:pPr>
        <w:spacing w:after="0" w:line="172"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spacing w:after="0" w:line="176"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69"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The Borrower hereby acknowledges that (a) the Administrative Agent and/or the Lead Arrangers will make available to the Lenders materials and/or information provided by or on behalf of the Borrower hereunder (collectively, “</w:t>
      </w:r>
      <w:r>
        <w:rPr>
          <w:rFonts w:ascii="Arial" w:cs="Arial" w:eastAsia="Arial" w:hAnsi="Arial"/>
          <w:sz w:val="18"/>
          <w:szCs w:val="18"/>
          <w:b w:val="1"/>
          <w:bCs w:val="1"/>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b w:val="1"/>
          <w:bCs w:val="1"/>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b w:val="1"/>
          <w:bCs w:val="1"/>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ectPr>
          <w:pgSz w:w="11900" w:h="16838" w:orient="portrait"/>
          <w:cols w:equalWidth="0" w:num="1">
            <w:col w:w="11420"/>
          </w:cols>
          <w:pgMar w:left="240" w:top="121" w:right="239" w:bottom="0" w:gutter="0" w:footer="0" w:header="0"/>
        </w:sectPr>
      </w:pPr>
    </w:p>
    <w:bookmarkStart w:id="145" w:name="page146"/>
    <w:bookmarkEnd w:id="145"/>
    <w:p>
      <w:pPr>
        <w:spacing w:after="0" w:line="109"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Sections 5.01(a) and (b)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spacing w:after="0" w:line="169"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i w:val="1"/>
          <w:iCs w:val="1"/>
          <w:color w:val="auto"/>
        </w:rPr>
        <w:t>Notices of Material Events.</w:t>
      </w:r>
      <w:r>
        <w:rPr>
          <w:rFonts w:ascii="Arial" w:cs="Arial" w:eastAsia="Arial" w:hAnsi="Arial"/>
          <w:sz w:val="19"/>
          <w:szCs w:val="19"/>
          <w:color w:val="auto"/>
        </w:rPr>
        <w:t xml:space="preserve"> 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spacing w:after="0" w:line="172" w:lineRule="exact"/>
        <w:rPr>
          <w:sz w:val="20"/>
          <w:szCs w:val="20"/>
          <w:color w:val="auto"/>
        </w:rPr>
      </w:pPr>
    </w:p>
    <w:p>
      <w:pPr>
        <w:ind w:left="1020" w:hanging="385"/>
        <w:spacing w:after="0"/>
        <w:tabs>
          <w:tab w:leader="none" w:pos="10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occurrence of any Default;</w:t>
      </w:r>
    </w:p>
    <w:p>
      <w:pPr>
        <w:spacing w:after="0" w:line="214" w:lineRule="exact"/>
        <w:rPr>
          <w:rFonts w:ascii="Arial" w:cs="Arial" w:eastAsia="Arial" w:hAnsi="Arial"/>
          <w:sz w:val="19"/>
          <w:szCs w:val="19"/>
          <w:color w:val="auto"/>
        </w:rPr>
      </w:pPr>
    </w:p>
    <w:p>
      <w:pPr>
        <w:jc w:val="both"/>
        <w:ind w:firstLine="635"/>
        <w:spacing w:after="0" w:line="273"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Governmental Authority or Regulatory Supervising Organization against or, to the knowledge of a Financial Officer, a Responsible Officer or another executive officer of Holdings, any Intermediate Parent, the Borrower or any Subsidiary, affecting Holdings, any Intermediate Parent, the Borrower or any Subsidiary or the receipt of a notice of an Environmental Liability, in each case, that could reasonably be expected to result in a Material Adverse Effect;</w:t>
      </w:r>
    </w:p>
    <w:p>
      <w:pPr>
        <w:spacing w:after="0" w:line="160" w:lineRule="exact"/>
        <w:rPr>
          <w:rFonts w:ascii="Arial" w:cs="Arial" w:eastAsia="Arial" w:hAnsi="Arial"/>
          <w:sz w:val="18"/>
          <w:szCs w:val="18"/>
          <w:color w:val="auto"/>
        </w:rPr>
      </w:pPr>
    </w:p>
    <w:p>
      <w:pPr>
        <w:ind w:firstLine="635"/>
        <w:spacing w:after="0" w:line="274" w:lineRule="auto"/>
        <w:tabs>
          <w:tab w:leader="none" w:pos="101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commencement of any investigation by any Governmental Authority of or affecting Holdings, the Borrower or any Subsidiary that could reasonably be expected to result in a Material Adverse Effect;</w:t>
      </w:r>
    </w:p>
    <w:p>
      <w:pPr>
        <w:spacing w:after="0" w:line="157" w:lineRule="exact"/>
        <w:rPr>
          <w:rFonts w:ascii="Arial" w:cs="Arial" w:eastAsia="Arial" w:hAnsi="Arial"/>
          <w:sz w:val="19"/>
          <w:szCs w:val="19"/>
          <w:color w:val="auto"/>
        </w:rPr>
      </w:pPr>
    </w:p>
    <w:p>
      <w:pPr>
        <w:ind w:left="1040" w:hanging="405"/>
        <w:spacing w:after="0"/>
        <w:tabs>
          <w:tab w:leader="none" w:pos="10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occurrence of any ERISA Event that could reasonably be expected, individually or in the aggregate, to result in a Material Adverse</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Effect;</w:t>
      </w:r>
    </w:p>
    <w:p>
      <w:pPr>
        <w:spacing w:after="0" w:line="198" w:lineRule="exact"/>
        <w:rPr>
          <w:rFonts w:ascii="Arial" w:cs="Arial" w:eastAsia="Arial" w:hAnsi="Arial"/>
          <w:sz w:val="17"/>
          <w:szCs w:val="17"/>
          <w:color w:val="auto"/>
        </w:rPr>
      </w:pPr>
    </w:p>
    <w:p>
      <w:pPr>
        <w:jc w:val="both"/>
        <w:ind w:firstLine="635"/>
        <w:spacing w:after="0" w:line="259" w:lineRule="auto"/>
        <w:tabs>
          <w:tab w:leader="none" w:pos="109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03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the Borrower has previously provided a Beneficial Ownership Certification to any Lender in connection with this Agreement, any change in the information provided in such Beneficial Ownership Certification that would result in a change to the list of beneficial owners identified in such certification.</w:t>
      </w:r>
    </w:p>
    <w:p>
      <w:pPr>
        <w:spacing w:after="0" w:line="17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34"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5.03.</w:t>
      </w:r>
      <w:r>
        <w:rPr>
          <w:sz w:val="20"/>
          <w:szCs w:val="20"/>
          <w:color w:val="auto"/>
        </w:rPr>
        <w:tab/>
      </w:r>
      <w:r>
        <w:rPr>
          <w:rFonts w:ascii="Arial" w:cs="Arial" w:eastAsia="Arial" w:hAnsi="Arial"/>
          <w:sz w:val="18"/>
          <w:szCs w:val="18"/>
          <w:i w:val="1"/>
          <w:iCs w:val="1"/>
          <w:color w:val="auto"/>
        </w:rPr>
        <w:t>Information Regarding Collateral</w:t>
      </w:r>
      <w:r>
        <w:rPr>
          <w:rFonts w:ascii="Arial" w:cs="Arial" w:eastAsia="Arial" w:hAnsi="Arial"/>
          <w:sz w:val="18"/>
          <w:szCs w:val="18"/>
          <w:color w:val="auto"/>
        </w:rPr>
        <w:t>.</w:t>
      </w:r>
    </w:p>
    <w:p>
      <w:pPr>
        <w:spacing w:after="0" w:line="215" w:lineRule="exact"/>
        <w:rPr>
          <w:sz w:val="20"/>
          <w:szCs w:val="20"/>
          <w:color w:val="auto"/>
        </w:rPr>
      </w:pPr>
    </w:p>
    <w:p>
      <w:pPr>
        <w:jc w:val="both"/>
        <w:ind w:firstLine="635"/>
        <w:spacing w:after="0" w:line="254" w:lineRule="auto"/>
        <w:tabs>
          <w:tab w:leader="none" w:pos="10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spacing w:after="0" w:line="177" w:lineRule="exact"/>
        <w:rPr>
          <w:rFonts w:ascii="Arial" w:cs="Arial" w:eastAsia="Arial" w:hAnsi="Arial"/>
          <w:sz w:val="19"/>
          <w:szCs w:val="19"/>
          <w:color w:val="auto"/>
        </w:rPr>
      </w:pPr>
    </w:p>
    <w:p>
      <w:pPr>
        <w:jc w:val="both"/>
        <w:ind w:firstLine="635"/>
        <w:spacing w:after="0" w:line="266" w:lineRule="auto"/>
        <w:tabs>
          <w:tab w:leader="none" w:pos="10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of the Perfection Certificate or confirming that there has been no change in such information since the date of the Perfection Certificate delivered as of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this Section 5.03 have been given.</w:t>
      </w:r>
    </w:p>
    <w:p>
      <w:pPr>
        <w:spacing w:after="0" w:line="166"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i w:val="1"/>
          <w:iCs w:val="1"/>
          <w:color w:val="auto"/>
        </w:rPr>
        <w:t>Existence; Conduct of Business.</w:t>
      </w:r>
      <w:r>
        <w:rPr>
          <w:rFonts w:ascii="Arial" w:cs="Arial" w:eastAsia="Arial" w:hAnsi="Arial"/>
          <w:sz w:val="19"/>
          <w:szCs w:val="19"/>
          <w:color w:val="auto"/>
        </w:rPr>
        <w:t xml:space="preserve"> 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patents, copyrights, trademarks, trade names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merger, consolidation, liquidation or dissolution permitted under Section 6.03 or any Disposition permitted by Section 6.05.</w:t>
      </w:r>
    </w:p>
    <w:p>
      <w:pPr>
        <w:spacing w:after="0" w:line="179"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i w:val="1"/>
          <w:iCs w:val="1"/>
          <w:color w:val="auto"/>
        </w:rPr>
        <w:t>Payment of Taxes, Etc</w:t>
      </w:r>
      <w:r>
        <w:rPr>
          <w:rFonts w:ascii="Arial" w:cs="Arial" w:eastAsia="Arial" w:hAnsi="Arial"/>
          <w:sz w:val="19"/>
          <w:szCs w:val="19"/>
          <w:color w:val="auto"/>
        </w:rPr>
        <w:t>.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w:t>
      </w:r>
    </w:p>
    <w:p>
      <w:pPr>
        <w:spacing w:after="0" w:line="178"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Each of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55"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w:t>
      </w:r>
    </w:p>
    <w:p>
      <w:pPr>
        <w:sectPr>
          <w:pgSz w:w="11900" w:h="16947" w:orient="portrait"/>
          <w:cols w:equalWidth="0" w:num="1">
            <w:col w:w="11420"/>
          </w:cols>
          <w:pgMar w:left="240" w:top="149" w:right="239" w:bottom="0" w:gutter="0" w:footer="0" w:header="0"/>
        </w:sectPr>
      </w:pPr>
    </w:p>
    <w:bookmarkStart w:id="146" w:name="page147"/>
    <w:bookmarkEnd w:id="146"/>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light of the size and nature of its business, and will furnish to the Lenders, upon written request from the Administrative Agent, information presented in reasonable detail as to the insurance so carried. Each such policy of insurance shall, unless otherwise agreed to by the Administrative Agent,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80"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5.08.</w:t>
      </w:r>
      <w:r>
        <w:rPr>
          <w:sz w:val="20"/>
          <w:szCs w:val="20"/>
          <w:color w:val="auto"/>
        </w:rPr>
        <w:tab/>
      </w:r>
      <w:r>
        <w:rPr>
          <w:rFonts w:ascii="Arial" w:cs="Arial" w:eastAsia="Arial" w:hAnsi="Arial"/>
          <w:sz w:val="17"/>
          <w:szCs w:val="17"/>
          <w:i w:val="1"/>
          <w:iCs w:val="1"/>
          <w:color w:val="auto"/>
        </w:rPr>
        <w:t>Books and Records; Inspection and Audit Rights; Quarterly Teleconferences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78" w:lineRule="auto"/>
        <w:tabs>
          <w:tab w:leader="none" w:pos="103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absent the existence of an Event of Default, only one such time shall be at the Borrower’s expense;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163" w:lineRule="exact"/>
        <w:rPr>
          <w:rFonts w:ascii="Arial" w:cs="Arial" w:eastAsia="Arial" w:hAnsi="Arial"/>
          <w:sz w:val="17"/>
          <w:szCs w:val="17"/>
          <w:color w:val="auto"/>
        </w:rPr>
      </w:pPr>
    </w:p>
    <w:p>
      <w:pPr>
        <w:jc w:val="both"/>
        <w:ind w:firstLine="635"/>
        <w:spacing w:after="0" w:line="254" w:lineRule="auto"/>
        <w:tabs>
          <w:tab w:leader="none" w:pos="102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Within 10 Business Days after the earlier of (x) the delivery of any financial statements required to be delivered under Section 5.01(a) or (b) and (y) 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w:t>
      </w:r>
    </w:p>
    <w:p>
      <w:pPr>
        <w:spacing w:after="0" w:line="178"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i w:val="1"/>
          <w:iCs w:val="1"/>
          <w:color w:val="auto"/>
        </w:rPr>
        <w:t>Compliance with Laws.</w:t>
      </w:r>
      <w:r>
        <w:rPr>
          <w:rFonts w:ascii="Arial" w:cs="Arial" w:eastAsia="Arial" w:hAnsi="Arial"/>
          <w:sz w:val="19"/>
          <w:szCs w:val="19"/>
          <w:color w:val="auto"/>
        </w:rPr>
        <w:t xml:space="preserve"> 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7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5.10.</w:t>
      </w:r>
      <w:r>
        <w:rPr>
          <w:sz w:val="20"/>
          <w:szCs w:val="20"/>
          <w:color w:val="auto"/>
        </w:rPr>
        <w:tab/>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215" w:lineRule="exact"/>
        <w:rPr>
          <w:sz w:val="20"/>
          <w:szCs w:val="20"/>
          <w:color w:val="auto"/>
        </w:rPr>
      </w:pPr>
    </w:p>
    <w:p>
      <w:pPr>
        <w:ind w:firstLine="635"/>
        <w:spacing w:after="0" w:line="274" w:lineRule="auto"/>
        <w:tabs>
          <w:tab w:leader="none" w:pos="109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proceeds of the Refinancing Term Loans received on the Closing Date shall be used solely to consummate the Closing Date Refinancings and to pay fees and expenses in connection therewith.</w:t>
      </w:r>
    </w:p>
    <w:p>
      <w:pPr>
        <w:spacing w:after="0" w:line="157" w:lineRule="exact"/>
        <w:rPr>
          <w:rFonts w:ascii="Arial" w:cs="Arial" w:eastAsia="Arial" w:hAnsi="Arial"/>
          <w:sz w:val="19"/>
          <w:szCs w:val="19"/>
          <w:color w:val="auto"/>
        </w:rPr>
      </w:pPr>
    </w:p>
    <w:p>
      <w:pPr>
        <w:ind w:firstLine="635"/>
        <w:spacing w:after="0" w:line="274" w:lineRule="auto"/>
        <w:tabs>
          <w:tab w:leader="none" w:pos="104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proceeds of the Acquisition Term Loans received on the Closing Date shall be used solely to consummate the Acquisition and to pay fees and expenses in connection herewith and therewith.</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07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Borrower and its Restricted Subsidiaries will use the proceeds of Borrowings of Revolving Loans and Letters of Credit issued hereunder and the proceeds of any Incremental Revolving Facility or pursuant to any Incremental Term Facility for working capital and other general corporate purposes (including the financing of Permitted Acquisitions).</w:t>
      </w:r>
    </w:p>
    <w:p>
      <w:pPr>
        <w:spacing w:after="0" w:line="17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5.11.</w:t>
      </w:r>
      <w:r>
        <w:rPr>
          <w:sz w:val="20"/>
          <w:szCs w:val="20"/>
          <w:color w:val="auto"/>
        </w:rPr>
        <w:tab/>
      </w:r>
      <w:r>
        <w:rPr>
          <w:rFonts w:ascii="Arial" w:cs="Arial" w:eastAsia="Arial" w:hAnsi="Arial"/>
          <w:sz w:val="17"/>
          <w:szCs w:val="17"/>
          <w:i w:val="1"/>
          <w:iCs w:val="1"/>
          <w:color w:val="auto"/>
        </w:rPr>
        <w:t>Additional Subsidiaries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64" w:lineRule="auto"/>
        <w:tabs>
          <w:tab w:leader="none" w:pos="10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(i) any additional Restricted Subsidiary is formed or acquired after the Closing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spacing w:after="0" w:line="168" w:lineRule="exact"/>
        <w:rPr>
          <w:rFonts w:ascii="Arial" w:cs="Arial" w:eastAsia="Arial" w:hAnsi="Arial"/>
          <w:sz w:val="18"/>
          <w:szCs w:val="18"/>
          <w:color w:val="auto"/>
        </w:rPr>
      </w:pPr>
    </w:p>
    <w:p>
      <w:pPr>
        <w:jc w:val="both"/>
        <w:ind w:firstLine="635"/>
        <w:spacing w:after="0" w:line="259" w:lineRule="auto"/>
        <w:tabs>
          <w:tab w:leader="none" w:pos="106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17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5.12.</w:t>
      </w:r>
      <w:r>
        <w:rPr>
          <w:sz w:val="20"/>
          <w:szCs w:val="20"/>
          <w:color w:val="auto"/>
        </w:rPr>
        <w:tab/>
      </w:r>
      <w:r>
        <w:rPr>
          <w:rFonts w:ascii="Arial" w:cs="Arial" w:eastAsia="Arial" w:hAnsi="Arial"/>
          <w:sz w:val="17"/>
          <w:szCs w:val="17"/>
          <w:i w:val="1"/>
          <w:iCs w:val="1"/>
          <w:color w:val="auto"/>
        </w:rPr>
        <w:t>Further Assurances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2" w:lineRule="auto"/>
        <w:tabs>
          <w:tab w:leader="none" w:pos="113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Collateral and Guarantee Requirement to be and remain satisfied, all at the expense of the Loan Parties.</w:t>
      </w:r>
    </w:p>
    <w:p>
      <w:pPr>
        <w:spacing w:after="0" w:line="178" w:lineRule="exact"/>
        <w:rPr>
          <w:rFonts w:ascii="Arial" w:cs="Arial" w:eastAsia="Arial" w:hAnsi="Arial"/>
          <w:sz w:val="19"/>
          <w:szCs w:val="19"/>
          <w:color w:val="auto"/>
        </w:rPr>
      </w:pPr>
    </w:p>
    <w:p>
      <w:pPr>
        <w:jc w:val="both"/>
        <w:ind w:firstLine="635"/>
        <w:spacing w:after="0" w:line="286" w:lineRule="auto"/>
        <w:tabs>
          <w:tab w:leader="none" w:pos="10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after the Closing Date, any material assets (including any owned (but not leased) real property or improvements thereto or any interest therein with a fair market value in excess of $5,000,000)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w:t>
      </w:r>
    </w:p>
    <w:p>
      <w:pPr>
        <w:sectPr>
          <w:pgSz w:w="11900" w:h="16932" w:orient="portrait"/>
          <w:cols w:equalWidth="0" w:num="1">
            <w:col w:w="11420"/>
          </w:cols>
          <w:pgMar w:left="240" w:top="122" w:right="239" w:bottom="0" w:gutter="0" w:footer="0" w:header="0"/>
        </w:sectPr>
      </w:pPr>
    </w:p>
    <w:bookmarkStart w:id="147" w:name="page148"/>
    <w:bookmarkEnd w:id="147"/>
    <w:p>
      <w:pPr>
        <w:jc w:val="both"/>
        <w:spacing w:after="0" w:line="304" w:lineRule="auto"/>
        <w:rPr>
          <w:sz w:val="20"/>
          <w:szCs w:val="20"/>
          <w:color w:val="auto"/>
        </w:rPr>
      </w:pPr>
      <w:r>
        <w:rPr>
          <w:rFonts w:ascii="Arial" w:cs="Arial" w:eastAsia="Arial" w:hAnsi="Arial"/>
          <w:sz w:val="18"/>
          <w:szCs w:val="18"/>
          <w:color w:val="auto"/>
        </w:rPr>
        <w:t>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33"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i w:val="1"/>
          <w:iCs w:val="1"/>
          <w:color w:val="auto"/>
        </w:rPr>
        <w:t>Designation of Subsidiaries.</w:t>
      </w:r>
      <w:r>
        <w:rPr>
          <w:rFonts w:ascii="Arial" w:cs="Arial" w:eastAsia="Arial" w:hAnsi="Arial"/>
          <w:sz w:val="17"/>
          <w:szCs w:val="17"/>
          <w:color w:val="auto"/>
        </w:rPr>
        <w:t xml:space="preserve"> The Borrower may at any time after the Closing Date designate any Restricted Subsidiary (other than the Borrower or any Intermediate Parent) as an Unrestricted Subsidiary or any Unrestricted Subsidiary as a Restricted Subsidiary;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immediately before and after such designation on a Pro Forma Basis, no Event of Default shall have occurred and be continuing,</w:t>
      </w:r>
    </w:p>
    <w:p>
      <w:pPr>
        <w:spacing w:after="0" w:line="1" w:lineRule="exact"/>
        <w:rPr>
          <w:sz w:val="20"/>
          <w:szCs w:val="20"/>
          <w:color w:val="auto"/>
        </w:rPr>
      </w:pPr>
    </w:p>
    <w:p>
      <w:pPr>
        <w:jc w:val="both"/>
        <w:ind w:firstLine="5"/>
        <w:spacing w:after="0" w:line="273" w:lineRule="auto"/>
        <w:tabs>
          <w:tab w:leader="none" w:pos="28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immediately after giving effect to such designation or redesignation, the Borrower shall be in compliance, on a Pro Forma Basis, with a Net First Lien Leverage Ratio of 4.00:1.00 recomputed as of the last day of the most recent Test Period for which financial statements are available and</w:t>
      </w:r>
    </w:p>
    <w:p>
      <w:pPr>
        <w:spacing w:after="0" w:line="1" w:lineRule="exact"/>
        <w:rPr>
          <w:rFonts w:ascii="Arial" w:cs="Arial" w:eastAsia="Arial" w:hAnsi="Arial"/>
          <w:sz w:val="17"/>
          <w:szCs w:val="17"/>
          <w:color w:val="auto"/>
        </w:rPr>
      </w:pPr>
    </w:p>
    <w:p>
      <w:pPr>
        <w:jc w:val="both"/>
        <w:ind w:firstLine="5"/>
        <w:spacing w:after="0" w:line="280" w:lineRule="auto"/>
        <w:tabs>
          <w:tab w:leader="none" w:pos="26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 Subsidiary may be designated as an Unrestricted Subsidiary or continue as an Unrestricted Subsidiary if it is a “Restricted Subsidiary” for the purpose of any other Indebtedness of Holdings or the Borrower. The designation of any Subsidiary as an Unrestricted Subsidiary after the Closing Date shall constitute an Investment by the Borrower therein at the date of designation (the “</w:t>
      </w:r>
      <w:r>
        <w:rPr>
          <w:rFonts w:ascii="Arial" w:cs="Arial" w:eastAsia="Arial" w:hAnsi="Arial"/>
          <w:sz w:val="17"/>
          <w:szCs w:val="17"/>
          <w:b w:val="1"/>
          <w:bCs w:val="1"/>
          <w:color w:val="auto"/>
        </w:rPr>
        <w:t>Designation Date</w:t>
      </w:r>
      <w:r>
        <w:rPr>
          <w:rFonts w:ascii="Arial" w:cs="Arial" w:eastAsia="Arial" w:hAnsi="Arial"/>
          <w:sz w:val="17"/>
          <w:szCs w:val="17"/>
          <w:color w:val="auto"/>
        </w:rPr>
        <w:t>”)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Designation Date of the Borrower’s or its Subsidiary’s (as applicable) Investment in such Subsidiary.</w:t>
      </w:r>
    </w:p>
    <w:p>
      <w:pPr>
        <w:spacing w:after="0" w:line="159"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Notwithstanding the foregoing, any Unrestricted Subsidiary that has been re-designated a Restricted Subsidiary may not be subsequently re-designated as an Unrestricted Subsidiary.</w:t>
      </w:r>
    </w:p>
    <w:p>
      <w:pPr>
        <w:spacing w:after="0" w:line="157"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i w:val="1"/>
          <w:iCs w:val="1"/>
          <w:color w:val="auto"/>
        </w:rPr>
        <w:t>Maintenance of Ratings</w:t>
      </w:r>
      <w:r>
        <w:rPr>
          <w:rFonts w:ascii="Arial" w:cs="Arial" w:eastAsia="Arial" w:hAnsi="Arial"/>
          <w:sz w:val="19"/>
          <w:szCs w:val="19"/>
          <w:color w:val="auto"/>
        </w:rPr>
        <w:t>. The Borrower will use commercially reasonable efforts to maintain a corporate credit rating from S&amp;P and a corporate family rating from Moody’s, in each case with respect to the Borrower, and a rating of the Term Loans and (prior to the Revolving Maturity Date, the Revolving Facility) by each of S&amp;P and Moody’s.</w:t>
      </w:r>
    </w:p>
    <w:p>
      <w:pPr>
        <w:spacing w:after="0" w:line="172"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Regulatory Matters</w:t>
      </w:r>
      <w:r>
        <w:rPr>
          <w:rFonts w:ascii="Arial" w:cs="Arial" w:eastAsia="Arial" w:hAnsi="Arial"/>
          <w:sz w:val="17"/>
          <w:szCs w:val="17"/>
          <w:color w:val="auto"/>
        </w:rPr>
        <w:t>.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149" w:lineRule="exact"/>
        <w:rPr>
          <w:sz w:val="20"/>
          <w:szCs w:val="20"/>
          <w:color w:val="auto"/>
        </w:rPr>
      </w:pPr>
    </w:p>
    <w:p>
      <w:pPr>
        <w:jc w:val="both"/>
        <w:ind w:firstLine="630"/>
        <w:spacing w:after="0" w:line="286"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Certain Post-Closing Obligations</w:t>
      </w:r>
      <w:r>
        <w:rPr>
          <w:rFonts w:ascii="Arial" w:cs="Arial" w:eastAsia="Arial" w:hAnsi="Arial"/>
          <w:sz w:val="17"/>
          <w:szCs w:val="17"/>
          <w:color w:val="auto"/>
        </w:rPr>
        <w:t xml:space="preserve">. Notwithstanding any provision herein or in any other Loan Document to the contrary, to the extent not actually delivered on or prior to the Closing Date, the Borrower shall, and shall cause each applicable Loan Party, to take such actions set forth on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by the times specified on such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with respect to such actions, or such later time as the Administrative Agent may agree in its reasonable discretion. All conditions precedent, covenants and representations and warranties contained in this Agreement and the other Loan Documents shall be deemed modified to the extent necessary to effect the foregoing (and to permit the taking of the actions described on </w:t>
      </w:r>
      <w:r>
        <w:rPr>
          <w:rFonts w:ascii="Arial" w:cs="Arial" w:eastAsia="Arial" w:hAnsi="Arial"/>
          <w:sz w:val="17"/>
          <w:szCs w:val="17"/>
          <w:u w:val="single" w:color="auto"/>
          <w:color w:val="auto"/>
        </w:rPr>
        <w:t>Schedule 5.16</w:t>
      </w:r>
      <w:r>
        <w:rPr>
          <w:rFonts w:ascii="Arial" w:cs="Arial" w:eastAsia="Arial" w:hAnsi="Arial"/>
          <w:sz w:val="17"/>
          <w:szCs w:val="17"/>
          <w:color w:val="auto"/>
        </w:rPr>
        <w:t xml:space="preserve"> within the time periods required by this Section 5.16, rather than as elsewhere provided in the Loan Documents).</w:t>
      </w:r>
    </w:p>
    <w:p>
      <w:pPr>
        <w:spacing w:after="0" w:line="18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NEGATIVE COVENANTS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Holdings and the Borrower covenants and agrees with the Administrative Agent and each of the Lenders that, until the Termination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199"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6.01.</w:t>
      </w:r>
      <w:r>
        <w:rPr>
          <w:sz w:val="20"/>
          <w:szCs w:val="20"/>
          <w:color w:val="auto"/>
        </w:rPr>
        <w:tab/>
      </w:r>
      <w:r>
        <w:rPr>
          <w:rFonts w:ascii="Arial" w:cs="Arial" w:eastAsia="Arial" w:hAnsi="Arial"/>
          <w:sz w:val="17"/>
          <w:szCs w:val="17"/>
          <w:i w:val="1"/>
          <w:iCs w:val="1"/>
          <w:color w:val="auto"/>
        </w:rPr>
        <w:t>Indebtedness; Certain Equity Securities</w:t>
      </w:r>
      <w:r>
        <w:rPr>
          <w:rFonts w:ascii="Arial" w:cs="Arial" w:eastAsia="Arial" w:hAnsi="Arial"/>
          <w:sz w:val="17"/>
          <w:szCs w:val="17"/>
          <w:color w:val="auto"/>
        </w:rPr>
        <w:t>.</w:t>
      </w:r>
    </w:p>
    <w:p>
      <w:pPr>
        <w:spacing w:after="0" w:line="215" w:lineRule="exact"/>
        <w:rPr>
          <w:sz w:val="20"/>
          <w:szCs w:val="20"/>
          <w:color w:val="auto"/>
        </w:rPr>
      </w:pPr>
    </w:p>
    <w:p>
      <w:pPr>
        <w:ind w:firstLine="635"/>
        <w:spacing w:after="0" w:line="274" w:lineRule="auto"/>
        <w:tabs>
          <w:tab w:leader="none" w:pos="108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Holdings and the Borrower will not, and will not permit any Restricted Subsidiary to, create, incur, assume or permit to exist any Indebtedness, except:</w:t>
      </w:r>
    </w:p>
    <w:p>
      <w:pPr>
        <w:spacing w:after="0" w:line="157" w:lineRule="exact"/>
        <w:rPr>
          <w:rFonts w:ascii="Arial" w:cs="Arial" w:eastAsia="Arial" w:hAnsi="Arial"/>
          <w:sz w:val="19"/>
          <w:szCs w:val="19"/>
          <w:color w:val="auto"/>
        </w:rPr>
      </w:pPr>
    </w:p>
    <w:p>
      <w:pPr>
        <w:ind w:left="640" w:firstLine="861"/>
        <w:spacing w:after="0" w:line="274" w:lineRule="auto"/>
        <w:tabs>
          <w:tab w:leader="none" w:pos="190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Indebtedness of Holdings, the Borrower and any of the Restricted Subsidiaries under the Loan Documents (including any Indebtedness incurred pursuant to Section 2.18 or 2.19);</w:t>
      </w:r>
    </w:p>
    <w:p>
      <w:pPr>
        <w:spacing w:after="0" w:line="157" w:lineRule="exact"/>
        <w:rPr>
          <w:rFonts w:ascii="Arial" w:cs="Arial" w:eastAsia="Arial" w:hAnsi="Arial"/>
          <w:sz w:val="19"/>
          <w:szCs w:val="19"/>
          <w:color w:val="auto"/>
        </w:rPr>
      </w:pPr>
    </w:p>
    <w:p>
      <w:pPr>
        <w:jc w:val="both"/>
        <w:ind w:left="640" w:firstLine="861"/>
        <w:spacing w:after="0" w:line="280" w:lineRule="auto"/>
        <w:tabs>
          <w:tab w:leader="none" w:pos="202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Indebtedness outstanding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Indebtedness that is (x) not intercompany Indebtedness and (y) in excess of $2,000,000 shall be listed on Schedule 6.01), (B) Indebtedness in respect of the Second Lien Notes, (C) Indebtedness in respect of the Existing Yen Bonds, and (D) any Permitted Refinancing of any of the foregoing;</w:t>
      </w:r>
    </w:p>
    <w:p>
      <w:pPr>
        <w:spacing w:after="0" w:line="154" w:lineRule="exact"/>
        <w:rPr>
          <w:rFonts w:ascii="Arial" w:cs="Arial" w:eastAsia="Arial" w:hAnsi="Arial"/>
          <w:sz w:val="18"/>
          <w:szCs w:val="18"/>
          <w:color w:val="auto"/>
        </w:rPr>
      </w:pPr>
    </w:p>
    <w:p>
      <w:pPr>
        <w:jc w:val="both"/>
        <w:ind w:left="640" w:firstLine="861"/>
        <w:spacing w:after="0" w:line="278" w:lineRule="auto"/>
        <w:tabs>
          <w:tab w:leader="none" w:pos="1996"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Guarantees by Holdings, the Borrower and the Restricted Subsidiaries in respect of Indebtedness of the Borrower or any Restricted Subsidiary otherwise permitted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Guarantee is otherwise permitted by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 no Guarantee by any Restricted Subsidiary of any Junior Financing or the Second Lien Notes shall be permitted unless</w:t>
      </w:r>
      <w:r>
        <w:rPr>
          <w:rFonts w:ascii="Arial" w:cs="Arial" w:eastAsia="Arial" w:hAnsi="Arial"/>
          <w:sz w:val="17"/>
          <w:szCs w:val="17"/>
          <w:i w:val="1"/>
          <w:iCs w:val="1"/>
          <w:color w:val="auto"/>
        </w:rPr>
        <w:t xml:space="preserve"> </w:t>
      </w:r>
      <w:r>
        <w:rPr>
          <w:rFonts w:ascii="Arial" w:cs="Arial" w:eastAsia="Arial" w:hAnsi="Arial"/>
          <w:sz w:val="17"/>
          <w:szCs w:val="17"/>
          <w:color w:val="auto"/>
        </w:rPr>
        <w:t>such Restricted Subsidiary shall have also provided a Guarantee of the Loan Document Obligations pursuant to the Guarantee Agreement,</w:t>
      </w:r>
    </w:p>
    <w:p>
      <w:pPr>
        <w:spacing w:after="0" w:line="2" w:lineRule="exact"/>
        <w:rPr>
          <w:rFonts w:ascii="Arial" w:cs="Arial" w:eastAsia="Arial" w:hAnsi="Arial"/>
          <w:sz w:val="17"/>
          <w:szCs w:val="17"/>
          <w:color w:val="auto"/>
        </w:rPr>
      </w:pPr>
    </w:p>
    <w:p>
      <w:pPr>
        <w:jc w:val="both"/>
        <w:ind w:left="640"/>
        <w:spacing w:after="0" w:line="263" w:lineRule="auto"/>
        <w:rPr>
          <w:rFonts w:ascii="Arial" w:cs="Arial" w:eastAsia="Arial" w:hAnsi="Arial"/>
          <w:sz w:val="17"/>
          <w:szCs w:val="17"/>
          <w:color w:val="auto"/>
        </w:rPr>
      </w:pPr>
      <w:r>
        <w:rPr>
          <w:rFonts w:ascii="Arial" w:cs="Arial" w:eastAsia="Arial" w:hAnsi="Arial"/>
          <w:sz w:val="18"/>
          <w:szCs w:val="18"/>
          <w:color w:val="auto"/>
        </w:rPr>
        <w:t>(B)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spacing w:after="0" w:line="171" w:lineRule="exact"/>
        <w:rPr>
          <w:rFonts w:ascii="Arial" w:cs="Arial" w:eastAsia="Arial" w:hAnsi="Arial"/>
          <w:sz w:val="17"/>
          <w:szCs w:val="17"/>
          <w:color w:val="auto"/>
        </w:rPr>
      </w:pPr>
    </w:p>
    <w:p>
      <w:pPr>
        <w:jc w:val="both"/>
        <w:ind w:left="640" w:firstLine="861"/>
        <w:spacing w:after="0" w:line="289" w:lineRule="auto"/>
        <w:tabs>
          <w:tab w:leader="none" w:pos="205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Indebtedness of the Borrower owing to any Restricted Subsidiary or of any Restricted Subsidiary owing to any other Restricted Subsidiary or the Borrower or Holdings to the extent permitted by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Indebtedness of any Loan Party owing to any Restricted Subsidiary that is not a Loan Party shall be subordinated to the Loan Document Obligations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spacing w:after="0" w:line="148" w:lineRule="exact"/>
        <w:rPr>
          <w:rFonts w:ascii="Arial" w:cs="Arial" w:eastAsia="Arial" w:hAnsi="Arial"/>
          <w:sz w:val="17"/>
          <w:szCs w:val="17"/>
          <w:color w:val="auto"/>
        </w:rPr>
      </w:pPr>
    </w:p>
    <w:p>
      <w:pPr>
        <w:jc w:val="both"/>
        <w:ind w:left="640" w:firstLine="861"/>
        <w:spacing w:after="0" w:line="303" w:lineRule="auto"/>
        <w:tabs>
          <w:tab w:leader="none" w:pos="202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 Indebtedness (including Capital Lease Obligations) of the Borrower or any Restricted Subsidiaries financing the acquisition, construction, repair, replacement or improvement of fixed or capital assets, other than software;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w:t>
      </w:r>
    </w:p>
    <w:p>
      <w:pPr>
        <w:sectPr>
          <w:pgSz w:w="11900" w:h="16838" w:orient="portrait"/>
          <w:cols w:equalWidth="0" w:num="1">
            <w:col w:w="11420"/>
          </w:cols>
          <w:pgMar w:left="240" w:top="122" w:right="239" w:bottom="0" w:gutter="0" w:footer="0" w:header="0"/>
        </w:sectPr>
      </w:pPr>
    </w:p>
    <w:bookmarkStart w:id="148" w:name="page149"/>
    <w:bookmarkEnd w:id="148"/>
    <w:p>
      <w:pPr>
        <w:spacing w:after="0" w:line="275" w:lineRule="auto"/>
        <w:rPr>
          <w:sz w:val="20"/>
          <w:szCs w:val="20"/>
          <w:color w:val="auto"/>
        </w:rPr>
      </w:pPr>
      <w:r>
        <w:rPr>
          <w:rFonts w:ascii="Arial" w:cs="Arial" w:eastAsia="Arial" w:hAnsi="Arial"/>
          <w:sz w:val="19"/>
          <w:szCs w:val="19"/>
          <w:color w:val="auto"/>
        </w:rPr>
        <w:t>Indebtedness is incurred concurrently with or within 270 days after the applicable acquisition, construction, repair, replacement or improvement, and (B) any Permitted Refinancing thereof;</w:t>
      </w:r>
    </w:p>
    <w:p>
      <w:pPr>
        <w:spacing w:after="0" w:line="157" w:lineRule="exact"/>
        <w:rPr>
          <w:sz w:val="20"/>
          <w:szCs w:val="20"/>
          <w:color w:val="auto"/>
        </w:rPr>
      </w:pPr>
    </w:p>
    <w:p>
      <w:pPr>
        <w:ind w:left="1320" w:hanging="459"/>
        <w:spacing w:after="0"/>
        <w:tabs>
          <w:tab w:leader="none" w:pos="13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Indebtedness in respect of Swap Agreements permitted by Section 6.07;</w:t>
      </w:r>
    </w:p>
    <w:p>
      <w:pPr>
        <w:spacing w:after="0" w:line="214" w:lineRule="exact"/>
        <w:rPr>
          <w:rFonts w:ascii="Arial" w:cs="Arial" w:eastAsia="Arial" w:hAnsi="Arial"/>
          <w:sz w:val="19"/>
          <w:szCs w:val="19"/>
          <w:color w:val="auto"/>
        </w:rPr>
      </w:pPr>
    </w:p>
    <w:p>
      <w:pPr>
        <w:jc w:val="both"/>
        <w:ind w:firstLine="861"/>
        <w:spacing w:after="0" w:line="249" w:lineRule="auto"/>
        <w:tabs>
          <w:tab w:leader="none" w:pos="147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 (1) Indebtedness of any Restricted Subsidiary that is not a Loan Party that is acquired by the Borrower or any Restricted Subsidiary after the Closing Date or of a Person that is merged, consolidated or amalgamated after the Closing Date with a Restricted Subsidiary of the Borrower that is not a Loan Party, in each case, in connection with a Permitted Acquisition or another Investment permitted hereunder and (2) Indebtedness of a Joint Venture existing at the time the initial Investment by the Borrower or a Restricted Subsidiary is made in such Joint Venture;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each of clauses (1) and (2), (x) such Indebtedness is not incurred in contemplation of or in connection with such Permitted Acquisition, other Investment or initial Investment, (y) no Event of Default shall exist or result therefrom and (z) such Indebtedness shall not be secured by any assets constituting Collateral; and (B) any Permitted Refinancing of any of the foregoing;</w:t>
      </w:r>
    </w:p>
    <w:p>
      <w:pPr>
        <w:spacing w:after="0" w:line="181" w:lineRule="exact"/>
        <w:rPr>
          <w:rFonts w:ascii="Arial" w:cs="Arial" w:eastAsia="Arial" w:hAnsi="Arial"/>
          <w:sz w:val="19"/>
          <w:szCs w:val="19"/>
          <w:color w:val="auto"/>
        </w:rPr>
      </w:pPr>
    </w:p>
    <w:p>
      <w:pPr>
        <w:jc w:val="both"/>
        <w:ind w:firstLine="861"/>
        <w:spacing w:after="0" w:line="275" w:lineRule="auto"/>
        <w:tabs>
          <w:tab w:leader="none" w:pos="154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after giving effect to the incurrence of such Indebtedness and the use of proceeds thereof, (x) in the case of Indebtedness secured by Liens on the Collateral ranking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the Liens on the Collateral securing the Initial Term Loans or the Initial Revolving Loans, the First Lien Leverage Ratio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calculated on a Pro Forma Basis as of the end of the most recent Test Period for which financial statements are available is not greater than the First Lien Incurrence Ratio, (y) in the case of Indebtedness secured by Liens on the Collateral ranking junior to the Liens on the Collateral securing the Initial Term Loans or the Initial Revolving Loans, the Secured Leverage Ratio calculated on a Pro Forma Basis as of the end of the most recent Test Period for which financial statements are available is not greater than the Secured Leverage Incurrence Ratio and (z) in the case of other Indebtedness, either (i) the Total Leverage Ratio calculated on a Pro Forma Basis as of the end of the most recent Test Period for which financial statements are available is not greater than the Total Leverage Incurrence Ratio or (ii) the Fixed Charge Coverage Ratio calculated on a Pro Forma Basis as of the end of the most recent Test Period for which financial statements are available is not less than the Fixed Charge Coverage Incurrence Ratio, (2) if such Indebtedness is in the form of term loans and is secured by Liens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Collateral securing the Initial Term Loans, the Initial Term Loans shall have the benefit of the MFN Protections (with each reference in the definition thereof set forth in Section 2.18(a)(ii) to “Incremental Term Facility” being deemed to be a reference to such Indebtedness), (3) (x) such Indebtedness shall, if incurred by a Loan Party, not be incurred by or subject to any Guarantee by any Person other than a Loan Party or secured by any assets other than Collateral, (y) the security agreements relating to such Indebtedness (to the extent secured) shall be substantially the same as the Security Documents (with any material differences being reasonably satisfactory to the Administrative Agent) and (z) if secured, such Indebtedness and any agent or trustee under the agreements or indenture governing such Indebtedness shall be subject to the First Lien Intercreditor Agreement or Junior Lien Intercreditor Agreement,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Indebtedness is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Initial Term Loans, such Indebtedness may have mandatory prepayment provisions that provide for pro rata or less than pro rata (but not greater than pro rata) prepayments with the Initial Term Loans, (5) such Indebtedness shall not mature prior the Latest Maturity Date and shall not have a Weighted Average Life to Maturity shorter than the Weighted Average Life to Maturity of the Initial Term Loans, (6) if such Indebtedness is incurred by one or more Loan Parties, such Indebtedness shall have terms and conditions (other than pricing, optional prepayment, redemption premiums and subordination terms), taken as a whole, that are no more favorable to the investors providing such Indebtedness than the terms and conditions of this Agreement (except for covenants or other provisions applicable only to periods after the Latest Maturity Date) as determined by the Borrower in good faith, and (7) immediately after giving effect thereto and the use of the proceeds thereof, no Default or Event of Default shall exist or result therefrom (or, in the case of the incurrence or provision of such Indebtedness in connection with a Limited Condition Acquisition, no Event of Default under Section 7.01(a), (b), (h) or (i) shall have occurred and be continuing or shall result therefrom); provided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6.01(a)(ix), collectively, shall not exceed $10,000,000 and (B) any Permitted Refinancing thereof;</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jc w:val="both"/>
        <w:ind w:firstLine="861"/>
        <w:spacing w:after="0" w:line="276" w:lineRule="auto"/>
        <w:tabs>
          <w:tab w:leader="none" w:pos="133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(A) Indebtedness of the Borrower or any of its Restricted Subsidiaries incurred to finance, or assumed in connection with, a Permitted Acquisition or other Investment permitted under Section 6.04 or New Project not prohibited hereunder and existing Indebtedness of any Person that becomes a Restricted Subsidiary in connection with such Permitted Acquisition, Investment or New Project;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after giving effect to the assumption or incurrence of such Indebtedness and the use of proceeds thereof, (x) in the case of Indebtedness secured by Liens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Collateral securing the Initial Term Loans, the First Lien Leverage Ratio calculated on a Pro Forma Basis as of the end of the most recent Test Period for which financial statements are available either (I) does not exceed the First Lien Incurrence Ratio or (II) is not greater than the First Lien Leverage Ratio immediately prior to such Permitted Acquisition, other Investment or New Project, (y) in the case of Indebtedness secured by Liens on the Collateral ranking junior to the Liens on the Collateral securing the Initial Term Loans, the Secured Leverage Ratio calculated on a Pro Forma Basis as of the end of the most recent Test Period for which financial statements are available either (I) does not exceed the Secured Leverage Incurrence Ratio or (II) is not greater than the Secured Leverage Ratio immediately prior to such Permitted Acquisition, other Investment or New Project and (z) in the case of other Indebtedness, if the Unsecured Leverage Test is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6.01(a)(viii), collectively, shall not exceed $10,000,000 (2) if such Indebtedness is in the form of term loans and is secured by Liens on the Collateral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on the Collateral securing the Initial Term Loans, the Initial Term Loans shall have the benefit of the MFN Protections (with each reference in the definition thereof set forth in Section 2.18(a)(ii) to “Incremental Term Facility” being deemed to be a reference to such Indebtedness), (3)(w) such Indebtedness shall, if incurred by a Loan Party, not be incurred by or subject to any Guarantee by any Person other than a Loan Party or secured by any assets other than Collateral, (x) the security agreements relating to such Indebtedness (to the extent secured by Collateral) shall be substantially the same as the Security Documents (with any</w:t>
      </w:r>
    </w:p>
    <w:p>
      <w:pPr>
        <w:sectPr>
          <w:pgSz w:w="11900" w:h="16838" w:orient="portrait"/>
          <w:cols w:equalWidth="0" w:num="1">
            <w:col w:w="10780"/>
          </w:cols>
          <w:pgMar w:left="880" w:top="121" w:right="239" w:bottom="0" w:gutter="0" w:footer="0" w:header="0"/>
        </w:sectPr>
      </w:pPr>
    </w:p>
    <w:bookmarkStart w:id="149" w:name="page150"/>
    <w:bookmarkEnd w:id="149"/>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material differences being reasonably satisfactory to the Administrative Agent), (y) any Indebtedness incurred by a Restricted Subsidiary that is not a Loan Party shall only be secured by assets of Restricted Subsidiaries that are not Loan Parties and (z) if such Indebtedness is secured by Collateral, any agent or trustee under the agreements or indenture governing such Indebtedness shall be subject to the First Lien Intercreditor Agreement or Junior Lien Intercreditor Agreement,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(other than existing Indebtedness that is assumed (and not incurred) so long as the relevant requirement is not entered into in contemplation of this provision)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Indebtedness is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Initial Term Loans, such Indebtedness may have mandatory prepayment provisions that provide for pro rata or less than pro rata (but not greater than pro rata) prepayments with the Initial Term Loans, (5) such Indebtedness shall not have a maturity date earlier than or a Weighted Average Life to Maturity shorter than those applicable to the Initial Term Loans, (6) if such Indebtedness is secured by Liens on the Collateral, such Indebtedness shall have terms and conditions (other than pricing, optional prepayment, redemption premiums and subordination terms), taken as a whole, that are no more favorable to the investors providing such debt than the terms and conditions of this Agreement (except for covenants or other provisions applicable only to periods after the Latest Maturity Date) as determined by the Borrower in good faith, and (7) immediately after giving effect thereto and the use of the proceeds thereof, no Event of Default shall exist or result therefrom (or, in the case of the incurrence or provision of such Indebtedness in connection with a Limited Condition Acquisition, no Event of Default under Section 7.01(a), (b), (h) or (i) shall have occurred and be continuing or shall result therefrom); and (B) and any Permitted Refinancing thereof;</w:t>
      </w:r>
    </w:p>
    <w:p>
      <w:pPr>
        <w:spacing w:after="0" w:line="387" w:lineRule="exact"/>
        <w:rPr>
          <w:sz w:val="20"/>
          <w:szCs w:val="20"/>
          <w:color w:val="auto"/>
        </w:rPr>
      </w:pPr>
    </w:p>
    <w:p>
      <w:pPr>
        <w:ind w:left="1260" w:hanging="399"/>
        <w:spacing w:after="0"/>
        <w:tabs>
          <w:tab w:leader="none" w:pos="12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[reserved];</w:t>
      </w:r>
    </w:p>
    <w:p>
      <w:pPr>
        <w:spacing w:after="0" w:line="214" w:lineRule="exact"/>
        <w:rPr>
          <w:rFonts w:ascii="Arial" w:cs="Arial" w:eastAsia="Arial" w:hAnsi="Arial"/>
          <w:sz w:val="19"/>
          <w:szCs w:val="19"/>
          <w:color w:val="auto"/>
        </w:rPr>
      </w:pPr>
    </w:p>
    <w:p>
      <w:pPr>
        <w:ind w:firstLine="861"/>
        <w:spacing w:after="0" w:line="274" w:lineRule="auto"/>
        <w:tabs>
          <w:tab w:leader="none" w:pos="133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Indebtedness representing deferred compensation to employees of Holdings and its Restricted Subsidiaries incurred in the ordinary course of business;</w:t>
      </w:r>
    </w:p>
    <w:p>
      <w:pPr>
        <w:spacing w:after="0" w:line="157" w:lineRule="exact"/>
        <w:rPr>
          <w:rFonts w:ascii="Arial" w:cs="Arial" w:eastAsia="Arial" w:hAnsi="Arial"/>
          <w:sz w:val="19"/>
          <w:szCs w:val="19"/>
          <w:color w:val="auto"/>
        </w:rPr>
      </w:pPr>
    </w:p>
    <w:p>
      <w:pPr>
        <w:jc w:val="both"/>
        <w:ind w:firstLine="861"/>
        <w:spacing w:after="0" w:line="254" w:lineRule="auto"/>
        <w:tabs>
          <w:tab w:leader="none" w:pos="141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77" w:lineRule="exact"/>
        <w:rPr>
          <w:rFonts w:ascii="Arial" w:cs="Arial" w:eastAsia="Arial" w:hAnsi="Arial"/>
          <w:sz w:val="19"/>
          <w:szCs w:val="19"/>
          <w:color w:val="auto"/>
        </w:rPr>
      </w:pPr>
    </w:p>
    <w:p>
      <w:pPr>
        <w:ind w:firstLine="861"/>
        <w:spacing w:after="0" w:line="303" w:lineRule="auto"/>
        <w:tabs>
          <w:tab w:leader="none" w:pos="15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133" w:lineRule="exact"/>
        <w:rPr>
          <w:rFonts w:ascii="Arial" w:cs="Arial" w:eastAsia="Arial" w:hAnsi="Arial"/>
          <w:sz w:val="18"/>
          <w:szCs w:val="18"/>
          <w:color w:val="auto"/>
        </w:rPr>
      </w:pPr>
    </w:p>
    <w:p>
      <w:pPr>
        <w:ind w:firstLine="861"/>
        <w:spacing w:after="0" w:line="274" w:lineRule="auto"/>
        <w:tabs>
          <w:tab w:leader="none" w:pos="141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Indebtedness consisting of obligations under deferred compensation or other similar arrangements incurred in connection with any Permitted Acquisition or other Investment permitted hereunder;</w:t>
      </w:r>
    </w:p>
    <w:p>
      <w:pPr>
        <w:spacing w:after="0" w:line="157" w:lineRule="exact"/>
        <w:rPr>
          <w:rFonts w:ascii="Arial" w:cs="Arial" w:eastAsia="Arial" w:hAnsi="Arial"/>
          <w:sz w:val="19"/>
          <w:szCs w:val="19"/>
          <w:color w:val="auto"/>
        </w:rPr>
      </w:pPr>
    </w:p>
    <w:p>
      <w:pPr>
        <w:ind w:firstLine="861"/>
        <w:spacing w:after="0" w:line="274" w:lineRule="auto"/>
        <w:tabs>
          <w:tab w:leader="none" w:pos="14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157" w:lineRule="exact"/>
        <w:rPr>
          <w:rFonts w:ascii="Arial" w:cs="Arial" w:eastAsia="Arial" w:hAnsi="Arial"/>
          <w:sz w:val="19"/>
          <w:szCs w:val="19"/>
          <w:color w:val="auto"/>
        </w:rPr>
      </w:pPr>
    </w:p>
    <w:p>
      <w:pPr>
        <w:jc w:val="both"/>
        <w:ind w:firstLine="861"/>
        <w:spacing w:after="0" w:line="254" w:lineRule="auto"/>
        <w:tabs>
          <w:tab w:leader="none" w:pos="141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Indebtedness of Holdings, the Borrower and any of the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the proceeds thereof, the aggregate principal amount of Indebtedness outstanding in reliance on this clause (xvi) shall not exceed the greater of $300,000,000 and 40% of Consolidated EBITDA for the most recently ended Test Period for which financial statements are available;</w:t>
      </w:r>
    </w:p>
    <w:p>
      <w:pPr>
        <w:spacing w:after="0" w:line="177" w:lineRule="exact"/>
        <w:rPr>
          <w:rFonts w:ascii="Arial" w:cs="Arial" w:eastAsia="Arial" w:hAnsi="Arial"/>
          <w:sz w:val="19"/>
          <w:szCs w:val="19"/>
          <w:color w:val="auto"/>
        </w:rPr>
      </w:pPr>
    </w:p>
    <w:p>
      <w:pPr>
        <w:ind w:firstLine="861"/>
        <w:spacing w:after="0" w:line="274" w:lineRule="auto"/>
        <w:tabs>
          <w:tab w:leader="none" w:pos="150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Indebtedness consisting of (A) the financing of insurance premiums or (B) take-or-pay obligations contained in supply arrangements, in each case in the ordinary course of business;</w:t>
      </w:r>
    </w:p>
    <w:p>
      <w:pPr>
        <w:spacing w:after="0" w:line="157" w:lineRule="exact"/>
        <w:rPr>
          <w:rFonts w:ascii="Arial" w:cs="Arial" w:eastAsia="Arial" w:hAnsi="Arial"/>
          <w:sz w:val="19"/>
          <w:szCs w:val="19"/>
          <w:color w:val="auto"/>
        </w:rPr>
      </w:pPr>
    </w:p>
    <w:p>
      <w:pPr>
        <w:jc w:val="both"/>
        <w:ind w:firstLine="861"/>
        <w:spacing w:after="0" w:line="254" w:lineRule="auto"/>
        <w:tabs>
          <w:tab w:leader="none" w:pos="165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77" w:lineRule="exact"/>
        <w:rPr>
          <w:rFonts w:ascii="Arial" w:cs="Arial" w:eastAsia="Arial" w:hAnsi="Arial"/>
          <w:sz w:val="19"/>
          <w:szCs w:val="19"/>
          <w:color w:val="auto"/>
        </w:rPr>
      </w:pPr>
    </w:p>
    <w:p>
      <w:pPr>
        <w:jc w:val="both"/>
        <w:ind w:firstLine="861"/>
        <w:spacing w:after="0" w:line="280" w:lineRule="auto"/>
        <w:tabs>
          <w:tab w:leader="none" w:pos="149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spacing w:after="0" w:line="154" w:lineRule="exact"/>
        <w:rPr>
          <w:rFonts w:ascii="Arial" w:cs="Arial" w:eastAsia="Arial" w:hAnsi="Arial"/>
          <w:sz w:val="18"/>
          <w:szCs w:val="18"/>
          <w:color w:val="auto"/>
        </w:rPr>
      </w:pPr>
    </w:p>
    <w:p>
      <w:pPr>
        <w:ind w:left="1360" w:hanging="499"/>
        <w:spacing w:after="0"/>
        <w:tabs>
          <w:tab w:leader="none" w:pos="13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Permitted Unsecured Refinancing Debt, and any Permitted Refinancing thereof;</w:t>
      </w:r>
    </w:p>
    <w:p>
      <w:pPr>
        <w:spacing w:after="0" w:line="214" w:lineRule="exact"/>
        <w:rPr>
          <w:rFonts w:ascii="Arial" w:cs="Arial" w:eastAsia="Arial" w:hAnsi="Arial"/>
          <w:sz w:val="19"/>
          <w:szCs w:val="19"/>
          <w:color w:val="auto"/>
        </w:rPr>
      </w:pPr>
    </w:p>
    <w:p>
      <w:pPr>
        <w:ind w:left="1440" w:hanging="579"/>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Permitted First Priority Refinancing Debt and Permitted Junior Lien Refinancing Debt, and any Permitted Refinancing</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thereof;</w:t>
      </w:r>
    </w:p>
    <w:p>
      <w:pPr>
        <w:spacing w:after="0" w:line="198" w:lineRule="exact"/>
        <w:rPr>
          <w:rFonts w:ascii="Arial" w:cs="Arial" w:eastAsia="Arial" w:hAnsi="Arial"/>
          <w:sz w:val="18"/>
          <w:szCs w:val="18"/>
          <w:color w:val="auto"/>
        </w:rPr>
      </w:pPr>
    </w:p>
    <w:p>
      <w:pPr>
        <w:jc w:val="both"/>
        <w:ind w:firstLine="861"/>
        <w:spacing w:after="0" w:line="279" w:lineRule="auto"/>
        <w:tabs>
          <w:tab w:leader="none" w:pos="154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 Indebtedness of the Borrower in respect of one or more series of loans, bonds, notes or debentures that will be unsecured or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basis with the Liens on the Collateral securing the Initial Term Loans and that are issued or made in lieu of Incremental Facilities;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the incurrence thereof and after giving Pro Forma Effect thereto and to the use of the proceeds thereof, the aggregate principal amount incurred shall not exceed the Incremental Cap (the “</w:t>
      </w:r>
      <w:r>
        <w:rPr>
          <w:rFonts w:ascii="Arial" w:cs="Arial" w:eastAsia="Arial" w:hAnsi="Arial"/>
          <w:sz w:val="17"/>
          <w:szCs w:val="17"/>
          <w:b w:val="1"/>
          <w:bCs w:val="1"/>
          <w:color w:val="auto"/>
        </w:rPr>
        <w:t>Incremental Equivalent Debt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such Incremental Equivalent Debt is not scheduled to mature prior to the Latest Maturity Date then in effect and such Incremental Equivalent Debt shall not have a Weighted Average Life to Maturity shorter than the Weighted Average Life to Maturity of the Term Loans then in effect, (ii) such Incremental Equivalent Debt shall not have any mandatory prepayment provisions (other than provisions related to customary asset sale and change of control offers) that would result in prepayments of such Incremental Equivalent Debt prior to the Term Loans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Indebtedness is secured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any Class of Term Loans, such Indebtedness may have mandatory prepayment provisions that provide for pro rata or less than pro rata (but not greater than pro rata) prepayments with such Class of Term Loans, (iii) such Incremental Equivalent Debt has terms and conditions (other than pricing, optional prepayment, redemption premiums and subordination terms) that are no more favorable in any material respect (taken as a whole) to the investors providing such Incremental</w:t>
      </w:r>
    </w:p>
    <w:p>
      <w:pPr>
        <w:sectPr>
          <w:pgSz w:w="11900" w:h="16939" w:orient="portrait"/>
          <w:cols w:equalWidth="0" w:num="1">
            <w:col w:w="10780"/>
          </w:cols>
          <w:pgMar w:left="880" w:top="121" w:right="239" w:bottom="0" w:gutter="0" w:footer="0" w:header="0"/>
        </w:sectPr>
      </w:pPr>
    </w:p>
    <w:bookmarkStart w:id="150" w:name="page151"/>
    <w:bookmarkEnd w:id="150"/>
    <w:p>
      <w:pPr>
        <w:jc w:val="both"/>
        <w:ind w:left="640"/>
        <w:spacing w:after="0" w:line="275" w:lineRule="auto"/>
        <w:rPr>
          <w:sz w:val="20"/>
          <w:szCs w:val="20"/>
          <w:color w:val="auto"/>
        </w:rPr>
      </w:pPr>
      <w:r>
        <w:rPr>
          <w:rFonts w:ascii="Arial" w:cs="Arial" w:eastAsia="Arial" w:hAnsi="Arial"/>
          <w:sz w:val="17"/>
          <w:szCs w:val="17"/>
          <w:color w:val="auto"/>
        </w:rPr>
        <w:t xml:space="preserve">Equivalent Debt than the terms and conditions of this Agreement (except for covenants or other provisions applicable only to periods after the Latest Maturity Date) as determined by the Borrower in good faith, (iv) at the time when such Incremental Equivalent Debt is issued, the aggregate principal amount issued may not exceed the Incremental Cap, (v) (1) such Incremental Equivalent Debt shall not be Guaranteed by any Person other than a Loan Party, (2) the obligations in respect thereof shall not be secured by any Lien on any asset other than any asset constituting Collateral, (3) the security agreements relating to such Incremental Equivalent Debt shall be substantially the same as the Security Documents (with any material differences being reasonably satisfactory to the Administrative Agent), and (4) if such Incremental Equivalent Debt is secured, such Incremental Equivalent Debt and the trustee, administrative agent or other representative under the agreement governing such Incremental Equivalent Debt shall be subject to the First Lien Intercreditor Agreement or Junior Lien Intercreditor Agreement,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Incremental Equivalent Debt is issued pursuant to an agreement that has not previously been made subject thereto, then Holdings, the Borrower, the Subsidiary Loan Parties, the Administrative Agent and the Senior Representative for such Incremental Equivalent Debt shall have executed and delivered an appropriate supplement or joinder to the First Lien Intercreditor Agreement or the Junior Lien Intercreditor Agreement, as applicable, (vi) such Indebtedness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Indebtedness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Initial Term Loans, such Indebtedness may have mandatory prepayment provisions that provide for pro rata or less than pro rata (but not greater than pro rata) prepayments with the Initial Term Loans, (vii) no Default shall have occurred and be continuing or shall result therefrom (or, in the case of the incurrence or provision of any Incremental Term Facility in connection with a Limited Condition Acquisition, no Event of Default under Section 7.01(a), (b), (h) or (i) shall have occurred and be continuing or shall result therefrom) and</w:t>
      </w:r>
    </w:p>
    <w:p>
      <w:pPr>
        <w:spacing w:after="0" w:line="2" w:lineRule="exact"/>
        <w:rPr>
          <w:sz w:val="20"/>
          <w:szCs w:val="20"/>
          <w:color w:val="auto"/>
        </w:rPr>
      </w:pPr>
    </w:p>
    <w:p>
      <w:pPr>
        <w:ind w:left="640" w:hanging="5"/>
        <w:spacing w:after="0" w:line="257" w:lineRule="auto"/>
        <w:tabs>
          <w:tab w:leader="none" w:pos="108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if such Incremental Equivalent Debt is in the form of term loans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Initial Term Loans, such the Initial Term Loans shall have the benefit of the MFN Protections, and (B) any Permitted Refinancing thereof;</w:t>
      </w:r>
    </w:p>
    <w:p>
      <w:pPr>
        <w:spacing w:after="0" w:line="172" w:lineRule="exact"/>
        <w:rPr>
          <w:rFonts w:ascii="Arial" w:cs="Arial" w:eastAsia="Arial" w:hAnsi="Arial"/>
          <w:sz w:val="19"/>
          <w:szCs w:val="19"/>
          <w:color w:val="auto"/>
        </w:rPr>
      </w:pPr>
    </w:p>
    <w:p>
      <w:pPr>
        <w:ind w:left="2160" w:hanging="659"/>
        <w:spacing w:after="0"/>
        <w:tabs>
          <w:tab w:leader="none" w:pos="216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Trading Debt incurred in the ordinary course of business or in a manner consistent with past practices;</w:t>
      </w:r>
    </w:p>
    <w:p>
      <w:pPr>
        <w:spacing w:after="0" w:line="214" w:lineRule="exact"/>
        <w:rPr>
          <w:rFonts w:ascii="Arial" w:cs="Arial" w:eastAsia="Arial" w:hAnsi="Arial"/>
          <w:sz w:val="19"/>
          <w:szCs w:val="19"/>
          <w:color w:val="auto"/>
        </w:rPr>
      </w:pPr>
    </w:p>
    <w:p>
      <w:pPr>
        <w:jc w:val="both"/>
        <w:ind w:left="640" w:firstLine="861"/>
        <w:spacing w:after="0" w:line="250" w:lineRule="auto"/>
        <w:tabs>
          <w:tab w:leader="none" w:pos="228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(A) Indebtedness of Joint Ventures and/or Indebtedness incurred on behalf thereof or representing Guarantees of Indebtedness of Joint Ventures;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proceeds thereof, the aggregate principal amount of Indebtedness outstanding in reliance on this clause (xxiv), together with the aggregate principal amount of Indebtedness outstanding in reliance on clause (xxv) below, shall not exceed the greater of $190,000,000 and 25% of Consolidated EBITDA for the most recently ended Test Period for which financial statements are available and (B) any Permitted Refinancing thereof;</w:t>
      </w:r>
    </w:p>
    <w:p>
      <w:pPr>
        <w:spacing w:after="0" w:line="183" w:lineRule="exact"/>
        <w:rPr>
          <w:rFonts w:ascii="Arial" w:cs="Arial" w:eastAsia="Arial" w:hAnsi="Arial"/>
          <w:sz w:val="19"/>
          <w:szCs w:val="19"/>
          <w:color w:val="auto"/>
        </w:rPr>
      </w:pPr>
    </w:p>
    <w:p>
      <w:pPr>
        <w:jc w:val="both"/>
        <w:ind w:left="640" w:firstLine="861"/>
        <w:spacing w:after="0" w:line="252" w:lineRule="auto"/>
        <w:tabs>
          <w:tab w:leader="none" w:pos="2124"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(A) Indebtedness of a Restricted Subsidiary that is not a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proceeds thereof, the aggregate principal amount of Indebtedness outstanding in reliance on this clause (xxv), together with the aggregate principal amount of Indebtedness outstanding in reliance on clause (xxiv) above, shall not exceed the greater of $190,000,000 and 25% of Consolidated EBITDA for the most recently ended Test Period for which financial statements are available and (B) any Permitted Refinancing thereof;</w:t>
      </w:r>
    </w:p>
    <w:p>
      <w:pPr>
        <w:spacing w:after="0" w:line="178" w:lineRule="exact"/>
        <w:rPr>
          <w:rFonts w:ascii="Arial" w:cs="Arial" w:eastAsia="Arial" w:hAnsi="Arial"/>
          <w:sz w:val="19"/>
          <w:szCs w:val="19"/>
          <w:color w:val="auto"/>
        </w:rPr>
      </w:pPr>
    </w:p>
    <w:p>
      <w:pPr>
        <w:jc w:val="both"/>
        <w:ind w:left="640" w:firstLine="861"/>
        <w:spacing w:after="0" w:line="259" w:lineRule="auto"/>
        <w:tabs>
          <w:tab w:leader="none" w:pos="228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additional Indebtedness of Holdings,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the proceeds thereof, the aggregate principal amount of such Indebtedness incurred shall not exceed the Available RP Capacity Amount at such time; and</w:t>
      </w:r>
    </w:p>
    <w:p>
      <w:pPr>
        <w:spacing w:after="0" w:line="171" w:lineRule="exact"/>
        <w:rPr>
          <w:rFonts w:ascii="Arial" w:cs="Arial" w:eastAsia="Arial" w:hAnsi="Arial"/>
          <w:sz w:val="19"/>
          <w:szCs w:val="19"/>
          <w:color w:val="auto"/>
        </w:rPr>
      </w:pPr>
    </w:p>
    <w:p>
      <w:pPr>
        <w:ind w:left="640" w:firstLine="861"/>
        <w:spacing w:after="0" w:line="274" w:lineRule="auto"/>
        <w:tabs>
          <w:tab w:leader="none" w:pos="2231"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all premiums (if any), interest (including post-petition interest and capitalized or paid in kind interest), fees, expenses, charges and additional or contingent interest on obligations described in clauses (i) through (xxvi) above.</w:t>
      </w:r>
    </w:p>
    <w:p>
      <w:pPr>
        <w:spacing w:after="0" w:line="157" w:lineRule="exact"/>
        <w:rPr>
          <w:sz w:val="20"/>
          <w:szCs w:val="20"/>
          <w:color w:val="auto"/>
        </w:rPr>
      </w:pPr>
    </w:p>
    <w:p>
      <w:pPr>
        <w:jc w:val="both"/>
        <w:ind w:firstLine="635"/>
        <w:spacing w:after="0" w:line="304" w:lineRule="auto"/>
        <w:tabs>
          <w:tab w:leader="none" w:pos="104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w:t>
      </w:r>
    </w:p>
    <w:p>
      <w:pPr>
        <w:spacing w:after="0" w:line="137"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Liens.</w:t>
      </w:r>
      <w:r>
        <w:rPr>
          <w:rFonts w:ascii="Arial" w:cs="Arial" w:eastAsia="Arial" w:hAnsi="Arial"/>
          <w:sz w:val="19"/>
          <w:szCs w:val="19"/>
          <w:color w:val="auto"/>
        </w:rPr>
        <w:t xml:space="preserve"> Neither Holdings nor the Borrower will, nor will they permit any Restricted Subsidiary to, create, incur, assume or permit to exist any Lien on any property or asset now owned or hereafter acquired by it, except:</w:t>
      </w:r>
    </w:p>
    <w:p>
      <w:pPr>
        <w:spacing w:after="0" w:line="157" w:lineRule="exact"/>
        <w:rPr>
          <w:sz w:val="20"/>
          <w:szCs w:val="20"/>
          <w:color w:val="auto"/>
        </w:rPr>
      </w:pPr>
    </w:p>
    <w:p>
      <w:pPr>
        <w:ind w:left="1860" w:hanging="359"/>
        <w:spacing w:after="0"/>
        <w:tabs>
          <w:tab w:leader="none" w:pos="18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Liens created under the Loan Documents;</w:t>
      </w:r>
    </w:p>
    <w:p>
      <w:pPr>
        <w:spacing w:after="0" w:line="214" w:lineRule="exact"/>
        <w:rPr>
          <w:rFonts w:ascii="Arial" w:cs="Arial" w:eastAsia="Arial" w:hAnsi="Arial"/>
          <w:sz w:val="19"/>
          <w:szCs w:val="19"/>
          <w:color w:val="auto"/>
        </w:rPr>
      </w:pPr>
    </w:p>
    <w:p>
      <w:pPr>
        <w:ind w:left="1920" w:hanging="419"/>
        <w:spacing w:after="0"/>
        <w:tabs>
          <w:tab w:leader="none" w:pos="192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Permitted Encumbrances;</w:t>
      </w:r>
    </w:p>
    <w:p>
      <w:pPr>
        <w:spacing w:after="0" w:line="214" w:lineRule="exact"/>
        <w:rPr>
          <w:rFonts w:ascii="Arial" w:cs="Arial" w:eastAsia="Arial" w:hAnsi="Arial"/>
          <w:sz w:val="19"/>
          <w:szCs w:val="19"/>
          <w:color w:val="auto"/>
        </w:rPr>
      </w:pPr>
    </w:p>
    <w:p>
      <w:pPr>
        <w:jc w:val="both"/>
        <w:ind w:left="640" w:firstLine="861"/>
        <w:spacing w:after="0" w:line="289" w:lineRule="auto"/>
        <w:tabs>
          <w:tab w:leader="none" w:pos="199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set forth on Schedule 6.02 (other than Liens securing the Second Lien Notes) and any modifications, replacements, renewals or extensions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spacing w:after="0" w:line="148" w:lineRule="exact"/>
        <w:rPr>
          <w:rFonts w:ascii="Arial" w:cs="Arial" w:eastAsia="Arial" w:hAnsi="Arial"/>
          <w:sz w:val="17"/>
          <w:szCs w:val="17"/>
          <w:color w:val="auto"/>
        </w:rPr>
      </w:pPr>
    </w:p>
    <w:p>
      <w:pPr>
        <w:jc w:val="both"/>
        <w:ind w:left="640" w:firstLine="861"/>
        <w:spacing w:after="0" w:line="283" w:lineRule="auto"/>
        <w:tabs>
          <w:tab w:leader="none" w:pos="198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Section 6.01(a)(v);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Liens attach concurrently with or within 270 days after the acquisition, repair, replacement, construction or improvement (as applicable) of the property subject to such Liens,</w:t>
      </w:r>
    </w:p>
    <w:p>
      <w:pPr>
        <w:spacing w:after="0" w:line="1" w:lineRule="exact"/>
        <w:rPr>
          <w:rFonts w:ascii="Arial" w:cs="Arial" w:eastAsia="Arial" w:hAnsi="Arial"/>
          <w:sz w:val="17"/>
          <w:szCs w:val="17"/>
          <w:color w:val="auto"/>
        </w:rPr>
      </w:pPr>
    </w:p>
    <w:p>
      <w:pPr>
        <w:jc w:val="both"/>
        <w:ind w:left="640" w:hanging="5"/>
        <w:spacing w:after="0" w:line="248" w:lineRule="auto"/>
        <w:tabs>
          <w:tab w:leader="none" w:pos="95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9"/>
          <w:szCs w:val="19"/>
          <w:i w:val="1"/>
          <w:iCs w:val="1"/>
          <w:color w:val="auto"/>
        </w:rPr>
        <w:t>provided, further</w:t>
      </w:r>
      <w:r>
        <w:rPr>
          <w:rFonts w:ascii="Arial" w:cs="Arial" w:eastAsia="Arial" w:hAnsi="Arial"/>
          <w:sz w:val="19"/>
          <w:szCs w:val="19"/>
          <w:color w:val="auto"/>
        </w:rPr>
        <w:t>, that individual financings of equipment provided by one lender may be cross collateralized to other financings of equipment provided by such lender;</w:t>
      </w:r>
    </w:p>
    <w:p>
      <w:pPr>
        <w:spacing w:after="0" w:line="180" w:lineRule="exact"/>
        <w:rPr>
          <w:rFonts w:ascii="Arial" w:cs="Arial" w:eastAsia="Arial" w:hAnsi="Arial"/>
          <w:sz w:val="19"/>
          <w:szCs w:val="19"/>
          <w:color w:val="auto"/>
        </w:rPr>
      </w:pPr>
    </w:p>
    <w:p>
      <w:pPr>
        <w:ind w:left="640" w:firstLine="861"/>
        <w:spacing w:after="0" w:line="274" w:lineRule="auto"/>
        <w:tabs>
          <w:tab w:leader="none" w:pos="1905" w:val="left"/>
        </w:tabs>
        <w:numPr>
          <w:ilvl w:val="1"/>
          <w:numId w:val="125"/>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that do not (A) interfere in any material respect with the business of Holdings and its Restricted Subsidiaries, taken as a whole, or (B) secure any Indebtedness;</w:t>
      </w:r>
    </w:p>
    <w:p>
      <w:pPr>
        <w:spacing w:after="0" w:line="157" w:lineRule="exact"/>
        <w:rPr>
          <w:rFonts w:ascii="Arial" w:cs="Arial" w:eastAsia="Arial" w:hAnsi="Arial"/>
          <w:sz w:val="19"/>
          <w:szCs w:val="19"/>
          <w:color w:val="auto"/>
        </w:rPr>
      </w:pPr>
    </w:p>
    <w:p>
      <w:pPr>
        <w:ind w:left="640" w:firstLine="861"/>
        <w:spacing w:after="0" w:line="274" w:lineRule="auto"/>
        <w:tabs>
          <w:tab w:leader="none" w:pos="206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ectPr>
          <w:pgSz w:w="11900" w:h="16838" w:orient="portrait"/>
          <w:cols w:equalWidth="0" w:num="1">
            <w:col w:w="11420"/>
          </w:cols>
          <w:pgMar w:left="240" w:top="121" w:right="239" w:bottom="0" w:gutter="0" w:footer="0" w:header="0"/>
        </w:sectPr>
      </w:pPr>
    </w:p>
    <w:bookmarkStart w:id="151" w:name="page152"/>
    <w:bookmarkEnd w:id="151"/>
    <w:p>
      <w:pPr>
        <w:spacing w:after="0" w:line="74" w:lineRule="exact"/>
        <w:rPr>
          <w:sz w:val="20"/>
          <w:szCs w:val="20"/>
          <w:color w:val="auto"/>
        </w:rPr>
      </w:pPr>
    </w:p>
    <w:p>
      <w:pPr>
        <w:jc w:val="both"/>
        <w:ind w:left="-560" w:firstLine="861"/>
        <w:spacing w:after="0" w:line="260" w:lineRule="auto"/>
        <w:tabs>
          <w:tab w:leader="none" w:pos="86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70" w:lineRule="exact"/>
        <w:rPr>
          <w:rFonts w:ascii="Arial" w:cs="Arial" w:eastAsia="Arial" w:hAnsi="Arial"/>
          <w:sz w:val="19"/>
          <w:szCs w:val="19"/>
          <w:color w:val="auto"/>
        </w:rPr>
      </w:pPr>
    </w:p>
    <w:p>
      <w:pPr>
        <w:jc w:val="both"/>
        <w:ind w:left="-560" w:firstLine="861"/>
        <w:spacing w:after="0" w:line="250" w:lineRule="auto"/>
        <w:tabs>
          <w:tab w:leader="none" w:pos="93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83" w:lineRule="exact"/>
        <w:rPr>
          <w:rFonts w:ascii="Arial" w:cs="Arial" w:eastAsia="Arial" w:hAnsi="Arial"/>
          <w:sz w:val="19"/>
          <w:szCs w:val="19"/>
          <w:color w:val="auto"/>
        </w:rPr>
      </w:pPr>
    </w:p>
    <w:p>
      <w:pPr>
        <w:jc w:val="both"/>
        <w:ind w:left="-560" w:firstLine="861"/>
        <w:spacing w:after="0" w:line="259" w:lineRule="auto"/>
        <w:tabs>
          <w:tab w:leader="none" w:pos="75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on property of any Restricted Subsidiary that is neither a Loan Party nor a Regulated Subsidiary, which Liens secure Indebtedness of such Restricted Subsidiary permitted under Section 6.01 or other obligations of such Restricted Subsidiary that are not prohibited hereunder;</w:t>
      </w:r>
    </w:p>
    <w:p>
      <w:pPr>
        <w:spacing w:after="0" w:line="171" w:lineRule="exact"/>
        <w:rPr>
          <w:rFonts w:ascii="Arial" w:cs="Arial" w:eastAsia="Arial" w:hAnsi="Arial"/>
          <w:sz w:val="19"/>
          <w:szCs w:val="19"/>
          <w:color w:val="auto"/>
        </w:rPr>
      </w:pPr>
    </w:p>
    <w:p>
      <w:pPr>
        <w:ind w:left="-560" w:firstLine="861"/>
        <w:spacing w:after="0" w:line="274" w:lineRule="auto"/>
        <w:tabs>
          <w:tab w:leader="none" w:pos="73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granted by a Restricted Subsidiary that is not a Loan Party in favor of any Loan Party and Liens granted by a Loan Party in favor of any other Loan Party;</w:t>
      </w:r>
    </w:p>
    <w:p>
      <w:pPr>
        <w:spacing w:after="0" w:line="157" w:lineRule="exact"/>
        <w:rPr>
          <w:rFonts w:ascii="Arial" w:cs="Arial" w:eastAsia="Arial" w:hAnsi="Arial"/>
          <w:sz w:val="19"/>
          <w:szCs w:val="19"/>
          <w:color w:val="auto"/>
        </w:rPr>
      </w:pPr>
    </w:p>
    <w:p>
      <w:pPr>
        <w:jc w:val="both"/>
        <w:ind w:left="-560" w:firstLine="861"/>
        <w:spacing w:after="0" w:line="281" w:lineRule="auto"/>
        <w:tabs>
          <w:tab w:leader="none" w:pos="78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Liens existing on property at the time of its acquisition or existing on the property of any Person at the time such Person becomes a Restricted Subsidiary, in each case after the Closing Date (other than Liens on the Equity Interests of any Person that becomes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and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6.01(a)(v), 6.01(a)(vii)(A), 6.01(a)(vii)(B) or 6.01(a)(ix);</w:t>
      </w:r>
    </w:p>
    <w:p>
      <w:pPr>
        <w:spacing w:after="0" w:line="158" w:lineRule="exact"/>
        <w:rPr>
          <w:rFonts w:ascii="Arial" w:cs="Arial" w:eastAsia="Arial" w:hAnsi="Arial"/>
          <w:sz w:val="17"/>
          <w:szCs w:val="17"/>
          <w:color w:val="auto"/>
        </w:rPr>
      </w:pPr>
    </w:p>
    <w:p>
      <w:pPr>
        <w:jc w:val="both"/>
        <w:ind w:left="-560" w:firstLine="861"/>
        <w:spacing w:after="0" w:line="259" w:lineRule="auto"/>
        <w:tabs>
          <w:tab w:leader="none" w:pos="89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interest or title of a lessor under leases (other than leases constituting Capital Lease Obligations) entered into by Holdings or any Restricted Subsidiaries in the ordinary course of business and Liens on the fee interest or any superior leasehold interest in property leased by Holdings or any Restricted Subsidiaries;</w:t>
      </w:r>
    </w:p>
    <w:p>
      <w:pPr>
        <w:spacing w:after="0" w:line="171" w:lineRule="exact"/>
        <w:rPr>
          <w:rFonts w:ascii="Arial" w:cs="Arial" w:eastAsia="Arial" w:hAnsi="Arial"/>
          <w:sz w:val="19"/>
          <w:szCs w:val="19"/>
          <w:color w:val="auto"/>
        </w:rPr>
      </w:pPr>
    </w:p>
    <w:p>
      <w:pPr>
        <w:ind w:left="-560" w:firstLine="861"/>
        <w:spacing w:after="0" w:line="274" w:lineRule="auto"/>
        <w:tabs>
          <w:tab w:leader="none" w:pos="89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sale of goods by Holdings or any Restricted Subsidiaries in the ordinary course of business;</w:t>
      </w:r>
    </w:p>
    <w:p>
      <w:pPr>
        <w:spacing w:after="0" w:line="157" w:lineRule="exact"/>
        <w:rPr>
          <w:rFonts w:ascii="Arial" w:cs="Arial" w:eastAsia="Arial" w:hAnsi="Arial"/>
          <w:sz w:val="19"/>
          <w:szCs w:val="19"/>
          <w:color w:val="auto"/>
        </w:rPr>
      </w:pPr>
    </w:p>
    <w:p>
      <w:pPr>
        <w:ind w:left="-560" w:firstLine="861"/>
        <w:spacing w:after="0" w:line="274" w:lineRule="auto"/>
        <w:tabs>
          <w:tab w:leader="none" w:pos="88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under clause (e) of the definition of the term “Permitted Investments”;</w:t>
      </w:r>
    </w:p>
    <w:p>
      <w:pPr>
        <w:spacing w:after="0" w:line="157" w:lineRule="exact"/>
        <w:rPr>
          <w:rFonts w:ascii="Arial" w:cs="Arial" w:eastAsia="Arial" w:hAnsi="Arial"/>
          <w:sz w:val="19"/>
          <w:szCs w:val="19"/>
          <w:color w:val="auto"/>
        </w:rPr>
      </w:pPr>
    </w:p>
    <w:p>
      <w:pPr>
        <w:jc w:val="both"/>
        <w:ind w:left="-560" w:firstLine="861"/>
        <w:spacing w:after="0" w:line="254" w:lineRule="auto"/>
        <w:tabs>
          <w:tab w:leader="none" w:pos="89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w:t>
      </w:r>
    </w:p>
    <w:p>
      <w:pPr>
        <w:spacing w:after="0" w:line="177" w:lineRule="exact"/>
        <w:rPr>
          <w:rFonts w:ascii="Arial" w:cs="Arial" w:eastAsia="Arial" w:hAnsi="Arial"/>
          <w:sz w:val="19"/>
          <w:szCs w:val="19"/>
          <w:color w:val="auto"/>
        </w:rPr>
      </w:pPr>
    </w:p>
    <w:p>
      <w:pPr>
        <w:jc w:val="both"/>
        <w:ind w:left="-560" w:firstLine="861"/>
        <w:spacing w:after="0" w:line="294" w:lineRule="auto"/>
        <w:tabs>
          <w:tab w:leader="none" w:pos="86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spacing w:after="0" w:line="144" w:lineRule="exact"/>
        <w:rPr>
          <w:rFonts w:ascii="Arial" w:cs="Arial" w:eastAsia="Arial" w:hAnsi="Arial"/>
          <w:sz w:val="17"/>
          <w:szCs w:val="17"/>
          <w:color w:val="auto"/>
        </w:rPr>
      </w:pPr>
    </w:p>
    <w:p>
      <w:pPr>
        <w:ind w:left="-560" w:firstLine="861"/>
        <w:spacing w:after="0" w:line="274" w:lineRule="auto"/>
        <w:tabs>
          <w:tab w:leader="none" w:pos="101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ground leases in respect of real property on which facilities owned or leased by Holdings or any of the Restricted Subsidiaries are located;</w:t>
      </w:r>
    </w:p>
    <w:p>
      <w:pPr>
        <w:spacing w:after="0" w:line="157" w:lineRule="exact"/>
        <w:rPr>
          <w:rFonts w:ascii="Arial" w:cs="Arial" w:eastAsia="Arial" w:hAnsi="Arial"/>
          <w:sz w:val="19"/>
          <w:szCs w:val="19"/>
          <w:color w:val="auto"/>
        </w:rPr>
      </w:pPr>
    </w:p>
    <w:p>
      <w:pPr>
        <w:ind w:left="960" w:hanging="659"/>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6" w:lineRule="exact"/>
        <w:rPr>
          <w:rFonts w:ascii="Arial" w:cs="Arial" w:eastAsia="Arial" w:hAnsi="Arial"/>
          <w:sz w:val="18"/>
          <w:szCs w:val="18"/>
          <w:color w:val="auto"/>
        </w:rPr>
      </w:pPr>
    </w:p>
    <w:p>
      <w:pPr>
        <w:jc w:val="both"/>
        <w:ind w:left="-560" w:firstLine="861"/>
        <w:spacing w:after="0" w:line="259" w:lineRule="auto"/>
        <w:tabs>
          <w:tab w:leader="none" w:pos="86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Liens on the Collateral securing Permitted First Priority Refinancing Debt, Permitted Junior Lien Refinancing Debt and, to the extent permitted to be secured pursuant to and subject to the requirements thereof, Indebtedness incurred under Sections 6.01(a)(viii), 6.01(a)(ix) and 6.01(a)(xxii);</w:t>
      </w:r>
    </w:p>
    <w:p>
      <w:pPr>
        <w:spacing w:after="0" w:line="171" w:lineRule="exact"/>
        <w:rPr>
          <w:rFonts w:ascii="Arial" w:cs="Arial" w:eastAsia="Arial" w:hAnsi="Arial"/>
          <w:sz w:val="19"/>
          <w:szCs w:val="19"/>
          <w:color w:val="auto"/>
        </w:rPr>
      </w:pPr>
    </w:p>
    <w:p>
      <w:pPr>
        <w:jc w:val="both"/>
        <w:ind w:left="-560" w:firstLine="861"/>
        <w:spacing w:after="0" w:line="263" w:lineRule="auto"/>
        <w:tabs>
          <w:tab w:leader="none" w:pos="85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Liens securing Trading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p>
    <w:p>
      <w:pPr>
        <w:spacing w:after="0" w:line="172" w:lineRule="exact"/>
        <w:rPr>
          <w:rFonts w:ascii="Arial" w:cs="Arial" w:eastAsia="Arial" w:hAnsi="Arial"/>
          <w:sz w:val="18"/>
          <w:szCs w:val="18"/>
          <w:color w:val="auto"/>
        </w:rPr>
      </w:pPr>
    </w:p>
    <w:p>
      <w:pPr>
        <w:jc w:val="both"/>
        <w:ind w:left="-560" w:firstLine="861"/>
        <w:spacing w:after="0" w:line="254" w:lineRule="auto"/>
        <w:tabs>
          <w:tab w:leader="none" w:pos="93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other Liens;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$300,000,000 and 40% of Consolidated EBITDA for the most recently ended Test Period for which financial statements are available;</w:t>
      </w:r>
    </w:p>
    <w:p>
      <w:pPr>
        <w:spacing w:after="0" w:line="177" w:lineRule="exact"/>
        <w:rPr>
          <w:rFonts w:ascii="Arial" w:cs="Arial" w:eastAsia="Arial" w:hAnsi="Arial"/>
          <w:sz w:val="19"/>
          <w:szCs w:val="19"/>
          <w:color w:val="auto"/>
        </w:rPr>
      </w:pPr>
    </w:p>
    <w:p>
      <w:pPr>
        <w:ind w:left="-560" w:firstLine="861"/>
        <w:spacing w:after="0" w:line="274" w:lineRule="auto"/>
        <w:tabs>
          <w:tab w:leader="none" w:pos="9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Section 6.01(xxiv) and (xxv);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assets or property securing such Liens do not include any assets or property of any Loan Party or Regulated Subsidiary; and</w:t>
      </w:r>
    </w:p>
    <w:p>
      <w:pPr>
        <w:sectPr>
          <w:pgSz w:w="11900" w:h="16912" w:orient="portrait"/>
          <w:cols w:equalWidth="0" w:num="1">
            <w:col w:w="10220"/>
          </w:cols>
          <w:pgMar w:left="1440" w:top="122" w:right="239" w:bottom="0" w:gutter="0" w:footer="0" w:header="0"/>
        </w:sectPr>
      </w:pPr>
    </w:p>
    <w:bookmarkStart w:id="152" w:name="page153"/>
    <w:bookmarkEnd w:id="152"/>
    <w:p>
      <w:pPr>
        <w:spacing w:after="0" w:line="73" w:lineRule="exact"/>
        <w:rPr>
          <w:sz w:val="20"/>
          <w:szCs w:val="20"/>
          <w:color w:val="auto"/>
        </w:rPr>
      </w:pPr>
    </w:p>
    <w:p>
      <w:pPr>
        <w:ind w:left="5" w:firstLine="861"/>
        <w:spacing w:after="0" w:line="303" w:lineRule="auto"/>
        <w:tabs>
          <w:tab w:leader="none" w:pos="1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Liens securing the Second Lien Notes outstanding on the Closing Date or any Permitted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junior to the Liens created under the Loan Documents pursuant to a Junior Lien Intercreditor Agreement.</w:t>
      </w:r>
    </w:p>
    <w:p>
      <w:pPr>
        <w:spacing w:after="0" w:line="134" w:lineRule="exact"/>
        <w:rPr>
          <w:sz w:val="20"/>
          <w:szCs w:val="20"/>
          <w:color w:val="auto"/>
        </w:rPr>
      </w:pPr>
    </w:p>
    <w:p>
      <w:pPr>
        <w:ind w:left="5"/>
        <w:spacing w:after="0"/>
        <w:tabs>
          <w:tab w:leader="none" w:pos="1165" w:val="left"/>
        </w:tabs>
        <w:rPr>
          <w:sz w:val="20"/>
          <w:szCs w:val="20"/>
          <w:color w:val="auto"/>
        </w:rPr>
      </w:pPr>
      <w:r>
        <w:rPr>
          <w:rFonts w:ascii="Arial" w:cs="Arial" w:eastAsia="Arial" w:hAnsi="Arial"/>
          <w:sz w:val="19"/>
          <w:szCs w:val="19"/>
          <w:color w:val="auto"/>
        </w:rPr>
        <w:t>Section 6.03.</w:t>
      </w:r>
      <w:r>
        <w:rPr>
          <w:sz w:val="20"/>
          <w:szCs w:val="20"/>
          <w:color w:val="auto"/>
        </w:rPr>
        <w:tab/>
      </w:r>
      <w:r>
        <w:rPr>
          <w:rFonts w:ascii="Arial" w:cs="Arial" w:eastAsia="Arial" w:hAnsi="Arial"/>
          <w:sz w:val="17"/>
          <w:szCs w:val="17"/>
          <w:i w:val="1"/>
          <w:iCs w:val="1"/>
          <w:color w:val="auto"/>
        </w:rPr>
        <w:t>Fundamental Changes</w:t>
      </w:r>
      <w:r>
        <w:rPr>
          <w:rFonts w:ascii="Arial" w:cs="Arial" w:eastAsia="Arial" w:hAnsi="Arial"/>
          <w:sz w:val="17"/>
          <w:szCs w:val="17"/>
          <w:color w:val="auto"/>
        </w:rPr>
        <w:t>.</w:t>
      </w:r>
    </w:p>
    <w:p>
      <w:pPr>
        <w:spacing w:after="0" w:line="215" w:lineRule="exact"/>
        <w:rPr>
          <w:sz w:val="20"/>
          <w:szCs w:val="20"/>
          <w:color w:val="auto"/>
        </w:rPr>
      </w:pPr>
    </w:p>
    <w:p>
      <w:pPr>
        <w:ind w:left="-635" w:firstLine="635"/>
        <w:spacing w:after="0" w:line="274" w:lineRule="auto"/>
        <w:tabs>
          <w:tab w:leader="none" w:pos="42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Neither Holdings nor the Borrower will, nor will they permit any other Restricted Subsidiary to, merge into or consolidate with any other Person, or permit any other Person to merge into or consolidate with it, or liquidate or dissolve, except that:</w:t>
      </w:r>
    </w:p>
    <w:p>
      <w:pPr>
        <w:spacing w:after="0" w:line="157" w:lineRule="exact"/>
        <w:rPr>
          <w:rFonts w:ascii="Arial" w:cs="Arial" w:eastAsia="Arial" w:hAnsi="Arial"/>
          <w:sz w:val="19"/>
          <w:szCs w:val="19"/>
          <w:color w:val="auto"/>
        </w:rPr>
      </w:pPr>
    </w:p>
    <w:p>
      <w:pPr>
        <w:jc w:val="both"/>
        <w:ind w:left="5" w:firstLine="861"/>
        <w:spacing w:after="0" w:line="250" w:lineRule="auto"/>
        <w:tabs>
          <w:tab w:leader="none" w:pos="1228"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merge with (A)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the continuing or surviving Person, or (B) in the case of any Restricted Subsidiary, any one or more other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when any Subsidiary Loan Party is merging with another Restricted Subsidiary (x) the continuing or surviving Person shall be a Subsidiary Loan Party or shall concurrently become a Subsidiary Loan Party or (y) if the continuing or surviving Person is not a Subsidiary Loan Party or will not concurrently become a Subsidiary Loan Party, the acquisition of such Subsidiary Loan Party by such surviving Restricted Subsidiary is otherwise permitted under Section 6.04;</w:t>
      </w:r>
    </w:p>
    <w:p>
      <w:pPr>
        <w:spacing w:after="0" w:line="183" w:lineRule="exact"/>
        <w:rPr>
          <w:rFonts w:ascii="Arial" w:cs="Arial" w:eastAsia="Arial" w:hAnsi="Arial"/>
          <w:sz w:val="19"/>
          <w:szCs w:val="19"/>
          <w:color w:val="auto"/>
        </w:rPr>
      </w:pPr>
    </w:p>
    <w:p>
      <w:pPr>
        <w:jc w:val="both"/>
        <w:ind w:left="5" w:firstLine="861"/>
        <w:spacing w:after="0" w:line="254" w:lineRule="auto"/>
        <w:tabs>
          <w:tab w:leader="none" w:pos="141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77" w:lineRule="exact"/>
        <w:rPr>
          <w:rFonts w:ascii="Arial" w:cs="Arial" w:eastAsia="Arial" w:hAnsi="Arial"/>
          <w:sz w:val="19"/>
          <w:szCs w:val="19"/>
          <w:color w:val="auto"/>
        </w:rPr>
      </w:pPr>
    </w:p>
    <w:p>
      <w:pPr>
        <w:jc w:val="both"/>
        <w:ind w:left="5" w:firstLine="861"/>
        <w:spacing w:after="0" w:line="280" w:lineRule="auto"/>
        <w:tabs>
          <w:tab w:leader="none" w:pos="150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any Restricted Subsidiary (other than an Intermediate Parent or the Borrower) may make a Disposition of all or substantially all of its assets (upon voluntary liquidation or otherwise) to one or more other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transferor in such a transaction is a Loan Party, then (A) the transferees must be Loan Parties or (B) if a transferee is not a Loan Party, then</w:t>
      </w:r>
    </w:p>
    <w:p>
      <w:pPr>
        <w:spacing w:after="0" w:line="1" w:lineRule="exact"/>
        <w:rPr>
          <w:rFonts w:ascii="Arial" w:cs="Arial" w:eastAsia="Arial" w:hAnsi="Arial"/>
          <w:sz w:val="17"/>
          <w:szCs w:val="17"/>
          <w:color w:val="auto"/>
        </w:rPr>
      </w:pPr>
    </w:p>
    <w:p>
      <w:pPr>
        <w:jc w:val="both"/>
        <w:ind w:left="5"/>
        <w:spacing w:after="0" w:line="267" w:lineRule="auto"/>
        <w:rPr>
          <w:rFonts w:ascii="Arial" w:cs="Arial" w:eastAsia="Arial" w:hAnsi="Arial"/>
          <w:sz w:val="17"/>
          <w:szCs w:val="17"/>
          <w:color w:val="auto"/>
        </w:rPr>
      </w:pPr>
      <w:r>
        <w:rPr>
          <w:rFonts w:ascii="Arial" w:cs="Arial" w:eastAsia="Arial" w:hAnsi="Arial"/>
          <w:sz w:val="18"/>
          <w:szCs w:val="18"/>
          <w:color w:val="auto"/>
        </w:rPr>
        <w:t>(1) to the extent such transfer constitutes an Investment, such Investment must be a permitted Investment in a Restricted Subsidiary that is not a Loan Party in accordance with Section 6.04 or (2) to the extent such transfer constitutes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65" w:lineRule="exact"/>
        <w:rPr>
          <w:rFonts w:ascii="Arial" w:cs="Arial" w:eastAsia="Arial" w:hAnsi="Arial"/>
          <w:sz w:val="17"/>
          <w:szCs w:val="17"/>
          <w:color w:val="auto"/>
        </w:rPr>
      </w:pPr>
    </w:p>
    <w:p>
      <w:pPr>
        <w:jc w:val="both"/>
        <w:ind w:left="5" w:firstLine="861"/>
        <w:spacing w:after="0" w:line="278" w:lineRule="auto"/>
        <w:tabs>
          <w:tab w:leader="none" w:pos="135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the Borrower may merge or consolidate with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17"/>
          <w:szCs w:val="17"/>
          <w:b w:val="1"/>
          <w:bCs w:val="1"/>
          <w:color w:val="auto"/>
        </w:rPr>
        <w:t>Successor Borrower</w:t>
      </w:r>
      <w:r>
        <w:rPr>
          <w:rFonts w:ascii="Arial" w:cs="Arial" w:eastAsia="Arial" w:hAnsi="Arial"/>
          <w:sz w:val="17"/>
          <w:szCs w:val="17"/>
          <w:color w:val="auto"/>
        </w:rPr>
        <w:t xml:space="preserve">”),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(1) if such Person is not a Loan Party, no Default exists after giving effect to such merger or consolidation and (2) if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foregoing requirements are satisfied, the Successor Borrower will succeed to, and be substituted for, the Borrower under this Agreement and the other Loan Documents;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56" w:lineRule="exact"/>
        <w:rPr>
          <w:rFonts w:ascii="Arial" w:cs="Arial" w:eastAsia="Arial" w:hAnsi="Arial"/>
          <w:sz w:val="17"/>
          <w:szCs w:val="17"/>
          <w:color w:val="auto"/>
        </w:rPr>
      </w:pPr>
    </w:p>
    <w:p>
      <w:pPr>
        <w:jc w:val="both"/>
        <w:ind w:left="5" w:firstLine="861"/>
        <w:spacing w:after="0" w:line="278" w:lineRule="auto"/>
        <w:tabs>
          <w:tab w:leader="none" w:pos="128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Holdings may merge or consolidate with any other Person, so long as no Event of Default exists after giving effect to such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7"/>
          <w:szCs w:val="17"/>
          <w:b w:val="1"/>
          <w:bCs w:val="1"/>
          <w:color w:val="auto"/>
        </w:rPr>
        <w:t>Successor</w:t>
      </w:r>
      <w:r>
        <w:rPr>
          <w:rFonts w:ascii="Arial" w:cs="Arial" w:eastAsia="Arial" w:hAnsi="Arial"/>
          <w:sz w:val="17"/>
          <w:szCs w:val="17"/>
          <w:color w:val="auto"/>
        </w:rPr>
        <w:t xml:space="preserve"> </w:t>
      </w:r>
      <w:r>
        <w:rPr>
          <w:rFonts w:ascii="Arial" w:cs="Arial" w:eastAsia="Arial" w:hAnsi="Arial"/>
          <w:sz w:val="17"/>
          <w:szCs w:val="17"/>
          <w:b w:val="1"/>
          <w:bCs w:val="1"/>
          <w:color w:val="auto"/>
        </w:rPr>
        <w:t>Holdings</w:t>
      </w:r>
      <w:r>
        <w:rPr>
          <w:rFonts w:ascii="Arial" w:cs="Arial" w:eastAsia="Arial" w:hAnsi="Arial"/>
          <w:sz w:val="17"/>
          <w:szCs w:val="17"/>
          <w:color w:val="auto"/>
        </w:rPr>
        <w:t>”), (w) the Successor Holdings shall expressly assume all the obligations of Holdings under this Agreement and the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56" w:lineRule="exact"/>
        <w:rPr>
          <w:rFonts w:ascii="Arial" w:cs="Arial" w:eastAsia="Arial" w:hAnsi="Arial"/>
          <w:sz w:val="17"/>
          <w:szCs w:val="17"/>
          <w:color w:val="auto"/>
        </w:rPr>
      </w:pPr>
    </w:p>
    <w:p>
      <w:pPr>
        <w:jc w:val="both"/>
        <w:ind w:left="5" w:firstLine="861"/>
        <w:spacing w:after="0" w:line="273" w:lineRule="auto"/>
        <w:tabs>
          <w:tab w:leader="none" w:pos="13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any Restricted Subsidiary (other than the Borrower) may merge, consolidate or amalgamate with any other Person in order to effect an Investment permitted pursuant to Section 6.04;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spacing w:after="0" w:line="160" w:lineRule="exact"/>
        <w:rPr>
          <w:rFonts w:ascii="Arial" w:cs="Arial" w:eastAsia="Arial" w:hAnsi="Arial"/>
          <w:sz w:val="18"/>
          <w:szCs w:val="18"/>
          <w:color w:val="auto"/>
        </w:rPr>
      </w:pPr>
    </w:p>
    <w:p>
      <w:pPr>
        <w:jc w:val="both"/>
        <w:ind w:left="5" w:firstLine="861"/>
        <w:spacing w:after="0" w:line="259" w:lineRule="auto"/>
        <w:tabs>
          <w:tab w:leader="none" w:pos="1508"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effect a merger, dissolution, liquidation, consolidation or amalgamation to effect a Disposition permitted pursuant to Section 6.05;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other party to such transaction is not a Loan Party, no Default exists after giving effect to the transaction.</w:t>
      </w:r>
    </w:p>
    <w:p>
      <w:pPr>
        <w:spacing w:after="0" w:line="171" w:lineRule="exact"/>
        <w:rPr>
          <w:rFonts w:ascii="Arial" w:cs="Arial" w:eastAsia="Arial" w:hAnsi="Arial"/>
          <w:sz w:val="19"/>
          <w:szCs w:val="19"/>
          <w:color w:val="auto"/>
        </w:rPr>
      </w:pPr>
    </w:p>
    <w:p>
      <w:pPr>
        <w:jc w:val="both"/>
        <w:ind w:left="-635" w:firstLine="635"/>
        <w:spacing w:after="0" w:line="259" w:lineRule="auto"/>
        <w:tabs>
          <w:tab w:leader="none" w:pos="4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Borrower will not, and Holdings and the Borrower will not permit any Restricted Subsidiary to, engage to any material extent in any business other than businesses of the type conducted by the Borrower and the Restricted Subsidiaries (and ITG and its subsidiaries) on the Closing Date or any Similar Business.</w:t>
      </w:r>
    </w:p>
    <w:p>
      <w:pPr>
        <w:sectPr>
          <w:pgSz w:w="11900" w:h="16911" w:orient="portrait"/>
          <w:cols w:equalWidth="0" w:num="1">
            <w:col w:w="10785"/>
          </w:cols>
          <w:pgMar w:left="875" w:top="293" w:right="239" w:bottom="0" w:gutter="0" w:footer="0" w:header="0"/>
        </w:sectPr>
      </w:pPr>
    </w:p>
    <w:bookmarkStart w:id="153" w:name="page154"/>
    <w:bookmarkEnd w:id="153"/>
    <w:p>
      <w:pPr>
        <w:spacing w:after="0" w:line="63" w:lineRule="exact"/>
        <w:rPr>
          <w:sz w:val="20"/>
          <w:szCs w:val="20"/>
          <w:color w:val="auto"/>
        </w:rPr>
      </w:pPr>
    </w:p>
    <w:p>
      <w:pPr>
        <w:jc w:val="both"/>
        <w:ind w:firstLine="635"/>
        <w:spacing w:after="0" w:line="278" w:lineRule="auto"/>
        <w:tabs>
          <w:tab w:leader="none" w:pos="10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this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this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by Section 6.09, (ix) activities incidental to the consummation of the Transactions and (x) activities incidental to the businesses or activities described in clauses (i) to (ix) of this paragraph.</w:t>
      </w:r>
    </w:p>
    <w:p>
      <w:pPr>
        <w:spacing w:after="0" w:line="163" w:lineRule="exact"/>
        <w:rPr>
          <w:rFonts w:ascii="Arial" w:cs="Arial" w:eastAsia="Arial" w:hAnsi="Arial"/>
          <w:sz w:val="17"/>
          <w:szCs w:val="17"/>
          <w:color w:val="auto"/>
        </w:rPr>
      </w:pPr>
    </w:p>
    <w:p>
      <w:pPr>
        <w:jc w:val="both"/>
        <w:ind w:firstLine="635"/>
        <w:spacing w:after="0" w:line="269" w:lineRule="auto"/>
        <w:tabs>
          <w:tab w:leader="none" w:pos="104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Holdings and any Intermediate Parent will not own or acquire any assets (other than Equity Interests as referred to in paragraph (c)(i) above, cash, Permitted Investments, loans and advances made by Holdings or any Intermediate Parent under Section 6.04(b), intercompany Investments permitted to be made by it under Section 6.04 and other assets incidental to its existence and business and activities permitted by this Agreement) or incur any liabilities (other than liabilities as referred to in paragraph (c) above, liabilities imposed by law, including tax liabilities, and other liabilities incidental to its existence and business and activities permitted by this Agreement).</w:t>
      </w:r>
    </w:p>
    <w:p>
      <w:pPr>
        <w:spacing w:after="0" w:line="165" w:lineRule="exact"/>
        <w:rPr>
          <w:rFonts w:ascii="Arial" w:cs="Arial" w:eastAsia="Arial" w:hAnsi="Arial"/>
          <w:sz w:val="18"/>
          <w:szCs w:val="18"/>
          <w:color w:val="auto"/>
        </w:rPr>
      </w:pPr>
    </w:p>
    <w:p>
      <w:pPr>
        <w:ind w:firstLine="635"/>
        <w:spacing w:after="0" w:line="274" w:lineRule="auto"/>
        <w:tabs>
          <w:tab w:leader="none" w:pos="101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6.03, the Transactions (including the Acquisition and the Asset Contributions) shall be permitted.</w:t>
      </w:r>
    </w:p>
    <w:p>
      <w:pPr>
        <w:spacing w:after="0" w:line="157"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Investments, Loans, Advances, Guarantees and Acquisitions.</w:t>
      </w:r>
      <w:r>
        <w:rPr>
          <w:rFonts w:ascii="Arial" w:cs="Arial" w:eastAsia="Arial" w:hAnsi="Arial"/>
          <w:sz w:val="19"/>
          <w:szCs w:val="19"/>
          <w:color w:val="auto"/>
        </w:rPr>
        <w:t xml:space="preserve"> Neither Holdings nor the Borrower will, nor will they permit any Restricted Subsidiary or Intermediate Parent to, make or hold any Investment, except:</w:t>
      </w:r>
    </w:p>
    <w:p>
      <w:pPr>
        <w:spacing w:after="0" w:line="157" w:lineRule="exact"/>
        <w:rPr>
          <w:sz w:val="20"/>
          <w:szCs w:val="20"/>
          <w:color w:val="auto"/>
        </w:rPr>
      </w:pPr>
    </w:p>
    <w:p>
      <w:pPr>
        <w:ind w:left="1020" w:hanging="385"/>
        <w:spacing w:after="0"/>
        <w:tabs>
          <w:tab w:leader="none" w:pos="102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Permitted Investments;</w:t>
      </w:r>
    </w:p>
    <w:p>
      <w:pPr>
        <w:spacing w:after="0" w:line="214" w:lineRule="exact"/>
        <w:rPr>
          <w:rFonts w:ascii="Arial" w:cs="Arial" w:eastAsia="Arial" w:hAnsi="Arial"/>
          <w:sz w:val="19"/>
          <w:szCs w:val="19"/>
          <w:color w:val="auto"/>
        </w:rPr>
      </w:pPr>
    </w:p>
    <w:p>
      <w:pPr>
        <w:jc w:val="both"/>
        <w:ind w:firstLine="635"/>
        <w:spacing w:after="0" w:line="250" w:lineRule="auto"/>
        <w:tabs>
          <w:tab w:leader="none" w:pos="104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$5,000,000;</w:t>
      </w:r>
    </w:p>
    <w:p>
      <w:pPr>
        <w:spacing w:after="0" w:line="183" w:lineRule="exact"/>
        <w:rPr>
          <w:rFonts w:ascii="Arial" w:cs="Arial" w:eastAsia="Arial" w:hAnsi="Arial"/>
          <w:sz w:val="19"/>
          <w:szCs w:val="19"/>
          <w:color w:val="auto"/>
        </w:rPr>
      </w:pPr>
    </w:p>
    <w:p>
      <w:pPr>
        <w:jc w:val="both"/>
        <w:ind w:firstLine="635"/>
        <w:spacing w:after="0" w:line="277" w:lineRule="auto"/>
        <w:tabs>
          <w:tab w:leader="none" w:pos="104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Holdings or any Restricted Subsidiary (A) in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such Investment is made in a Restricted Subsidiary that is not a Loan Party, the aggregate outstanding amount of such Investments made by Loan Parties in Restricted Subsidiaries that are not Loan Parties in reliance on this clause (iii)(A), together with the aggregate outstanding amount of Investments made pursuant to Section 6.04(m) (including any such Investments deemed to have been made pursuant to Section 6.13), in each case, after the Closing Date, shall not exceed the Non-Loan Party Investment Amount at such time,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spacing w:after="0" w:line="167" w:lineRule="exact"/>
        <w:rPr>
          <w:rFonts w:ascii="Arial" w:cs="Arial" w:eastAsia="Arial" w:hAnsi="Arial"/>
          <w:sz w:val="17"/>
          <w:szCs w:val="17"/>
          <w:color w:val="auto"/>
        </w:rPr>
      </w:pPr>
    </w:p>
    <w:p>
      <w:pPr>
        <w:ind w:left="1040" w:hanging="405"/>
        <w:spacing w:after="0"/>
        <w:tabs>
          <w:tab w:leader="none" w:pos="10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Investments consisting of extensions of trade credit in the ordinary course of business;</w:t>
      </w:r>
    </w:p>
    <w:p>
      <w:pPr>
        <w:spacing w:after="0" w:line="214" w:lineRule="exact"/>
        <w:rPr>
          <w:rFonts w:ascii="Arial" w:cs="Arial" w:eastAsia="Arial" w:hAnsi="Arial"/>
          <w:sz w:val="19"/>
          <w:szCs w:val="19"/>
          <w:color w:val="auto"/>
        </w:rPr>
      </w:pPr>
    </w:p>
    <w:p>
      <w:pPr>
        <w:jc w:val="both"/>
        <w:ind w:firstLine="635"/>
        <w:spacing w:after="0" w:line="252" w:lineRule="auto"/>
        <w:tabs>
          <w:tab w:leader="none" w:pos="107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Investments (i) existing or contemplated on the Closing Date and set forth on Schedule 6.04(e) and any modification, replacement, renewal, reinvestment or extension thereof and (ii) existing on the Closing Date by Holdings, the Borrower or any Restricted Subsidiary in the Borrower or any Restricted Subsidiary and any modification, renewal or extension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 amount of the original Investment is not increased except by the terms of such Investment to the extent as set forth on Schedule 6.04(e) or as otherwise permitted by this Section 6.04;</w:t>
      </w:r>
    </w:p>
    <w:p>
      <w:pPr>
        <w:spacing w:after="0" w:line="178" w:lineRule="exact"/>
        <w:rPr>
          <w:rFonts w:ascii="Arial" w:cs="Arial" w:eastAsia="Arial" w:hAnsi="Arial"/>
          <w:sz w:val="19"/>
          <w:szCs w:val="19"/>
          <w:color w:val="auto"/>
        </w:rPr>
      </w:pPr>
    </w:p>
    <w:p>
      <w:pPr>
        <w:ind w:left="1000" w:hanging="365"/>
        <w:spacing w:after="0"/>
        <w:tabs>
          <w:tab w:leader="none" w:pos="10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Investments in Swap Agreements permitted under Section 6.07;</w:t>
      </w:r>
    </w:p>
    <w:p>
      <w:pPr>
        <w:spacing w:after="0" w:line="214" w:lineRule="exact"/>
        <w:rPr>
          <w:rFonts w:ascii="Arial" w:cs="Arial" w:eastAsia="Arial" w:hAnsi="Arial"/>
          <w:sz w:val="19"/>
          <w:szCs w:val="19"/>
          <w:color w:val="auto"/>
        </w:rPr>
      </w:pPr>
    </w:p>
    <w:p>
      <w:pPr>
        <w:ind w:left="1040" w:hanging="405"/>
        <w:spacing w:after="0"/>
        <w:tabs>
          <w:tab w:leader="none" w:pos="10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promissory notes and other non-cash consideration received in connection with Dispositions permitted by Section 6.05;</w:t>
      </w:r>
    </w:p>
    <w:p>
      <w:pPr>
        <w:spacing w:after="0" w:line="214" w:lineRule="exact"/>
        <w:rPr>
          <w:rFonts w:ascii="Arial" w:cs="Arial" w:eastAsia="Arial" w:hAnsi="Arial"/>
          <w:sz w:val="19"/>
          <w:szCs w:val="19"/>
          <w:color w:val="auto"/>
        </w:rPr>
      </w:pPr>
    </w:p>
    <w:p>
      <w:pPr>
        <w:jc w:val="both"/>
        <w:ind w:firstLine="635"/>
        <w:spacing w:after="0" w:line="249" w:lineRule="auto"/>
        <w:tabs>
          <w:tab w:leader="none" w:pos="106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Permitted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outstanding amount of Investments made by Loan Parties after the Closing Date by Holdings, any Intermediate Parent, the Borrower or any other Loan Party (including any Indebtedness incurred by any such Person to finance any portion of such consideration) in reliance on this Section 6.04(h) (together with any Investments made in Subsidiaries that are not Loan Parties pursuant to Section 6.04(c)(iii)(A), Investments deemed to be made pursuant to Section 6.13 and the amount of Investments and acquisitions made pursuant to Section 6.04(m), in each case, after the Closing Date) for Permitted Acquisitions (including the aggregate principal amount of all Indebtedness assumed in connection with Permitted Acquisitions) of any Restricted Subsidiary (other than a Regulated Subsidiary) that shall not be or, after giving effect to such Permitted Acquisition, shall not become, a Loan Party, shall not exceed the Non-Loan Party Investment Amount at such time;</w:t>
      </w:r>
    </w:p>
    <w:p>
      <w:pPr>
        <w:sectPr>
          <w:pgSz w:w="11900" w:h="16901" w:orient="portrait"/>
          <w:cols w:equalWidth="0" w:num="1">
            <w:col w:w="11420"/>
          </w:cols>
          <w:pgMar w:left="240" w:top="306" w:right="239" w:bottom="0" w:gutter="0" w:footer="0" w:header="0"/>
        </w:sectPr>
      </w:pPr>
    </w:p>
    <w:bookmarkStart w:id="154" w:name="page155"/>
    <w:bookmarkEnd w:id="154"/>
    <w:p>
      <w:pPr>
        <w:spacing w:after="0" w:line="16" w:lineRule="exact"/>
        <w:rPr>
          <w:sz w:val="20"/>
          <w:szCs w:val="20"/>
          <w:color w:val="auto"/>
        </w:rPr>
      </w:pPr>
    </w:p>
    <w:p>
      <w:pPr>
        <w:ind w:firstLine="635"/>
        <w:spacing w:after="0" w:line="303" w:lineRule="auto"/>
        <w:tabs>
          <w:tab w:leader="none" w:pos="10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33" w:lineRule="exact"/>
        <w:rPr>
          <w:rFonts w:ascii="Arial" w:cs="Arial" w:eastAsia="Arial" w:hAnsi="Arial"/>
          <w:sz w:val="18"/>
          <w:szCs w:val="18"/>
          <w:color w:val="auto"/>
        </w:rPr>
      </w:pPr>
    </w:p>
    <w:p>
      <w:pPr>
        <w:jc w:val="both"/>
        <w:ind w:firstLine="635"/>
        <w:spacing w:after="0" w:line="259" w:lineRule="auto"/>
        <w:tabs>
          <w:tab w:leader="none" w:pos="98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04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71" w:lineRule="exact"/>
        <w:rPr>
          <w:rFonts w:ascii="Arial" w:cs="Arial" w:eastAsia="Arial" w:hAnsi="Arial"/>
          <w:sz w:val="19"/>
          <w:szCs w:val="19"/>
          <w:color w:val="auto"/>
        </w:rPr>
      </w:pPr>
    </w:p>
    <w:p>
      <w:pPr>
        <w:jc w:val="both"/>
        <w:ind w:firstLine="635"/>
        <w:spacing w:after="0" w:line="280" w:lineRule="auto"/>
        <w:tabs>
          <w:tab w:leader="none" w:pos="98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additional Investments and acquisitions so long as (i) immediately after giving effect to any such Investment or acquisition no Event of Default shall have occurred and be continuing and (ii) after giving to such Investment or acquisition, the Total Leverage Ratio calculated on a Pro Forma Basis as of the end of the most recent Test Period for which financial statements are available is less than or equal to 1.75 to 1.00;</w:t>
      </w:r>
    </w:p>
    <w:p>
      <w:pPr>
        <w:spacing w:after="0" w:line="154" w:lineRule="exact"/>
        <w:rPr>
          <w:rFonts w:ascii="Arial" w:cs="Arial" w:eastAsia="Arial" w:hAnsi="Arial"/>
          <w:sz w:val="18"/>
          <w:szCs w:val="18"/>
          <w:color w:val="auto"/>
        </w:rPr>
      </w:pPr>
    </w:p>
    <w:p>
      <w:pPr>
        <w:jc w:val="both"/>
        <w:ind w:firstLine="635"/>
        <w:spacing w:after="0" w:line="250" w:lineRule="auto"/>
        <w:tabs>
          <w:tab w:leader="none" w:pos="109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additional Investments in Restricted Subsidiaries that are not Loan Parties and in Unrestricted Subsidiaries so long as (i) immediately after giving effect to any such Investment or acquisition, no Event of Default shall have occurred and be continuing and (ii) at the time any such Investment is made, the aggregate outstanding amount of Investments made after the Closing Date in reliance on this clause (m) (including any such Investments deemed to have been made pursuant to Section 6.13), together with the aggregate outstanding amount of Investments made after the Closing Date in Subsidiaries that are not Loan Parties pursuant to Section 6.04(c)(iii)(A), shall not exceed the Non-Loan Party Investment Amount at such time;</w:t>
      </w:r>
    </w:p>
    <w:p>
      <w:pPr>
        <w:spacing w:after="0" w:line="183" w:lineRule="exact"/>
        <w:rPr>
          <w:rFonts w:ascii="Arial" w:cs="Arial" w:eastAsia="Arial" w:hAnsi="Arial"/>
          <w:sz w:val="19"/>
          <w:szCs w:val="19"/>
          <w:color w:val="auto"/>
        </w:rPr>
      </w:pPr>
    </w:p>
    <w:p>
      <w:pPr>
        <w:ind w:firstLine="635"/>
        <w:spacing w:after="0" w:line="303" w:lineRule="auto"/>
        <w:tabs>
          <w:tab w:leader="none" w:pos="10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Investments in an amount not exceed (i) the greater of $225,000,000 and 30% of Consolidated EBITDA for the most recently ended Test Period for which financial statements are available, plus (ii) the Cumulative Credit at the time of any such Investment;</w:t>
      </w:r>
    </w:p>
    <w:p>
      <w:pPr>
        <w:spacing w:after="0" w:line="133" w:lineRule="exact"/>
        <w:rPr>
          <w:rFonts w:ascii="Arial" w:cs="Arial" w:eastAsia="Arial" w:hAnsi="Arial"/>
          <w:sz w:val="18"/>
          <w:szCs w:val="18"/>
          <w:color w:val="auto"/>
        </w:rPr>
      </w:pPr>
    </w:p>
    <w:p>
      <w:pPr>
        <w:ind w:left="1040" w:hanging="405"/>
        <w:spacing w:after="0"/>
        <w:tabs>
          <w:tab w:leader="none" w:pos="104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advances of payroll payments to employees in the ordinary course of business;</w:t>
      </w:r>
    </w:p>
    <w:p>
      <w:pPr>
        <w:spacing w:after="0" w:line="214" w:lineRule="exact"/>
        <w:rPr>
          <w:rFonts w:ascii="Arial" w:cs="Arial" w:eastAsia="Arial" w:hAnsi="Arial"/>
          <w:sz w:val="19"/>
          <w:szCs w:val="19"/>
          <w:color w:val="auto"/>
        </w:rPr>
      </w:pPr>
    </w:p>
    <w:p>
      <w:pPr>
        <w:ind w:firstLine="635"/>
        <w:spacing w:after="0" w:line="274" w:lineRule="auto"/>
        <w:tabs>
          <w:tab w:leader="none" w:pos="110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and other acquisitions to the extent that payment for such Investments is made solely with Qualified Equity Interests (excluding Cure Amounts) of Holdings (or any direct or indirect parent thereof);</w:t>
      </w:r>
    </w:p>
    <w:p>
      <w:pPr>
        <w:spacing w:after="0" w:line="157" w:lineRule="exact"/>
        <w:rPr>
          <w:rFonts w:ascii="Arial" w:cs="Arial" w:eastAsia="Arial" w:hAnsi="Arial"/>
          <w:sz w:val="19"/>
          <w:szCs w:val="19"/>
          <w:color w:val="auto"/>
        </w:rPr>
      </w:pPr>
    </w:p>
    <w:p>
      <w:pPr>
        <w:jc w:val="both"/>
        <w:ind w:firstLine="635"/>
        <w:spacing w:after="0" w:line="294" w:lineRule="auto"/>
        <w:tabs>
          <w:tab w:leader="none" w:pos="104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Investments of a Subsidiary acquired after the Closing Date or of a Person merged or consolidated with any Subsidiary in accordance with this Section and Section 6.03 after the Closing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44" w:lineRule="exact"/>
        <w:rPr>
          <w:rFonts w:ascii="Arial" w:cs="Arial" w:eastAsia="Arial" w:hAnsi="Arial"/>
          <w:sz w:val="17"/>
          <w:szCs w:val="17"/>
          <w:color w:val="auto"/>
        </w:rPr>
      </w:pPr>
    </w:p>
    <w:p>
      <w:pPr>
        <w:ind w:left="1000" w:hanging="365"/>
        <w:spacing w:after="0"/>
        <w:tabs>
          <w:tab w:leader="none" w:pos="10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made or acquired in the ordinary course trading activities of the Borrower and its Restricted Subsidiaries;</w:t>
      </w:r>
    </w:p>
    <w:p>
      <w:pPr>
        <w:spacing w:after="0" w:line="214" w:lineRule="exact"/>
        <w:rPr>
          <w:rFonts w:ascii="Arial" w:cs="Arial" w:eastAsia="Arial" w:hAnsi="Arial"/>
          <w:sz w:val="19"/>
          <w:szCs w:val="19"/>
          <w:color w:val="auto"/>
        </w:rPr>
      </w:pPr>
    </w:p>
    <w:p>
      <w:pPr>
        <w:ind w:firstLine="635"/>
        <w:spacing w:after="0" w:line="274" w:lineRule="auto"/>
        <w:tabs>
          <w:tab w:leader="none" w:pos="111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non-cash Investments in connection with tax planning and reorganization activities;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activities, the security interests of the Lenders in the Collateral, taken as a whole, would not be materially impaired;</w:t>
      </w:r>
    </w:p>
    <w:p>
      <w:pPr>
        <w:spacing w:after="0" w:line="157" w:lineRule="exact"/>
        <w:rPr>
          <w:rFonts w:ascii="Arial" w:cs="Arial" w:eastAsia="Arial" w:hAnsi="Arial"/>
          <w:sz w:val="19"/>
          <w:szCs w:val="19"/>
          <w:color w:val="auto"/>
        </w:rPr>
      </w:pPr>
    </w:p>
    <w:p>
      <w:pPr>
        <w:ind w:firstLine="635"/>
        <w:spacing w:after="0" w:line="274" w:lineRule="auto"/>
        <w:tabs>
          <w:tab w:leader="none" w:pos="102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to the extent constituting Investments, any purchase, acquisition, license or lease of Intellectual Property in each case in the ordinary course of business;</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06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Investments in any Foreign Subsidiary made for the purposes of providing such Foreign Subsidiary the necessary capital to comply with any capital or margin requirements of a Regulatory Supervisory Organization;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outstanding amount of Investments made pursuant to this clause shall not exceed $25,000,000 at any time;</w:t>
      </w:r>
    </w:p>
    <w:p>
      <w:pPr>
        <w:spacing w:after="0" w:line="171" w:lineRule="exact"/>
        <w:rPr>
          <w:rFonts w:ascii="Arial" w:cs="Arial" w:eastAsia="Arial" w:hAnsi="Arial"/>
          <w:sz w:val="19"/>
          <w:szCs w:val="19"/>
          <w:color w:val="auto"/>
        </w:rPr>
      </w:pPr>
    </w:p>
    <w:p>
      <w:pPr>
        <w:ind w:firstLine="635"/>
        <w:spacing w:after="0" w:line="274" w:lineRule="auto"/>
        <w:tabs>
          <w:tab w:leader="none" w:pos="106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as a result of the Transactions, including, without limitation, Investments of a Subsidiary acquired in the Acquisition to the extent that such Investments are in existence on the Closing Date;</w:t>
      </w:r>
    </w:p>
    <w:p>
      <w:pPr>
        <w:spacing w:after="0" w:line="157" w:lineRule="exact"/>
        <w:rPr>
          <w:rFonts w:ascii="Arial" w:cs="Arial" w:eastAsia="Arial" w:hAnsi="Arial"/>
          <w:sz w:val="19"/>
          <w:szCs w:val="19"/>
          <w:color w:val="auto"/>
        </w:rPr>
      </w:pPr>
    </w:p>
    <w:p>
      <w:pPr>
        <w:ind w:firstLine="635"/>
        <w:spacing w:after="0" w:line="274" w:lineRule="auto"/>
        <w:tabs>
          <w:tab w:leader="none" w:pos="111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in Joint Ventures in an amount not exceed the greater of $190,000,000 and 25% of Consolidated EBITDA for the most recently ended Test Period for which financial statements are available; and</w:t>
      </w:r>
    </w:p>
    <w:p>
      <w:pPr>
        <w:spacing w:after="0" w:line="157" w:lineRule="exact"/>
        <w:rPr>
          <w:rFonts w:ascii="Arial" w:cs="Arial" w:eastAsia="Arial" w:hAnsi="Arial"/>
          <w:sz w:val="19"/>
          <w:szCs w:val="19"/>
          <w:color w:val="auto"/>
        </w:rPr>
      </w:pPr>
    </w:p>
    <w:p>
      <w:pPr>
        <w:jc w:val="both"/>
        <w:ind w:firstLine="635"/>
        <w:spacing w:after="0" w:line="259" w:lineRule="auto"/>
        <w:tabs>
          <w:tab w:leader="none" w:pos="113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Investments in market structure companies, including securities exchanges, venues and clearing firms,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Investments at any one time outstanding under this clause (u) in any such market structure company shall not exceed $25,000,000.</w:t>
      </w:r>
    </w:p>
    <w:p>
      <w:pPr>
        <w:spacing w:after="0" w:line="172"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Asset Sales.</w:t>
      </w:r>
      <w:r>
        <w:rPr>
          <w:rFonts w:ascii="Arial" w:cs="Arial" w:eastAsia="Arial" w:hAnsi="Arial"/>
          <w:sz w:val="18"/>
          <w:szCs w:val="18"/>
          <w:color w:val="auto"/>
        </w:rPr>
        <w:t xml:space="preserve"> Neither Holdings nor the Borrower will, nor will they permit any Restricted Subsidiary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18"/>
          <w:szCs w:val="18"/>
          <w:b w:val="1"/>
          <w:bCs w:val="1"/>
          <w:color w:val="auto"/>
        </w:rPr>
        <w:t>Disposition</w:t>
      </w:r>
      <w:r>
        <w:rPr>
          <w:rFonts w:ascii="Arial" w:cs="Arial" w:eastAsia="Arial" w:hAnsi="Arial"/>
          <w:sz w:val="18"/>
          <w:szCs w:val="18"/>
          <w:color w:val="auto"/>
        </w:rPr>
        <w:t>”), except:</w:t>
      </w:r>
    </w:p>
    <w:p>
      <w:pPr>
        <w:spacing w:after="0" w:line="166" w:lineRule="exact"/>
        <w:rPr>
          <w:sz w:val="20"/>
          <w:szCs w:val="20"/>
          <w:color w:val="auto"/>
        </w:rPr>
      </w:pPr>
    </w:p>
    <w:p>
      <w:pPr>
        <w:jc w:val="both"/>
        <w:ind w:firstLine="635"/>
        <w:spacing w:after="0" w:line="259" w:lineRule="auto"/>
        <w:tabs>
          <w:tab w:leader="none" w:pos="111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Dispositions of obsolete or worn out property, whether now owned or hereafter acquired, in the ordinary course of business and Dispositions of property (including abandonment of Intellectual Property) no longer used or useful in the conduct of the business of Holdings, any Intermediate Parent, the Borrower and its Restricted Subsidiaries;</w:t>
      </w:r>
    </w:p>
    <w:p>
      <w:pPr>
        <w:spacing w:after="0" w:line="171" w:lineRule="exact"/>
        <w:rPr>
          <w:rFonts w:ascii="Arial" w:cs="Arial" w:eastAsia="Arial" w:hAnsi="Arial"/>
          <w:sz w:val="19"/>
          <w:szCs w:val="19"/>
          <w:color w:val="auto"/>
        </w:rPr>
      </w:pPr>
    </w:p>
    <w:p>
      <w:pPr>
        <w:ind w:left="1040" w:hanging="405"/>
        <w:spacing w:after="0"/>
        <w:tabs>
          <w:tab w:leader="none" w:pos="10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Dispositions of inventory and other assets in the ordinary course of business;</w:t>
      </w:r>
    </w:p>
    <w:p>
      <w:pPr>
        <w:spacing w:after="0" w:line="214" w:lineRule="exact"/>
        <w:rPr>
          <w:rFonts w:ascii="Arial" w:cs="Arial" w:eastAsia="Arial" w:hAnsi="Arial"/>
          <w:sz w:val="19"/>
          <w:szCs w:val="19"/>
          <w:color w:val="auto"/>
        </w:rPr>
      </w:pPr>
    </w:p>
    <w:p>
      <w:pPr>
        <w:ind w:firstLine="635"/>
        <w:spacing w:after="0" w:line="274" w:lineRule="auto"/>
        <w:tabs>
          <w:tab w:leader="none" w:pos="105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57" w:lineRule="exact"/>
        <w:rPr>
          <w:rFonts w:ascii="Arial" w:cs="Arial" w:eastAsia="Arial" w:hAnsi="Arial"/>
          <w:sz w:val="19"/>
          <w:szCs w:val="19"/>
          <w:color w:val="auto"/>
        </w:rPr>
      </w:pPr>
    </w:p>
    <w:p>
      <w:pPr>
        <w:jc w:val="both"/>
        <w:ind w:firstLine="635"/>
        <w:spacing w:after="0" w:line="335" w:lineRule="auto"/>
        <w:tabs>
          <w:tab w:leader="none" w:pos="109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Dispositions of property to the Borrower or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transferor in such a transaction is a Loan Party, then (i) the transferee must be a Loan Party or (ii) if the transferee is not a Loan Party, then (A) to the extent constituting an Investment, such</w:t>
      </w:r>
    </w:p>
    <w:p>
      <w:pPr>
        <w:sectPr>
          <w:pgSz w:w="11900" w:h="16854" w:orient="portrait"/>
          <w:cols w:equalWidth="0" w:num="1">
            <w:col w:w="11420"/>
          </w:cols>
          <w:pgMar w:left="240" w:top="306" w:right="239" w:bottom="0" w:gutter="0" w:footer="0" w:header="0"/>
        </w:sectPr>
      </w:pPr>
    </w:p>
    <w:bookmarkStart w:id="155" w:name="page156"/>
    <w:bookmarkEnd w:id="155"/>
    <w:p>
      <w:pPr>
        <w:jc w:val="both"/>
        <w:spacing w:after="0" w:line="260" w:lineRule="auto"/>
        <w:rPr>
          <w:sz w:val="20"/>
          <w:szCs w:val="20"/>
          <w:color w:val="auto"/>
        </w:rPr>
      </w:pPr>
      <w:r>
        <w:rPr>
          <w:rFonts w:ascii="Arial" w:cs="Arial" w:eastAsia="Arial" w:hAnsi="Arial"/>
          <w:sz w:val="19"/>
          <w:szCs w:val="19"/>
          <w:color w:val="auto"/>
        </w:rPr>
        <w:t>Investment must be a permitted Investment in a Restricted Subsidiary that is not a Loan Party in accordance with Section 6.04 or (B) to the extent constituting a Disposition, such Disposition is for fair value and any promissory note or other non-cash consideration received in respect thereof is a permitted investment in a Restricted Subsidiary that is not a Loan Party in accordance with Section 6.04;</w:t>
      </w:r>
    </w:p>
    <w:p>
      <w:pPr>
        <w:spacing w:after="0" w:line="170" w:lineRule="exact"/>
        <w:rPr>
          <w:sz w:val="20"/>
          <w:szCs w:val="20"/>
          <w:color w:val="auto"/>
        </w:rPr>
      </w:pPr>
    </w:p>
    <w:p>
      <w:pPr>
        <w:ind w:firstLine="635"/>
        <w:spacing w:after="0" w:line="274" w:lineRule="auto"/>
        <w:tabs>
          <w:tab w:leader="none" w:pos="1045"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permitted by Section 6.03 (other than Section 6.03(a)(vii)), Investments permitted by Section 6.04, Restricted Payments permitted by Section 6.08 and Liens permitted by Section 6.02;</w:t>
      </w:r>
    </w:p>
    <w:p>
      <w:pPr>
        <w:spacing w:after="0" w:line="157" w:lineRule="exact"/>
        <w:rPr>
          <w:rFonts w:ascii="Arial" w:cs="Arial" w:eastAsia="Arial" w:hAnsi="Arial"/>
          <w:sz w:val="19"/>
          <w:szCs w:val="19"/>
          <w:color w:val="auto"/>
        </w:rPr>
      </w:pPr>
    </w:p>
    <w:p>
      <w:pPr>
        <w:ind w:firstLine="635"/>
        <w:spacing w:after="0" w:line="274" w:lineRule="auto"/>
        <w:tabs>
          <w:tab w:leader="none" w:pos="103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of property acquired by Holdings, the Borrower or any of its Restricted Subsidiaries after the Closing Date pursuant to sale-leaseback transactions permitted by Section 6.06;</w:t>
      </w:r>
    </w:p>
    <w:p>
      <w:pPr>
        <w:spacing w:after="0" w:line="157" w:lineRule="exact"/>
        <w:rPr>
          <w:rFonts w:ascii="Arial" w:cs="Arial" w:eastAsia="Arial" w:hAnsi="Arial"/>
          <w:sz w:val="19"/>
          <w:szCs w:val="19"/>
          <w:color w:val="auto"/>
        </w:rPr>
      </w:pPr>
    </w:p>
    <w:p>
      <w:pPr>
        <w:ind w:left="1040" w:hanging="405"/>
        <w:spacing w:after="0"/>
        <w:tabs>
          <w:tab w:leader="none" w:pos="104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of Permitted Investments;</w:t>
      </w:r>
    </w:p>
    <w:p>
      <w:pPr>
        <w:spacing w:after="0" w:line="214" w:lineRule="exact"/>
        <w:rPr>
          <w:rFonts w:ascii="Arial" w:cs="Arial" w:eastAsia="Arial" w:hAnsi="Arial"/>
          <w:sz w:val="19"/>
          <w:szCs w:val="19"/>
          <w:color w:val="auto"/>
        </w:rPr>
      </w:pPr>
    </w:p>
    <w:p>
      <w:pPr>
        <w:ind w:left="1040" w:hanging="405"/>
        <w:spacing w:after="0"/>
        <w:tabs>
          <w:tab w:leader="none" w:pos="104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of accounts receivable in connection with the collection or compromise thereof;</w:t>
      </w:r>
    </w:p>
    <w:p>
      <w:pPr>
        <w:spacing w:after="0" w:line="214" w:lineRule="exact"/>
        <w:rPr>
          <w:rFonts w:ascii="Arial" w:cs="Arial" w:eastAsia="Arial" w:hAnsi="Arial"/>
          <w:sz w:val="19"/>
          <w:szCs w:val="19"/>
          <w:color w:val="auto"/>
        </w:rPr>
      </w:pPr>
    </w:p>
    <w:p>
      <w:pPr>
        <w:jc w:val="both"/>
        <w:ind w:firstLine="635"/>
        <w:spacing w:after="0" w:line="259" w:lineRule="auto"/>
        <w:tabs>
          <w:tab w:leader="none" w:pos="1091" w:val="left"/>
        </w:tabs>
        <w:numPr>
          <w:ilvl w:val="1"/>
          <w:numId w:val="133"/>
        </w:numPr>
        <w:rPr>
          <w:rFonts w:ascii="Arial" w:cs="Arial" w:eastAsia="Arial" w:hAnsi="Arial"/>
          <w:sz w:val="19"/>
          <w:szCs w:val="19"/>
          <w:color w:val="auto"/>
        </w:rPr>
      </w:pPr>
      <w:r>
        <w:rPr>
          <w:rFonts w:ascii="Arial" w:cs="Arial" w:eastAsia="Arial" w:hAnsi="Arial"/>
          <w:sz w:val="19"/>
          <w:szCs w:val="19"/>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71" w:lineRule="exact"/>
        <w:rPr>
          <w:rFonts w:ascii="Arial" w:cs="Arial" w:eastAsia="Arial" w:hAnsi="Arial"/>
          <w:sz w:val="19"/>
          <w:szCs w:val="19"/>
          <w:color w:val="auto"/>
        </w:rPr>
      </w:pPr>
    </w:p>
    <w:p>
      <w:pPr>
        <w:ind w:left="1000" w:hanging="365"/>
        <w:spacing w:after="0"/>
        <w:tabs>
          <w:tab w:leader="none" w:pos="10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transfers of property subject to Casualty Events upon receipt of the Net Proceeds of such Casualty Event;</w:t>
      </w:r>
    </w:p>
    <w:p>
      <w:pPr>
        <w:spacing w:after="0" w:line="214" w:lineRule="exact"/>
        <w:rPr>
          <w:rFonts w:ascii="Arial" w:cs="Arial" w:eastAsia="Arial" w:hAnsi="Arial"/>
          <w:sz w:val="19"/>
          <w:szCs w:val="19"/>
          <w:color w:val="auto"/>
        </w:rPr>
      </w:pPr>
    </w:p>
    <w:p>
      <w:pPr>
        <w:jc w:val="both"/>
        <w:ind w:firstLine="635"/>
        <w:spacing w:after="0" w:line="277" w:lineRule="auto"/>
        <w:tabs>
          <w:tab w:leader="none" w:pos="102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Event of Default shall exist at the time of, or would result from, such Disposition (other than any such Disposition made pursuant to a legally binding commitment entered into at a time when no Event of Default existed or would have resulted from such Disposition) and (ii) with respect to any Disposition pursuant to this clause (k) for a purchase price in excess of $5,000,000, Holdings, the Borrower or a Restricted Subsidiary shall receive not less than 75% of such consideration in the form of cash or Permitted Investments;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purposes of this clause (ii),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that is at that time outstanding, not in excess of the greater of $50,000,000 and 6.10% of Consolidated EBITDA for the most recently ended Test Period for which financial statements are available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165" w:lineRule="exact"/>
        <w:rPr>
          <w:rFonts w:ascii="Arial" w:cs="Arial" w:eastAsia="Arial" w:hAnsi="Arial"/>
          <w:sz w:val="17"/>
          <w:szCs w:val="17"/>
          <w:color w:val="auto"/>
        </w:rPr>
      </w:pPr>
    </w:p>
    <w:p>
      <w:pPr>
        <w:ind w:firstLine="635"/>
        <w:spacing w:after="0" w:line="274" w:lineRule="auto"/>
        <w:tabs>
          <w:tab w:leader="none" w:pos="98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7" w:lineRule="exact"/>
        <w:rPr>
          <w:rFonts w:ascii="Arial" w:cs="Arial" w:eastAsia="Arial" w:hAnsi="Arial"/>
          <w:sz w:val="19"/>
          <w:szCs w:val="19"/>
          <w:color w:val="auto"/>
        </w:rPr>
      </w:pPr>
    </w:p>
    <w:p>
      <w:pPr>
        <w:ind w:left="1080" w:hanging="445"/>
        <w:spacing w:after="0"/>
        <w:tabs>
          <w:tab w:leader="none" w:pos="108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Dispositions of assets listed on Schedule 6.05;</w:t>
      </w:r>
    </w:p>
    <w:p>
      <w:pPr>
        <w:spacing w:after="0" w:line="214" w:lineRule="exact"/>
        <w:rPr>
          <w:rFonts w:ascii="Arial" w:cs="Arial" w:eastAsia="Arial" w:hAnsi="Arial"/>
          <w:sz w:val="19"/>
          <w:szCs w:val="19"/>
          <w:color w:val="auto"/>
        </w:rPr>
      </w:pPr>
    </w:p>
    <w:p>
      <w:pPr>
        <w:jc w:val="both"/>
        <w:ind w:firstLine="635"/>
        <w:spacing w:after="0" w:line="267" w:lineRule="auto"/>
        <w:tabs>
          <w:tab w:leader="none" w:pos="12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Dispositions of non-core assets acquired in (i) a Permitted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assets were identified to the Administrative Agent in writing as non-core assets within thirty days of the time that the applicable Permitted Acquisition was consummated and</w:t>
      </w:r>
    </w:p>
    <w:p>
      <w:pPr>
        <w:spacing w:after="0" w:line="1" w:lineRule="exact"/>
        <w:rPr>
          <w:rFonts w:ascii="Arial" w:cs="Arial" w:eastAsia="Arial" w:hAnsi="Arial"/>
          <w:sz w:val="18"/>
          <w:szCs w:val="18"/>
          <w:color w:val="auto"/>
        </w:rPr>
      </w:pPr>
    </w:p>
    <w:p>
      <w:pPr>
        <w:ind w:firstLine="5"/>
        <w:spacing w:after="0" w:line="257" w:lineRule="auto"/>
        <w:tabs>
          <w:tab w:leader="none" w:pos="32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such Disposition is consummated within one year after the date on which the applicable Permitted Acquisition was consummated, or (ii) the Acquisition; and</w:t>
      </w:r>
    </w:p>
    <w:p>
      <w:pPr>
        <w:spacing w:after="0" w:line="172" w:lineRule="exact"/>
        <w:rPr>
          <w:rFonts w:ascii="Arial" w:cs="Arial" w:eastAsia="Arial" w:hAnsi="Arial"/>
          <w:sz w:val="19"/>
          <w:szCs w:val="19"/>
          <w:color w:val="auto"/>
        </w:rPr>
      </w:pPr>
    </w:p>
    <w:p>
      <w:pPr>
        <w:ind w:firstLine="635"/>
        <w:spacing w:after="0" w:line="274" w:lineRule="auto"/>
        <w:tabs>
          <w:tab w:leader="none" w:pos="109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Dispositions of securities, Swap Agreements and other financial instruments as part of the ordinary course trading business of the Borrower and its Restricted Subsidiaries;</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Disposition of any property pursuant to this Section 6.05 (except pursuant to Section 6.05(e) and except for Dispositions by a</w:t>
      </w:r>
      <w:r>
        <w:rPr>
          <w:rFonts w:ascii="Arial" w:cs="Arial" w:eastAsia="Arial" w:hAnsi="Arial"/>
          <w:sz w:val="18"/>
          <w:szCs w:val="18"/>
          <w:i w:val="1"/>
          <w:iCs w:val="1"/>
          <w:color w:val="auto"/>
        </w:rPr>
        <w:t xml:space="preserve"> </w:t>
      </w:r>
      <w:r>
        <w:rPr>
          <w:rFonts w:ascii="Arial" w:cs="Arial" w:eastAsia="Arial" w:hAnsi="Arial"/>
          <w:sz w:val="18"/>
          <w:szCs w:val="18"/>
          <w:color w:val="auto"/>
        </w:rPr>
        <w:t>Loan Party to another Loan Party), shall be for no less than the fair market value of such property at the time of such Disposition.</w:t>
      </w:r>
    </w:p>
    <w:p>
      <w:pPr>
        <w:spacing w:after="0" w:line="13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xml:space="preserve"> Neither Holdings nor the Borrower will, nor will they permit any Restricted Subsidiary or Intermediate Parent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Restricted Subsidiary that is made for cash consideration in an amount not less than the fair value of such fixed or capital asset and is consummated within 270 days after the Borrower or such Restricted Subsidiary, as applicable, acquires or completes the construction of such fixed or capital asset;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sale and leaseback results in a Capital Lease Obligation, such Capital Lease Obligation is permitted by Section 6.01 and any Lien made the subject of such Capital Lease Obligation is permitted by Section 6.02.</w:t>
      </w:r>
    </w:p>
    <w:p>
      <w:pPr>
        <w:spacing w:after="0" w:line="167"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i w:val="1"/>
          <w:iCs w:val="1"/>
          <w:color w:val="auto"/>
        </w:rPr>
        <w:t>Swap Agreements.</w:t>
      </w:r>
      <w:r>
        <w:rPr>
          <w:rFonts w:ascii="Arial" w:cs="Arial" w:eastAsia="Arial" w:hAnsi="Arial"/>
          <w:sz w:val="19"/>
          <w:szCs w:val="19"/>
          <w:color w:val="auto"/>
        </w:rPr>
        <w:t xml:space="preserve"> Neither Holdings nor the Borrower will, nor will they permit any Restricted Subsidiary 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Swap Agreement entered into pursuant to this clause (a) shall be entered into in the ordinary course of business and not for speculative purposes and (b) Swap Agreements entered into in the ordinary course trading business of the Borrower or any Restricted Subsidiary.</w:t>
      </w:r>
    </w:p>
    <w:p>
      <w:pPr>
        <w:spacing w:after="0" w:line="18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6.08.</w:t>
      </w:r>
      <w:r>
        <w:rPr>
          <w:sz w:val="20"/>
          <w:szCs w:val="20"/>
          <w:color w:val="auto"/>
        </w:rPr>
        <w:tab/>
      </w:r>
      <w:r>
        <w:rPr>
          <w:rFonts w:ascii="Arial" w:cs="Arial" w:eastAsia="Arial" w:hAnsi="Arial"/>
          <w:sz w:val="17"/>
          <w:szCs w:val="17"/>
          <w:i w:val="1"/>
          <w:iCs w:val="1"/>
          <w:color w:val="auto"/>
        </w:rPr>
        <w:t>Restricted Payments; Certain Payments of Indebtedness</w:t>
      </w:r>
      <w:r>
        <w:rPr>
          <w:rFonts w:ascii="Arial" w:cs="Arial" w:eastAsia="Arial" w:hAnsi="Arial"/>
          <w:sz w:val="17"/>
          <w:szCs w:val="17"/>
          <w:color w:val="auto"/>
        </w:rPr>
        <w:t>.</w:t>
      </w:r>
    </w:p>
    <w:p>
      <w:pPr>
        <w:sectPr>
          <w:pgSz w:w="11900" w:h="16838" w:orient="portrait"/>
          <w:cols w:equalWidth="0" w:num="1">
            <w:col w:w="11420"/>
          </w:cols>
          <w:pgMar w:left="240" w:top="122" w:right="239" w:bottom="0" w:gutter="0" w:footer="0" w:header="0"/>
        </w:sectPr>
      </w:pPr>
    </w:p>
    <w:bookmarkStart w:id="156" w:name="page157"/>
    <w:bookmarkEnd w:id="156"/>
    <w:p>
      <w:pPr>
        <w:spacing w:after="0" w:line="113" w:lineRule="exact"/>
        <w:rPr>
          <w:sz w:val="20"/>
          <w:szCs w:val="20"/>
          <w:color w:val="auto"/>
        </w:rPr>
      </w:pPr>
    </w:p>
    <w:p>
      <w:pPr>
        <w:ind w:left="-635" w:firstLine="635"/>
        <w:spacing w:after="0" w:line="275" w:lineRule="auto"/>
        <w:tabs>
          <w:tab w:leader="none" w:pos="42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Neither Holdings nor the Borrower will, nor will they permit any Restricted Subsidiary to declare or make, or agree to pay or make, directly or indirectly, any Restricted Payment, except:</w:t>
      </w:r>
    </w:p>
    <w:p>
      <w:pPr>
        <w:spacing w:after="0" w:line="156" w:lineRule="exact"/>
        <w:rPr>
          <w:rFonts w:ascii="Arial" w:cs="Arial" w:eastAsia="Arial" w:hAnsi="Arial"/>
          <w:sz w:val="19"/>
          <w:szCs w:val="19"/>
          <w:color w:val="auto"/>
        </w:rPr>
      </w:pPr>
    </w:p>
    <w:p>
      <w:pPr>
        <w:ind w:left="1225" w:hanging="359"/>
        <w:spacing w:after="0"/>
        <w:tabs>
          <w:tab w:leader="none" w:pos="1225" w:val="left"/>
        </w:tabs>
        <w:numPr>
          <w:ilvl w:val="1"/>
          <w:numId w:val="135"/>
        </w:numPr>
        <w:rPr>
          <w:rFonts w:ascii="Arial" w:cs="Arial" w:eastAsia="Arial" w:hAnsi="Arial"/>
          <w:sz w:val="19"/>
          <w:szCs w:val="19"/>
          <w:color w:val="auto"/>
        </w:rPr>
      </w:pPr>
      <w:r>
        <w:rPr>
          <w:rFonts w:ascii="Arial" w:cs="Arial" w:eastAsia="Arial" w:hAnsi="Arial"/>
          <w:sz w:val="19"/>
          <w:szCs w:val="19"/>
          <w:color w:val="auto"/>
        </w:rPr>
        <w:t>each Restricted Subsidiary may make Restricted Payments to the Borrower or any other Restricted Subsidiary;</w:t>
      </w:r>
    </w:p>
    <w:p>
      <w:pPr>
        <w:spacing w:after="0" w:line="214" w:lineRule="exact"/>
        <w:rPr>
          <w:rFonts w:ascii="Arial" w:cs="Arial" w:eastAsia="Arial" w:hAnsi="Arial"/>
          <w:sz w:val="19"/>
          <w:szCs w:val="19"/>
          <w:color w:val="auto"/>
        </w:rPr>
      </w:pPr>
    </w:p>
    <w:p>
      <w:pPr>
        <w:jc w:val="both"/>
        <w:ind w:left="5" w:firstLine="861"/>
        <w:spacing w:after="0" w:line="252" w:lineRule="auto"/>
        <w:tabs>
          <w:tab w:leader="none" w:pos="134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Holdings, the Borrower and each Restricted Subsidiary may declare and make dividend payments or other distributions payable solely in the Equity Interests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78" w:lineRule="exact"/>
        <w:rPr>
          <w:rFonts w:ascii="Arial" w:cs="Arial" w:eastAsia="Arial" w:hAnsi="Arial"/>
          <w:sz w:val="19"/>
          <w:szCs w:val="19"/>
          <w:color w:val="auto"/>
        </w:rPr>
      </w:pPr>
    </w:p>
    <w:p>
      <w:pPr>
        <w:jc w:val="both"/>
        <w:ind w:left="5" w:firstLine="861"/>
        <w:spacing w:after="0" w:line="254" w:lineRule="auto"/>
        <w:tabs>
          <w:tab w:leader="none" w:pos="1426" w:val="left"/>
        </w:tabs>
        <w:numPr>
          <w:ilvl w:val="1"/>
          <w:numId w:val="135"/>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the payment of quarterly distributions or dividends in an amount not to exceed the Specified Dividend Amount during any fiscal quarter that commences after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unused amounts with respect to any such fiscal quarter shall not be available in any other fiscal quarter;</w:t>
      </w:r>
    </w:p>
    <w:p>
      <w:pPr>
        <w:spacing w:after="0" w:line="177" w:lineRule="exact"/>
        <w:rPr>
          <w:rFonts w:ascii="Arial" w:cs="Arial" w:eastAsia="Arial" w:hAnsi="Arial"/>
          <w:sz w:val="19"/>
          <w:szCs w:val="19"/>
          <w:color w:val="auto"/>
        </w:rPr>
      </w:pPr>
    </w:p>
    <w:p>
      <w:pPr>
        <w:jc w:val="both"/>
        <w:ind w:left="5" w:firstLine="861"/>
        <w:spacing w:after="0" w:line="280" w:lineRule="auto"/>
        <w:tabs>
          <w:tab w:leader="none" w:pos="135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54" w:lineRule="exact"/>
        <w:rPr>
          <w:rFonts w:ascii="Arial" w:cs="Arial" w:eastAsia="Arial" w:hAnsi="Arial"/>
          <w:sz w:val="18"/>
          <w:szCs w:val="18"/>
          <w:color w:val="auto"/>
        </w:rPr>
      </w:pPr>
    </w:p>
    <w:p>
      <w:pPr>
        <w:jc w:val="both"/>
        <w:ind w:left="5" w:firstLine="861"/>
        <w:spacing w:after="0" w:line="278" w:lineRule="auto"/>
        <w:tabs>
          <w:tab w:leader="none" w:pos="132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Closing Date together with the aggregate amount of loans and advances to Holdings made pursuant to Section 6.04(k) in lieu of Restricted Payments permitted by this clause (v) not to exceed $15,000,000 in any calendar year with unused amounts in any calendar year being carried over to succeeding calendar years subject to a maximum of $30,000,000 in any calendar year (without giving effect to the following proviso);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in any calendar year may be increased by an amount not to exceed the cash proceeds of key man life insurance policies received by the Borrower or its Restricted Subsidiaries after the Closing Date and not previously applied pursuant to this clause (v);</w:t>
      </w:r>
    </w:p>
    <w:p>
      <w:pPr>
        <w:spacing w:after="0" w:line="157" w:lineRule="exact"/>
        <w:rPr>
          <w:rFonts w:ascii="Arial" w:cs="Arial" w:eastAsia="Arial" w:hAnsi="Arial"/>
          <w:sz w:val="17"/>
          <w:szCs w:val="17"/>
          <w:color w:val="auto"/>
        </w:rPr>
      </w:pPr>
    </w:p>
    <w:p>
      <w:pPr>
        <w:jc w:val="both"/>
        <w:ind w:left="5" w:firstLine="861"/>
        <w:spacing w:after="0" w:line="282" w:lineRule="auto"/>
        <w:tabs>
          <w:tab w:leader="none" w:pos="132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so long as the Borrower and Holdings are each treated as a pass-through or disregarded entity (a “</w:t>
      </w:r>
      <w:r>
        <w:rPr>
          <w:rFonts w:ascii="Arial" w:cs="Arial" w:eastAsia="Arial" w:hAnsi="Arial"/>
          <w:sz w:val="17"/>
          <w:szCs w:val="17"/>
          <w:b w:val="1"/>
          <w:bCs w:val="1"/>
          <w:color w:val="auto"/>
        </w:rPr>
        <w:t>Flow-Through Entity</w:t>
      </w:r>
      <w:r>
        <w:rPr>
          <w:rFonts w:ascii="Arial" w:cs="Arial" w:eastAsia="Arial" w:hAnsi="Arial"/>
          <w:sz w:val="17"/>
          <w:szCs w:val="17"/>
          <w:color w:val="auto"/>
        </w:rPr>
        <w:t xml:space="preserve">”) for U.S. federal and state income tax purposes, Borrower may make distributions to Holdings and Holdings may make distributions to its members 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Holdings is not a Flow-Through Entity, so long as the Borrower is a Flow-Through Entity, the Borrower may make Permitted Tax Distributions to Holdings on a quarterly basis and at the end of a Taxable Year (with the determination of the Permitted Tax Distributions to be made by substituting the Borrower for Holdings in the applicable definitions);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w:t>
      </w:r>
    </w:p>
    <w:p>
      <w:pPr>
        <w:spacing w:after="0" w:line="156" w:lineRule="exact"/>
        <w:rPr>
          <w:rFonts w:ascii="Arial" w:cs="Arial" w:eastAsia="Arial" w:hAnsi="Arial"/>
          <w:sz w:val="17"/>
          <w:szCs w:val="17"/>
          <w:color w:val="auto"/>
        </w:rPr>
      </w:pPr>
    </w:p>
    <w:p>
      <w:pPr>
        <w:ind w:left="5" w:firstLine="861"/>
        <w:spacing w:after="0" w:line="335" w:lineRule="auto"/>
        <w:tabs>
          <w:tab w:leader="none" w:pos="137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10" w:lineRule="exact"/>
        <w:rPr>
          <w:rFonts w:ascii="Arial" w:cs="Arial" w:eastAsia="Arial" w:hAnsi="Arial"/>
          <w:sz w:val="17"/>
          <w:szCs w:val="17"/>
          <w:color w:val="auto"/>
        </w:rPr>
      </w:pPr>
    </w:p>
    <w:p>
      <w:pPr>
        <w:jc w:val="both"/>
        <w:ind w:left="625" w:firstLine="635"/>
        <w:spacing w:after="0" w:line="263" w:lineRule="auto"/>
        <w:tabs>
          <w:tab w:leader="none" w:pos="172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6.04(k) in lieu of Restricted Payments permitted by this clause (a)(vii)(A) not to exceed $10,000,000 in any fiscal year, plus any reasonable and customary indemnification claims made by directors or officers of Holdings (or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p>
      <w:pPr>
        <w:spacing w:after="0" w:line="172" w:lineRule="exact"/>
        <w:rPr>
          <w:rFonts w:ascii="Arial" w:cs="Arial" w:eastAsia="Arial" w:hAnsi="Arial"/>
          <w:sz w:val="18"/>
          <w:szCs w:val="18"/>
          <w:color w:val="auto"/>
        </w:rPr>
      </w:pPr>
    </w:p>
    <w:p>
      <w:pPr>
        <w:ind w:left="625" w:firstLine="635"/>
        <w:spacing w:after="0" w:line="274" w:lineRule="auto"/>
        <w:tabs>
          <w:tab w:leader="none" w:pos="1699" w:val="left"/>
        </w:tabs>
        <w:numPr>
          <w:ilvl w:val="2"/>
          <w:numId w:val="135"/>
        </w:numPr>
        <w:rPr>
          <w:rFonts w:ascii="Arial" w:cs="Arial" w:eastAsia="Arial" w:hAnsi="Arial"/>
          <w:sz w:val="19"/>
          <w:szCs w:val="19"/>
          <w:color w:val="auto"/>
        </w:rPr>
      </w:pPr>
      <w:r>
        <w:rPr>
          <w:rFonts w:ascii="Arial" w:cs="Arial" w:eastAsia="Arial" w:hAnsi="Arial"/>
          <w:sz w:val="19"/>
          <w:szCs w:val="19"/>
          <w:color w:val="auto"/>
        </w:rPr>
        <w:t>the proceeds of which shall be used by Holdings or any Intermediate Parent to pay franchise taxes and other fees and expenses required to maintain its organizational existence;</w:t>
      </w:r>
    </w:p>
    <w:p>
      <w:pPr>
        <w:spacing w:after="0" w:line="157" w:lineRule="exact"/>
        <w:rPr>
          <w:rFonts w:ascii="Arial" w:cs="Arial" w:eastAsia="Arial" w:hAnsi="Arial"/>
          <w:sz w:val="19"/>
          <w:szCs w:val="19"/>
          <w:color w:val="auto"/>
        </w:rPr>
      </w:pPr>
    </w:p>
    <w:p>
      <w:pPr>
        <w:ind w:left="625" w:firstLine="635"/>
        <w:spacing w:after="0" w:line="274" w:lineRule="auto"/>
        <w:tabs>
          <w:tab w:leader="none" w:pos="1752" w:val="left"/>
        </w:tabs>
        <w:numPr>
          <w:ilvl w:val="2"/>
          <w:numId w:val="135"/>
        </w:numPr>
        <w:rPr>
          <w:rFonts w:ascii="Arial" w:cs="Arial" w:eastAsia="Arial" w:hAnsi="Arial"/>
          <w:sz w:val="19"/>
          <w:szCs w:val="19"/>
          <w:color w:val="auto"/>
        </w:rPr>
      </w:pPr>
      <w:r>
        <w:rPr>
          <w:rFonts w:ascii="Arial" w:cs="Arial" w:eastAsia="Arial" w:hAnsi="Arial"/>
          <w:sz w:val="19"/>
          <w:szCs w:val="19"/>
          <w:color w:val="auto"/>
        </w:rPr>
        <w:t>the proceeds of which shall be used by Holdings to make Restricted Payments permitted by Section 6.08(a)(iv) or Section 6.08(a)(v);</w:t>
      </w:r>
    </w:p>
    <w:p>
      <w:pPr>
        <w:spacing w:after="0" w:line="157" w:lineRule="exact"/>
        <w:rPr>
          <w:rFonts w:ascii="Arial" w:cs="Arial" w:eastAsia="Arial" w:hAnsi="Arial"/>
          <w:sz w:val="19"/>
          <w:szCs w:val="19"/>
          <w:color w:val="auto"/>
        </w:rPr>
      </w:pPr>
    </w:p>
    <w:p>
      <w:pPr>
        <w:jc w:val="both"/>
        <w:ind w:left="625" w:firstLine="635"/>
        <w:spacing w:after="0" w:line="266" w:lineRule="auto"/>
        <w:tabs>
          <w:tab w:leader="none" w:pos="171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 xml:space="preserve">to finance any Investment permitted to be made pursuant to Section 6.04;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spacing w:after="0" w:line="165" w:lineRule="exact"/>
        <w:rPr>
          <w:rFonts w:ascii="Arial" w:cs="Arial" w:eastAsia="Arial" w:hAnsi="Arial"/>
          <w:sz w:val="18"/>
          <w:szCs w:val="18"/>
          <w:color w:val="auto"/>
        </w:rPr>
      </w:pPr>
    </w:p>
    <w:p>
      <w:pPr>
        <w:ind w:left="625" w:firstLine="635"/>
        <w:spacing w:after="0" w:line="274" w:lineRule="auto"/>
        <w:tabs>
          <w:tab w:leader="none" w:pos="1741" w:val="left"/>
        </w:tabs>
        <w:numPr>
          <w:ilvl w:val="2"/>
          <w:numId w:val="135"/>
        </w:numPr>
        <w:rPr>
          <w:rFonts w:ascii="Arial" w:cs="Arial" w:eastAsia="Arial" w:hAnsi="Arial"/>
          <w:sz w:val="19"/>
          <w:szCs w:val="19"/>
          <w:color w:val="auto"/>
        </w:rPr>
      </w:pPr>
      <w:r>
        <w:rPr>
          <w:rFonts w:ascii="Arial" w:cs="Arial" w:eastAsia="Arial" w:hAnsi="Arial"/>
          <w:sz w:val="19"/>
          <w:szCs w:val="19"/>
          <w:color w:val="auto"/>
        </w:rPr>
        <w:t>the proceeds of which shall be used to pay (or to make Restricted Payments to allow any direct or indirect parent thereof to pay) fees and expenses related to any equity or debt offering permitted by this Agreement; and</w:t>
      </w:r>
    </w:p>
    <w:p>
      <w:pPr>
        <w:sectPr>
          <w:pgSz w:w="11900" w:h="16952" w:orient="portrait"/>
          <w:cols w:equalWidth="0" w:num="1">
            <w:col w:w="10785"/>
          </w:cols>
          <w:pgMar w:left="875" w:top="122" w:right="239" w:bottom="0" w:gutter="0" w:footer="0" w:header="0"/>
        </w:sectPr>
      </w:pPr>
    </w:p>
    <w:bookmarkStart w:id="157" w:name="page158"/>
    <w:bookmarkEnd w:id="157"/>
    <w:p>
      <w:pPr>
        <w:ind w:left="2300" w:hanging="405"/>
        <w:spacing w:after="0"/>
        <w:tabs>
          <w:tab w:leader="none" w:pos="2300" w:val="left"/>
        </w:tabs>
        <w:numPr>
          <w:ilvl w:val="2"/>
          <w:numId w:val="136"/>
        </w:numPr>
        <w:rPr>
          <w:rFonts w:ascii="Arial" w:cs="Arial" w:eastAsia="Arial" w:hAnsi="Arial"/>
          <w:sz w:val="19"/>
          <w:szCs w:val="19"/>
          <w:color w:val="auto"/>
        </w:rPr>
      </w:pPr>
      <w:r>
        <w:rPr>
          <w:rFonts w:ascii="Arial" w:cs="Arial" w:eastAsia="Arial" w:hAnsi="Arial"/>
          <w:sz w:val="19"/>
          <w:szCs w:val="19"/>
          <w:color w:val="auto"/>
        </w:rPr>
        <w:t>the proceeds of which shall be used to make payments permitted by clause (b)(iv) of this Section 6.08;</w:t>
      </w:r>
    </w:p>
    <w:p>
      <w:pPr>
        <w:spacing w:after="0" w:line="214" w:lineRule="exact"/>
        <w:rPr>
          <w:rFonts w:ascii="Arial" w:cs="Arial" w:eastAsia="Arial" w:hAnsi="Arial"/>
          <w:sz w:val="19"/>
          <w:szCs w:val="19"/>
          <w:color w:val="auto"/>
        </w:rPr>
      </w:pPr>
    </w:p>
    <w:p>
      <w:pPr>
        <w:jc w:val="both"/>
        <w:ind w:left="640" w:firstLine="861"/>
        <w:spacing w:after="0" w:line="259" w:lineRule="auto"/>
        <w:tabs>
          <w:tab w:leader="none" w:pos="2197" w:val="left"/>
        </w:tabs>
        <w:numPr>
          <w:ilvl w:val="1"/>
          <w:numId w:val="137"/>
        </w:numPr>
        <w:rPr>
          <w:rFonts w:ascii="Arial" w:cs="Arial" w:eastAsia="Arial" w:hAnsi="Arial"/>
          <w:sz w:val="19"/>
          <w:szCs w:val="19"/>
          <w:color w:val="auto"/>
        </w:rPr>
      </w:pPr>
      <w:r>
        <w:rPr>
          <w:rFonts w:ascii="Arial" w:cs="Arial" w:eastAsia="Arial" w:hAnsi="Arial"/>
          <w:sz w:val="19"/>
          <w:szCs w:val="19"/>
          <w:color w:val="auto"/>
        </w:rPr>
        <w:t>in addition to the foregoing Restricted Payments and so long as no Event of Default shall have occurred and be continuing or would result therefrom, the Borrower may make additional Restricted Payments in an aggregate amount not to exceed the Cumulative Credit;</w:t>
      </w:r>
    </w:p>
    <w:p>
      <w:pPr>
        <w:spacing w:after="0" w:line="171" w:lineRule="exact"/>
        <w:rPr>
          <w:rFonts w:ascii="Arial" w:cs="Arial" w:eastAsia="Arial" w:hAnsi="Arial"/>
          <w:sz w:val="19"/>
          <w:szCs w:val="19"/>
          <w:color w:val="auto"/>
        </w:rPr>
      </w:pPr>
    </w:p>
    <w:p>
      <w:pPr>
        <w:jc w:val="both"/>
        <w:ind w:left="640" w:firstLine="861"/>
        <w:spacing w:after="0" w:line="254" w:lineRule="auto"/>
        <w:tabs>
          <w:tab w:leader="none" w:pos="1959"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77" w:lineRule="exact"/>
        <w:rPr>
          <w:rFonts w:ascii="Arial" w:cs="Arial" w:eastAsia="Arial" w:hAnsi="Arial"/>
          <w:sz w:val="19"/>
          <w:szCs w:val="19"/>
          <w:color w:val="auto"/>
        </w:rPr>
      </w:pPr>
    </w:p>
    <w:p>
      <w:pPr>
        <w:jc w:val="both"/>
        <w:ind w:left="640" w:firstLine="861"/>
        <w:spacing w:after="0" w:line="252" w:lineRule="auto"/>
        <w:tabs>
          <w:tab w:leader="none" w:pos="1958"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Holdings, the Borrower and each Restricted Subsidiary may make additional Restricted 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Restricted Payment, the aggregate amount of Restricted Payments made in reliance on this clause (x) shall not exceed the greater of $190,000,000 and 25% of Consolidated EBITDA calculated on a Pro Forma Basis for the Test Period most recently ended for which financial statements are available prior to the making of such Restricted Payment;</w:t>
      </w:r>
    </w:p>
    <w:p>
      <w:pPr>
        <w:spacing w:after="0" w:line="178" w:lineRule="exact"/>
        <w:rPr>
          <w:rFonts w:ascii="Arial" w:cs="Arial" w:eastAsia="Arial" w:hAnsi="Arial"/>
          <w:sz w:val="19"/>
          <w:szCs w:val="19"/>
          <w:color w:val="auto"/>
        </w:rPr>
      </w:pPr>
    </w:p>
    <w:p>
      <w:pPr>
        <w:jc w:val="both"/>
        <w:ind w:left="640" w:firstLine="861"/>
        <w:spacing w:after="0" w:line="254" w:lineRule="auto"/>
        <w:tabs>
          <w:tab w:leader="none" w:pos="2011"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Holdings, the Borrower and each Restricted Subsidiary may make unlimited Restricted 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Restricted Payment, the Total Leverage Ratio calculated on a Pro Forma Basis as of the end of the most recent Test Period for which financial statements are available does not exceed 1.50 to 1.00; and</w:t>
      </w:r>
    </w:p>
    <w:p>
      <w:pPr>
        <w:spacing w:after="0" w:line="177" w:lineRule="exact"/>
        <w:rPr>
          <w:rFonts w:ascii="Arial" w:cs="Arial" w:eastAsia="Arial" w:hAnsi="Arial"/>
          <w:sz w:val="19"/>
          <w:szCs w:val="19"/>
          <w:color w:val="auto"/>
        </w:rPr>
      </w:pPr>
    </w:p>
    <w:p>
      <w:pPr>
        <w:ind w:left="2000" w:hanging="499"/>
        <w:spacing w:after="0"/>
        <w:tabs>
          <w:tab w:leader="none" w:pos="200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Restricted Payments contemplated by the Merger Agreement.</w:t>
      </w:r>
    </w:p>
    <w:p>
      <w:pPr>
        <w:spacing w:after="0" w:line="214" w:lineRule="exact"/>
        <w:rPr>
          <w:rFonts w:ascii="Arial" w:cs="Arial" w:eastAsia="Arial" w:hAnsi="Arial"/>
          <w:sz w:val="19"/>
          <w:szCs w:val="19"/>
          <w:color w:val="auto"/>
        </w:rPr>
      </w:pPr>
    </w:p>
    <w:p>
      <w:pPr>
        <w:jc w:val="both"/>
        <w:ind w:firstLine="635"/>
        <w:spacing w:after="0" w:line="269" w:lineRule="auto"/>
        <w:tabs>
          <w:tab w:leader="none" w:pos="10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165" w:lineRule="exact"/>
        <w:rPr>
          <w:rFonts w:ascii="Arial" w:cs="Arial" w:eastAsia="Arial" w:hAnsi="Arial"/>
          <w:sz w:val="18"/>
          <w:szCs w:val="18"/>
          <w:color w:val="auto"/>
        </w:rPr>
      </w:pPr>
    </w:p>
    <w:p>
      <w:pPr>
        <w:ind w:left="640" w:firstLine="861"/>
        <w:spacing w:after="0" w:line="274" w:lineRule="auto"/>
        <w:tabs>
          <w:tab w:leader="none" w:pos="187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payment of regularly scheduled interest and principal payments as and when due in respect of any Indebtedness, other than payments in respect of any Junior Financing prohibited by the subordination provisions thereof;</w:t>
      </w:r>
    </w:p>
    <w:p>
      <w:pPr>
        <w:spacing w:after="0" w:line="157" w:lineRule="exact"/>
        <w:rPr>
          <w:rFonts w:ascii="Arial" w:cs="Arial" w:eastAsia="Arial" w:hAnsi="Arial"/>
          <w:sz w:val="19"/>
          <w:szCs w:val="19"/>
          <w:color w:val="auto"/>
        </w:rPr>
      </w:pPr>
    </w:p>
    <w:p>
      <w:pPr>
        <w:ind w:left="1920" w:hanging="419"/>
        <w:spacing w:after="0"/>
        <w:tabs>
          <w:tab w:leader="none" w:pos="192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refinancings of Indebtedness to the extent permitted by Section 6.01;</w:t>
      </w:r>
    </w:p>
    <w:p>
      <w:pPr>
        <w:spacing w:after="0" w:line="214" w:lineRule="exact"/>
        <w:rPr>
          <w:rFonts w:ascii="Arial" w:cs="Arial" w:eastAsia="Arial" w:hAnsi="Arial"/>
          <w:sz w:val="19"/>
          <w:szCs w:val="19"/>
          <w:color w:val="auto"/>
        </w:rPr>
      </w:pPr>
    </w:p>
    <w:p>
      <w:pPr>
        <w:jc w:val="both"/>
        <w:ind w:left="640" w:firstLine="861"/>
        <w:spacing w:after="0" w:line="259" w:lineRule="auto"/>
        <w:tabs>
          <w:tab w:leader="none" w:pos="2074"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the conversion of any Junior Financing to, or the exchange of any Junior Financing for, Equity Interests (other than Disqualified Equity Interests) of Holdings or any of its direct or indirect parent companies or any Intermediate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such exchange, such Junior Financing is promptly cancelled;</w:t>
      </w:r>
    </w:p>
    <w:p>
      <w:pPr>
        <w:spacing w:after="0" w:line="171" w:lineRule="exact"/>
        <w:rPr>
          <w:rFonts w:ascii="Arial" w:cs="Arial" w:eastAsia="Arial" w:hAnsi="Arial"/>
          <w:sz w:val="19"/>
          <w:szCs w:val="19"/>
          <w:color w:val="auto"/>
        </w:rPr>
      </w:pPr>
    </w:p>
    <w:p>
      <w:pPr>
        <w:jc w:val="both"/>
        <w:ind w:left="640" w:firstLine="861"/>
        <w:spacing w:after="0" w:line="304" w:lineRule="auto"/>
        <w:tabs>
          <w:tab w:leader="none" w:pos="202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so long as no Event of Default has occurred and is continuing or would be caused thereby, prepayments, redemptions, purchases, defeasances and other payments in respect of Junior Financings prior to their scheduled maturity (“</w:t>
      </w:r>
      <w:r>
        <w:rPr>
          <w:rFonts w:ascii="Arial" w:cs="Arial" w:eastAsia="Arial" w:hAnsi="Arial"/>
          <w:sz w:val="17"/>
          <w:szCs w:val="17"/>
          <w:b w:val="1"/>
          <w:bCs w:val="1"/>
          <w:color w:val="auto"/>
        </w:rPr>
        <w:t>Junior Financing</w:t>
      </w:r>
      <w:r>
        <w:rPr>
          <w:rFonts w:ascii="Arial" w:cs="Arial" w:eastAsia="Arial" w:hAnsi="Arial"/>
          <w:sz w:val="17"/>
          <w:szCs w:val="17"/>
          <w:color w:val="auto"/>
        </w:rPr>
        <w:t xml:space="preserve"> </w:t>
      </w:r>
      <w:r>
        <w:rPr>
          <w:rFonts w:ascii="Arial" w:cs="Arial" w:eastAsia="Arial" w:hAnsi="Arial"/>
          <w:sz w:val="17"/>
          <w:szCs w:val="17"/>
          <w:b w:val="1"/>
          <w:bCs w:val="1"/>
          <w:color w:val="auto"/>
        </w:rPr>
        <w:t>Prepayments</w:t>
      </w:r>
      <w:r>
        <w:rPr>
          <w:rFonts w:ascii="Arial" w:cs="Arial" w:eastAsia="Arial" w:hAnsi="Arial"/>
          <w:sz w:val="17"/>
          <w:szCs w:val="17"/>
          <w:color w:val="auto"/>
        </w:rPr>
        <w:t>”) in an amount not to exceed the Cumulative Credit at the time when such Junior Financing Prepayment is made;</w:t>
      </w:r>
    </w:p>
    <w:p>
      <w:pPr>
        <w:spacing w:after="0" w:line="136" w:lineRule="exact"/>
        <w:rPr>
          <w:rFonts w:ascii="Arial" w:cs="Arial" w:eastAsia="Arial" w:hAnsi="Arial"/>
          <w:sz w:val="17"/>
          <w:szCs w:val="17"/>
          <w:color w:val="auto"/>
        </w:rPr>
      </w:pPr>
    </w:p>
    <w:p>
      <w:pPr>
        <w:jc w:val="both"/>
        <w:ind w:left="640" w:firstLine="861"/>
        <w:spacing w:after="0" w:line="252" w:lineRule="auto"/>
        <w:tabs>
          <w:tab w:leader="none" w:pos="1971"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additional Junior Financing Prepayments;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Junior Financing Prepayment, the aggregate amount of Junior Financing Prepayments made in reliance on this clause (v) shall not exceed the greater of $190,000,000 and 25% of Consolidated EBITDA calculated on a Pro Forma Basis for the Test Period most recently ended for which financial statements are available prior to the making of such Junior Financing Prepayment; and</w:t>
      </w:r>
    </w:p>
    <w:p>
      <w:pPr>
        <w:spacing w:after="0" w:line="178" w:lineRule="exact"/>
        <w:rPr>
          <w:rFonts w:ascii="Arial" w:cs="Arial" w:eastAsia="Arial" w:hAnsi="Arial"/>
          <w:sz w:val="19"/>
          <w:szCs w:val="19"/>
          <w:color w:val="auto"/>
        </w:rPr>
      </w:pPr>
    </w:p>
    <w:p>
      <w:pPr>
        <w:jc w:val="both"/>
        <w:ind w:left="640" w:firstLine="861"/>
        <w:spacing w:after="0" w:line="254" w:lineRule="auto"/>
        <w:tabs>
          <w:tab w:leader="none" w:pos="1959"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be caused thereby, Holdings, the Borrower and the Restricted Subsidiaries may make unlimited Junior Financing Prepayments;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any such Junior Financing Prepayment, the Total Leverage Ratio calculated on a Pro Forma Basis as of the end of the most recent Test Period for which financial statements are available does not exceed 1.50 to 1.00.</w:t>
      </w:r>
    </w:p>
    <w:p>
      <w:pPr>
        <w:spacing w:after="0" w:line="178" w:lineRule="exact"/>
        <w:rPr>
          <w:sz w:val="20"/>
          <w:szCs w:val="20"/>
          <w:color w:val="auto"/>
        </w:rPr>
      </w:pPr>
    </w:p>
    <w:p>
      <w:pPr>
        <w:jc w:val="both"/>
        <w:ind w:firstLine="630"/>
        <w:spacing w:after="0" w:line="277"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Transactions with Affiliates.</w:t>
      </w:r>
      <w:r>
        <w:rPr>
          <w:rFonts w:ascii="Arial" w:cs="Arial" w:eastAsia="Arial" w:hAnsi="Arial"/>
          <w:sz w:val="17"/>
          <w:szCs w:val="17"/>
          <w:color w:val="auto"/>
        </w:rPr>
        <w:t xml:space="preserve"> Neither Holdings nor the Borrower will, nor will they permit any Restricted Subsidiary to, sell, lease or otherwise transfer any property or assets to, or purchase, lease or otherwise acquire any property or assets from, or otherwise engage in any other transactions with, any of its Affiliates, except (a) transactions with Holdings, the Borrower or any Restricted Subsidiary, (b) on terms substantially as favorable to Holdings, the Borrower or such Restricted Subsidiary as would be obtainable by such Person at the time in a comparable arm’s-length transaction with a Person other than an Affiliate,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6.04(o)),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 (h) transactions pursuant to any permitted agreements in existence or contemplated on the Closing Date and set forth on Schedule 6.09 or any amendment thereto to the extent such an amendment is not adverse to the Lenders in any material respect, (i) Restricted Payments permitted under Section 6.08 and (j) Investments, loans or advances that are permitted to be made in lieu of Restricted Payments pursuant to Section 6.04.</w:t>
      </w:r>
    </w:p>
    <w:p>
      <w:pPr>
        <w:sectPr>
          <w:pgSz w:w="11900" w:h="16838" w:orient="portrait"/>
          <w:cols w:equalWidth="0" w:num="1">
            <w:col w:w="11420"/>
          </w:cols>
          <w:pgMar w:left="240" w:top="333" w:right="239" w:bottom="2" w:gutter="0" w:footer="0" w:header="0"/>
        </w:sectPr>
      </w:pPr>
    </w:p>
    <w:bookmarkStart w:id="158" w:name="page159"/>
    <w:bookmarkEnd w:id="158"/>
    <w:p>
      <w:pPr>
        <w:jc w:val="both"/>
        <w:ind w:firstLine="630"/>
        <w:spacing w:after="0" w:line="27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Restrictive Agreements.</w:t>
      </w:r>
      <w:r>
        <w:rPr>
          <w:rFonts w:ascii="Arial" w:cs="Arial" w:eastAsia="Arial" w:hAnsi="Arial"/>
          <w:sz w:val="17"/>
          <w:szCs w:val="17"/>
          <w:color w:val="auto"/>
        </w:rPr>
        <w:t xml:space="preserve"> Neither Holdings nor the Borrower will, nor will they permit any Restricted 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any such restrictions that (i)(x) exist on the Closing Date and (to the extent not otherwise permitted by this Section 6.10) are listed on Schedule 6.10 or in the indenture governing the Second Lien Notes and</w:t>
      </w:r>
    </w:p>
    <w:p>
      <w:pPr>
        <w:spacing w:after="0" w:line="5" w:lineRule="exact"/>
        <w:rPr>
          <w:sz w:val="20"/>
          <w:szCs w:val="20"/>
          <w:color w:val="auto"/>
        </w:rPr>
      </w:pPr>
    </w:p>
    <w:p>
      <w:pPr>
        <w:jc w:val="both"/>
        <w:ind w:firstLine="5"/>
        <w:spacing w:after="0" w:line="276" w:lineRule="auto"/>
        <w:tabs>
          <w:tab w:leader="none" w:pos="29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renewal or extension of a restriction permitted by clause (i)(x) or any agreement evidencing such restriction so long as such renewal or extension does not expand the scope of such restrictions, (ii)(x) are binding on a Restricted Subsidiary at the time such Restricted Subsidiary first becomes a Restricted Subsidiary, so long as such restrictions were not entered into solely in contemplation of such Person becoming a Restricted Subsidiary and (y) any renewal or extension of a restriction permitted by clause (ii)(x) or any agreement evidencing such restriction so long as such renewal or extension does not expand the scope of such restrictions, (iii) represent Indebtedness of a Restricted Subsidiary that is not a Loan Party that is permitted by Section 6.01, (iv) are customary restrictions that arise in connection with any Disposition permitted by Section 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or the Second Lien Notes), (vii) are imposed by Requirements of Law, (viii) are customary restrictions contained in leases, subleases, licenses or asset sale agreements 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 (x) 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or (xiii) are customary net worth provisions contained in real property leases or licenses of intellectual property entered into by the Borrower or any Restricted Subsidiary, so long as the Borrower has determined in good faith that such net worth provisions could not reasonably be expected to impair the ability of the Borrower and its Restricted Subsidiaries to meet their ongoing obligations under the Loan Documents.</w:t>
      </w:r>
    </w:p>
    <w:p>
      <w:pPr>
        <w:spacing w:after="0" w:line="160" w:lineRule="exact"/>
        <w:rPr>
          <w:sz w:val="20"/>
          <w:szCs w:val="20"/>
          <w:color w:val="auto"/>
        </w:rPr>
      </w:pPr>
    </w:p>
    <w:p>
      <w:pPr>
        <w:jc w:val="both"/>
        <w:ind w:firstLine="630"/>
        <w:spacing w:after="0" w:line="280"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Amendment of Junior Financing.</w:t>
      </w:r>
      <w:r>
        <w:rPr>
          <w:rFonts w:ascii="Arial" w:cs="Arial" w:eastAsia="Arial" w:hAnsi="Arial"/>
          <w:sz w:val="18"/>
          <w:szCs w:val="18"/>
          <w:color w:val="auto"/>
        </w:rPr>
        <w:t xml:space="preserve"> Neither Holdings nor the Borrower will, nor will they permit any Restricted Subsidiary or any Intermediate Parent to, amend, modify, waive, terminate or release the documentation governing any Junior Financing or Second Lien Notes, in each case if the effect of such amendment, modification, waiver, termination or release is materially adverse to the Lenders.</w:t>
      </w:r>
    </w:p>
    <w:p>
      <w:pPr>
        <w:spacing w:after="0" w:line="155"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i w:val="1"/>
          <w:iCs w:val="1"/>
          <w:color w:val="auto"/>
        </w:rPr>
        <w:t>Net First Lien Leverage Ratio.</w:t>
      </w:r>
      <w:r>
        <w:rPr>
          <w:rFonts w:ascii="Arial" w:cs="Arial" w:eastAsia="Arial" w:hAnsi="Arial"/>
          <w:sz w:val="19"/>
          <w:szCs w:val="19"/>
          <w:color w:val="auto"/>
        </w:rPr>
        <w:t xml:space="preserve"> The Borrower will not permit the Net First Lien Leverage Ratio as of the last day of any Financial Performance Covenant Test Period to exceed 3.25 to 1.00.</w:t>
      </w:r>
    </w:p>
    <w:p>
      <w:pPr>
        <w:spacing w:after="0" w:line="15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6.13.</w:t>
      </w:r>
      <w:r>
        <w:rPr>
          <w:sz w:val="20"/>
          <w:szCs w:val="20"/>
          <w:color w:val="auto"/>
        </w:rPr>
        <w:tab/>
      </w:r>
      <w:r>
        <w:rPr>
          <w:rFonts w:ascii="Arial" w:cs="Arial" w:eastAsia="Arial" w:hAnsi="Arial"/>
          <w:sz w:val="17"/>
          <w:szCs w:val="17"/>
          <w:i w:val="1"/>
          <w:iCs w:val="1"/>
          <w:color w:val="auto"/>
        </w:rPr>
        <w:t>Equity Interests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78" w:lineRule="auto"/>
        <w:tabs>
          <w:tab w:leader="none" w:pos="104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Holdings and the Borrower will not permit any Restricted Subsidiary to be a non-Wholly Owned Subsidiary and be released from its Guarantee (if applicable), except (x) as a result of a Disposition of Equity Interests of such Subsidiary to a Person other than Holdings, the Borrower or any other Restricted Subsidiary that is permitted by the other terms of this Agreement or an Investment in any Person permitted under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has occurred or is continuing on the date of such release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Restricted Subsidiary immediately after the release of such Guarantee, as reasonably determined by a Financial Officer, is deemed to be an Investment by a Loan Party on the date of such release in a Subsidiary that is not a Loan Party for purposes of either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Sections 6.13(a) and 6.13(b) and (vi) the Borrower shall have provided the Administrative Agent such certifications or documents as the Administrative Agent shall reasonably request in order to demonstrate compliance with this Agreement or (y) so long as such Restricted Subsidiary continues to be a Subsidiary Loan Party, in which case the release provisions of Section 9.14 will not apply.</w:t>
      </w:r>
    </w:p>
    <w:p>
      <w:pPr>
        <w:spacing w:after="0" w:line="160" w:lineRule="exact"/>
        <w:rPr>
          <w:rFonts w:ascii="Arial" w:cs="Arial" w:eastAsia="Arial" w:hAnsi="Arial"/>
          <w:sz w:val="17"/>
          <w:szCs w:val="17"/>
          <w:color w:val="auto"/>
        </w:rPr>
      </w:pPr>
    </w:p>
    <w:p>
      <w:pPr>
        <w:jc w:val="both"/>
        <w:ind w:firstLine="635"/>
        <w:spacing w:after="0" w:line="278" w:lineRule="auto"/>
        <w:tabs>
          <w:tab w:leader="none" w:pos="108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Holdings may notify the Administrative Agent that it wishes to obtain the release of the Guarantee of, and grants of Liens by, any Subsidiary Loan Party under the Security Documents (any Subsidiary in respect of which such a release is given, a “</w:t>
      </w:r>
      <w:r>
        <w:rPr>
          <w:rFonts w:ascii="Arial" w:cs="Arial" w:eastAsia="Arial" w:hAnsi="Arial"/>
          <w:sz w:val="17"/>
          <w:szCs w:val="17"/>
          <w:b w:val="1"/>
          <w:bCs w:val="1"/>
          <w:color w:val="auto"/>
        </w:rPr>
        <w:t>Released Subsidiary</w:t>
      </w:r>
      <w:r>
        <w:rPr>
          <w:rFonts w:ascii="Arial" w:cs="Arial" w:eastAsia="Arial" w:hAnsi="Arial"/>
          <w:sz w:val="17"/>
          <w:szCs w:val="17"/>
          <w:color w:val="auto"/>
        </w:rPr>
        <w:t xml:space="preserve">”), and the Administrative Agent will, and is hereby authorized to, promptly release such Guarantee and grants of Liens of such Subsidiary Loan Party pursuant to a written notification thereof given to Holdings;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Sections 6.13(a) and 6.13(b) and (vi) the Borrower shall have provided the Administrative Agent such certifications or documents as the Administrative Agent shall reasonably request in order to demonstrate compliance with this Agreement.</w:t>
      </w:r>
    </w:p>
    <w:p>
      <w:pPr>
        <w:spacing w:after="0" w:line="164"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Changes in Fiscal Periods.</w:t>
      </w:r>
      <w:r>
        <w:rPr>
          <w:rFonts w:ascii="Arial" w:cs="Arial" w:eastAsia="Arial" w:hAnsi="Arial"/>
          <w:sz w:val="18"/>
          <w:szCs w:val="18"/>
          <w:color w:val="auto"/>
        </w:rPr>
        <w:t xml:space="preserve"> Neither Holdings nor the Borrower will make any change in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ectPr>
          <w:pgSz w:w="11900" w:h="16838" w:orient="portrait"/>
          <w:cols w:equalWidth="0" w:num="1">
            <w:col w:w="11420"/>
          </w:cols>
          <w:pgMar w:left="240" w:top="122" w:right="239" w:bottom="116" w:gutter="0" w:footer="0" w:header="0"/>
        </w:sectPr>
      </w:pPr>
    </w:p>
    <w:bookmarkStart w:id="159" w:name="page160"/>
    <w:bookmarkEnd w:id="159"/>
    <w:p>
      <w:pPr>
        <w:jc w:val="center"/>
        <w:ind w:right="220"/>
        <w:spacing w:after="0"/>
        <w:rPr>
          <w:sz w:val="20"/>
          <w:szCs w:val="20"/>
          <w:color w:val="auto"/>
        </w:rPr>
      </w:pPr>
      <w:r>
        <w:rPr>
          <w:rFonts w:ascii="Arial" w:cs="Arial" w:eastAsia="Arial" w:hAnsi="Arial"/>
          <w:sz w:val="17"/>
          <w:szCs w:val="17"/>
          <w:color w:val="auto"/>
        </w:rPr>
        <w:t>ARTICLE 7</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EVENTS OF DEFAULT</w:t>
      </w:r>
    </w:p>
    <w:p>
      <w:pPr>
        <w:spacing w:after="0" w:line="22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7.01.</w:t>
      </w:r>
      <w:r>
        <w:rPr>
          <w:sz w:val="20"/>
          <w:szCs w:val="20"/>
          <w:color w:val="auto"/>
        </w:rPr>
        <w:tab/>
      </w: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If any of the following events (any such event, an “</w:t>
      </w:r>
      <w:r>
        <w:rPr>
          <w:rFonts w:ascii="Arial" w:cs="Arial" w:eastAsia="Arial" w:hAnsi="Arial"/>
          <w:sz w:val="17"/>
          <w:szCs w:val="17"/>
          <w:b w:val="1"/>
          <w:bCs w:val="1"/>
          <w:color w:val="auto"/>
        </w:rPr>
        <w:t>Event of Default</w:t>
      </w:r>
      <w:r>
        <w:rPr>
          <w:rFonts w:ascii="Arial" w:cs="Arial" w:eastAsia="Arial" w:hAnsi="Arial"/>
          <w:sz w:val="17"/>
          <w:szCs w:val="17"/>
          <w:color w:val="auto"/>
        </w:rPr>
        <w:t>”) shall occur:</w:t>
      </w:r>
    </w:p>
    <w:p>
      <w:pPr>
        <w:spacing w:after="0" w:line="221" w:lineRule="exact"/>
        <w:rPr>
          <w:sz w:val="20"/>
          <w:szCs w:val="20"/>
          <w:color w:val="auto"/>
        </w:rPr>
      </w:pPr>
    </w:p>
    <w:p>
      <w:pPr>
        <w:ind w:firstLine="635"/>
        <w:spacing w:after="0" w:line="303" w:lineRule="auto"/>
        <w:tabs>
          <w:tab w:leader="none" w:pos="104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33" w:lineRule="exact"/>
        <w:rPr>
          <w:rFonts w:ascii="Arial" w:cs="Arial" w:eastAsia="Arial" w:hAnsi="Arial"/>
          <w:sz w:val="18"/>
          <w:szCs w:val="18"/>
          <w:color w:val="auto"/>
        </w:rPr>
      </w:pPr>
    </w:p>
    <w:p>
      <w:pPr>
        <w:jc w:val="both"/>
        <w:ind w:firstLine="635"/>
        <w:spacing w:after="0" w:line="259" w:lineRule="auto"/>
        <w:tabs>
          <w:tab w:leader="none" w:pos="11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71" w:lineRule="exact"/>
        <w:rPr>
          <w:rFonts w:ascii="Arial" w:cs="Arial" w:eastAsia="Arial" w:hAnsi="Arial"/>
          <w:sz w:val="19"/>
          <w:szCs w:val="19"/>
          <w:color w:val="auto"/>
        </w:rPr>
      </w:pPr>
    </w:p>
    <w:p>
      <w:pPr>
        <w:jc w:val="both"/>
        <w:ind w:firstLine="635"/>
        <w:spacing w:after="0" w:line="273" w:lineRule="auto"/>
        <w:tabs>
          <w:tab w:leader="none" w:pos="104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60" w:lineRule="exact"/>
        <w:rPr>
          <w:rFonts w:ascii="Arial" w:cs="Arial" w:eastAsia="Arial" w:hAnsi="Arial"/>
          <w:sz w:val="18"/>
          <w:szCs w:val="18"/>
          <w:color w:val="auto"/>
        </w:rPr>
      </w:pPr>
    </w:p>
    <w:p>
      <w:pPr>
        <w:jc w:val="both"/>
        <w:ind w:firstLine="635"/>
        <w:spacing w:after="0" w:line="266" w:lineRule="auto"/>
        <w:tabs>
          <w:tab w:leader="none" w:pos="10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Event of Default under the Financial Performance Covenant is subject to the cure period provided in Section 7.02; </w:t>
      </w:r>
      <w:r>
        <w:rPr>
          <w:rFonts w:ascii="Arial" w:cs="Arial" w:eastAsia="Arial" w:hAnsi="Arial"/>
          <w:sz w:val="18"/>
          <w:szCs w:val="18"/>
          <w:i w:val="1"/>
          <w:iCs w:val="1"/>
          <w:color w:val="auto"/>
        </w:rPr>
        <w:t>provided, further</w:t>
      </w:r>
      <w:r>
        <w:rPr>
          <w:rFonts w:ascii="Arial" w:cs="Arial" w:eastAsia="Arial" w:hAnsi="Arial"/>
          <w:sz w:val="18"/>
          <w:szCs w:val="18"/>
          <w:color w:val="auto"/>
        </w:rPr>
        <w:t>, that failure to comply with the Financial Performance Covenant will not constitute an Event of Default with respect to any Term Loans unless and until the Required Revolving Lenders have terminated the Revolving Commitments and demanded payment of, or otherwise accelerated, the Revolving Loans and any other obligations with respect to the Revolving Commitments and Revolving Loans and have not rescinded such demand or acceleration (the “</w:t>
      </w:r>
      <w:r>
        <w:rPr>
          <w:rFonts w:ascii="Arial" w:cs="Arial" w:eastAsia="Arial" w:hAnsi="Arial"/>
          <w:sz w:val="18"/>
          <w:szCs w:val="18"/>
          <w:b w:val="1"/>
          <w:bCs w:val="1"/>
          <w:color w:val="auto"/>
        </w:rPr>
        <w:t>Financial Covenant Standstill</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35"/>
        <w:spacing w:after="0" w:line="259" w:lineRule="auto"/>
        <w:tabs>
          <w:tab w:leader="none" w:pos="108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171" w:lineRule="exact"/>
        <w:rPr>
          <w:rFonts w:ascii="Arial" w:cs="Arial" w:eastAsia="Arial" w:hAnsi="Arial"/>
          <w:sz w:val="19"/>
          <w:szCs w:val="19"/>
          <w:color w:val="auto"/>
        </w:rPr>
      </w:pPr>
    </w:p>
    <w:p>
      <w:pPr>
        <w:jc w:val="both"/>
        <w:ind w:firstLine="635"/>
        <w:spacing w:after="0" w:line="259" w:lineRule="auto"/>
        <w:tabs>
          <w:tab w:leader="none" w:pos="108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71" w:lineRule="exact"/>
        <w:rPr>
          <w:rFonts w:ascii="Arial" w:cs="Arial" w:eastAsia="Arial" w:hAnsi="Arial"/>
          <w:sz w:val="19"/>
          <w:szCs w:val="19"/>
          <w:color w:val="auto"/>
        </w:rPr>
      </w:pPr>
    </w:p>
    <w:p>
      <w:pPr>
        <w:jc w:val="both"/>
        <w:ind w:firstLine="635"/>
        <w:spacing w:after="0" w:line="264" w:lineRule="auto"/>
        <w:tabs>
          <w:tab w:leader="none" w:pos="10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or (iii) termination events or similar events occurring under any Swap Agreement that constitutes Material Indebtedness (it being understood that paragraph (f) of this Section will apply to any failure to make any payment required as a result of any such termination or similar event);</w:t>
      </w:r>
    </w:p>
    <w:p>
      <w:pPr>
        <w:spacing w:after="0" w:line="168" w:lineRule="exact"/>
        <w:rPr>
          <w:rFonts w:ascii="Arial" w:cs="Arial" w:eastAsia="Arial" w:hAnsi="Arial"/>
          <w:sz w:val="18"/>
          <w:szCs w:val="18"/>
          <w:color w:val="auto"/>
        </w:rPr>
      </w:pPr>
    </w:p>
    <w:p>
      <w:pPr>
        <w:jc w:val="both"/>
        <w:ind w:firstLine="635"/>
        <w:spacing w:after="0" w:line="250" w:lineRule="auto"/>
        <w:tabs>
          <w:tab w:leader="none" w:pos="11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83" w:lineRule="exact"/>
        <w:rPr>
          <w:rFonts w:ascii="Arial" w:cs="Arial" w:eastAsia="Arial" w:hAnsi="Arial"/>
          <w:sz w:val="19"/>
          <w:szCs w:val="19"/>
          <w:color w:val="auto"/>
        </w:rPr>
      </w:pPr>
    </w:p>
    <w:p>
      <w:pPr>
        <w:jc w:val="both"/>
        <w:ind w:firstLine="635"/>
        <w:spacing w:after="0" w:line="286" w:lineRule="auto"/>
        <w:tabs>
          <w:tab w:leader="none" w:pos="103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51" w:lineRule="exact"/>
        <w:rPr>
          <w:rFonts w:ascii="Arial" w:cs="Arial" w:eastAsia="Arial" w:hAnsi="Arial"/>
          <w:sz w:val="17"/>
          <w:szCs w:val="17"/>
          <w:color w:val="auto"/>
        </w:rPr>
      </w:pPr>
    </w:p>
    <w:p>
      <w:pPr>
        <w:jc w:val="both"/>
        <w:ind w:firstLine="635"/>
        <w:spacing w:after="0" w:line="250" w:lineRule="auto"/>
        <w:tabs>
          <w:tab w:leader="none" w:pos="105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one or more enforceable judgments for the payment of money in an aggregate amount in excess of $15,000,000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83" w:lineRule="exact"/>
        <w:rPr>
          <w:rFonts w:ascii="Arial" w:cs="Arial" w:eastAsia="Arial" w:hAnsi="Arial"/>
          <w:sz w:val="19"/>
          <w:szCs w:val="19"/>
          <w:color w:val="auto"/>
        </w:rPr>
      </w:pPr>
    </w:p>
    <w:p>
      <w:pPr>
        <w:jc w:val="both"/>
        <w:ind w:firstLine="635"/>
        <w:spacing w:after="0" w:line="252" w:lineRule="auto"/>
        <w:tabs>
          <w:tab w:leader="none" w:pos="106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could reasonably be expected to result in liability of any Loan Party in an aggregate amount that could reasonably be expected to result in a Material Adverse Effect;</w:t>
      </w:r>
    </w:p>
    <w:p>
      <w:pPr>
        <w:spacing w:after="0" w:line="178" w:lineRule="exact"/>
        <w:rPr>
          <w:rFonts w:ascii="Arial" w:cs="Arial" w:eastAsia="Arial" w:hAnsi="Arial"/>
          <w:sz w:val="19"/>
          <w:szCs w:val="19"/>
          <w:color w:val="auto"/>
        </w:rPr>
      </w:pPr>
    </w:p>
    <w:p>
      <w:pPr>
        <w:jc w:val="both"/>
        <w:ind w:firstLine="635"/>
        <w:spacing w:after="0" w:line="294" w:lineRule="auto"/>
        <w:tabs>
          <w:tab w:leader="none" w:pos="102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the Administrative Agent’s failure to (A) maintain possession of any stock certificates, promissory notes or other instruments delivered to it under the</w:t>
      </w:r>
    </w:p>
    <w:p>
      <w:pPr>
        <w:sectPr>
          <w:pgSz w:w="11900" w:h="16838" w:orient="portrait"/>
          <w:cols w:equalWidth="0" w:num="1">
            <w:col w:w="11420"/>
          </w:cols>
          <w:pgMar w:left="240" w:top="153" w:right="239" w:bottom="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19"/>
          <w:szCs w:val="19"/>
          <w:color w:val="auto"/>
        </w:rPr>
        <w:t>Security Documents or (B) file Uniform Commercial Code continuation statements,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w:t>
      </w:r>
    </w:p>
    <w:p>
      <w:pPr>
        <w:spacing w:after="0" w:line="170" w:lineRule="exact"/>
        <w:rPr>
          <w:sz w:val="20"/>
          <w:szCs w:val="20"/>
          <w:color w:val="auto"/>
        </w:rPr>
      </w:pPr>
    </w:p>
    <w:p>
      <w:pPr>
        <w:jc w:val="both"/>
        <w:ind w:firstLine="635"/>
        <w:spacing w:after="0" w:line="259" w:lineRule="auto"/>
        <w:tabs>
          <w:tab w:leader="none" w:pos="110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171" w:lineRule="exact"/>
        <w:rPr>
          <w:rFonts w:ascii="Arial" w:cs="Arial" w:eastAsia="Arial" w:hAnsi="Arial"/>
          <w:sz w:val="19"/>
          <w:szCs w:val="19"/>
          <w:color w:val="auto"/>
        </w:rPr>
      </w:pPr>
    </w:p>
    <w:p>
      <w:pPr>
        <w:ind w:firstLine="635"/>
        <w:spacing w:after="0" w:line="274" w:lineRule="auto"/>
        <w:tabs>
          <w:tab w:leader="none" w:pos="108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157" w:lineRule="exact"/>
        <w:rPr>
          <w:rFonts w:ascii="Arial" w:cs="Arial" w:eastAsia="Arial" w:hAnsi="Arial"/>
          <w:sz w:val="19"/>
          <w:szCs w:val="19"/>
          <w:color w:val="auto"/>
        </w:rPr>
      </w:pPr>
    </w:p>
    <w:p>
      <w:pPr>
        <w:ind w:left="1040" w:hanging="405"/>
        <w:spacing w:after="0"/>
        <w:tabs>
          <w:tab w:leader="none" w:pos="10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 Change in Control shall occur;</w:t>
      </w:r>
    </w:p>
    <w:p>
      <w:pPr>
        <w:spacing w:after="0" w:line="214" w:lineRule="exact"/>
        <w:rPr>
          <w:rFonts w:ascii="Arial" w:cs="Arial" w:eastAsia="Arial" w:hAnsi="Arial"/>
          <w:sz w:val="19"/>
          <w:szCs w:val="19"/>
          <w:color w:val="auto"/>
        </w:rPr>
      </w:pPr>
    </w:p>
    <w:p>
      <w:pPr>
        <w:jc w:val="both"/>
        <w:ind w:firstLine="635"/>
        <w:spacing w:after="0" w:line="259" w:lineRule="auto"/>
        <w:tabs>
          <w:tab w:leader="none" w:pos="105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71" w:lineRule="exact"/>
        <w:rPr>
          <w:rFonts w:ascii="Arial" w:cs="Arial" w:eastAsia="Arial" w:hAnsi="Arial"/>
          <w:sz w:val="19"/>
          <w:szCs w:val="19"/>
          <w:color w:val="auto"/>
        </w:rPr>
      </w:pPr>
    </w:p>
    <w:p>
      <w:pPr>
        <w:jc w:val="both"/>
        <w:ind w:firstLine="635"/>
        <w:spacing w:after="0" w:line="254" w:lineRule="auto"/>
        <w:tabs>
          <w:tab w:leader="none" w:pos="1042"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Borrower or Holdings becomes the subject of a waiver application within such 30 day period, then such disqualification shall not constitute an Event Of Default for so long as such waiver application has not been denied;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then, and in every such event (other than (x) an event with respect to Holdings or the Borrower described in paragraph (h) or (i) of this Section 7.01 or (y) any Event of Default arising out of a failure to observe or perform the Financial Performance Covenant),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105% of the relevant face amount) of the then outstanding LC Exposure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amount then on deposit in the LC Collateral Account); and (A) in the case of any event with respect to Holdings or the Borrower described in paragraph (h) or (i) of this Article, the Commitments shall automatically terminate and the principal of the Loans then outstanding, together with accrued interest thereon and all fees and other Loan Document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out of a failure to observe or perform the Financial Performance Covenant, (X) upon the request of the Required Revolving Lenders (but not the Required Lenders or any other Lender or group of Lenders), the Administrative Agent shall, by notice to the Borrower,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(3) require that the Borrower deposit in the LC Collateral Account an additional amount in cash as reasonably requested by the Issuing Banks (not to exceed 105% of the relevant face amount) of the then outstanding LC Exposure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amount then on deposit in the LC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7.02.</w:t>
      </w:r>
      <w:r>
        <w:rPr>
          <w:sz w:val="20"/>
          <w:szCs w:val="20"/>
          <w:color w:val="auto"/>
        </w:rPr>
        <w:tab/>
      </w:r>
      <w:r>
        <w:rPr>
          <w:rFonts w:ascii="Arial" w:cs="Arial" w:eastAsia="Arial" w:hAnsi="Arial"/>
          <w:sz w:val="17"/>
          <w:szCs w:val="17"/>
          <w:i w:val="1"/>
          <w:iCs w:val="1"/>
          <w:color w:val="auto"/>
        </w:rPr>
        <w:t>Right to Cure</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80" w:lineRule="auto"/>
        <w:tabs>
          <w:tab w:leader="none" w:pos="103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7.01, in the event that the Borrower and the Restricted Subsidiaries fail to comply with the requirements of the Financial Performance Covenant as of the last day of any Financial Performance Covenant Test Period,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(the “</w:t>
      </w:r>
      <w:r>
        <w:rPr>
          <w:rFonts w:ascii="Arial" w:cs="Arial" w:eastAsia="Arial" w:hAnsi="Arial"/>
          <w:sz w:val="17"/>
          <w:szCs w:val="17"/>
          <w:b w:val="1"/>
          <w:bCs w:val="1"/>
          <w:color w:val="auto"/>
        </w:rPr>
        <w:t>Cure Deadline</w:t>
      </w:r>
      <w:r>
        <w:rPr>
          <w:rFonts w:ascii="Arial" w:cs="Arial" w:eastAsia="Arial" w:hAnsi="Arial"/>
          <w:sz w:val="17"/>
          <w:szCs w:val="17"/>
          <w:color w:val="auto"/>
        </w:rPr>
        <w:t>”),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Arial" w:cs="Arial" w:eastAsia="Arial" w:hAnsi="Arial"/>
          <w:sz w:val="17"/>
          <w:szCs w:val="17"/>
          <w:b w:val="1"/>
          <w:bCs w:val="1"/>
          <w:color w:val="auto"/>
        </w:rPr>
        <w:t>Cure Right</w:t>
      </w:r>
      <w:r>
        <w:rPr>
          <w:rFonts w:ascii="Arial" w:cs="Arial" w:eastAsia="Arial" w:hAnsi="Arial"/>
          <w:sz w:val="17"/>
          <w:szCs w:val="17"/>
          <w:color w:val="auto"/>
        </w:rPr>
        <w:t>”), and upon the receipt by the Borrower of the Net Proceeds of such issuance (which Net Proceeds may not be included in the calculation of the Cumulative Credit) (the “</w:t>
      </w:r>
      <w:r>
        <w:rPr>
          <w:rFonts w:ascii="Arial" w:cs="Arial" w:eastAsia="Arial" w:hAnsi="Arial"/>
          <w:sz w:val="17"/>
          <w:szCs w:val="17"/>
          <w:b w:val="1"/>
          <w:bCs w:val="1"/>
          <w:color w:val="auto"/>
        </w:rPr>
        <w:t>Cure Amount</w:t>
      </w:r>
      <w:r>
        <w:rPr>
          <w:rFonts w:ascii="Arial" w:cs="Arial" w:eastAsia="Arial" w:hAnsi="Arial"/>
          <w:sz w:val="17"/>
          <w:szCs w:val="17"/>
          <w:color w:val="auto"/>
        </w:rPr>
        <w:t>”) pursuant to the exercise by Holdings of such Cure Right such Financial Performance Covenant shall be recalculated giving effect to the following pro forma adjustment:</w:t>
      </w:r>
    </w:p>
    <w:p>
      <w:pPr>
        <w:spacing w:after="0" w:line="155" w:lineRule="exact"/>
        <w:rPr>
          <w:rFonts w:ascii="Arial" w:cs="Arial" w:eastAsia="Arial" w:hAnsi="Arial"/>
          <w:sz w:val="17"/>
          <w:szCs w:val="17"/>
          <w:color w:val="auto"/>
        </w:rPr>
      </w:pPr>
    </w:p>
    <w:p>
      <w:pPr>
        <w:jc w:val="both"/>
        <w:ind w:left="640" w:firstLine="861"/>
        <w:spacing w:after="0" w:line="259" w:lineRule="auto"/>
        <w:tabs>
          <w:tab w:leader="none" w:pos="191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and</w:t>
      </w:r>
    </w:p>
    <w:p>
      <w:pPr>
        <w:sectPr>
          <w:pgSz w:w="11900" w:h="16838" w:orient="portrait"/>
          <w:cols w:equalWidth="0" w:num="1">
            <w:col w:w="11420"/>
          </w:cols>
          <w:pgMar w:left="240" w:top="122" w:right="239" w:bottom="167" w:gutter="0" w:footer="0" w:header="0"/>
        </w:sectPr>
      </w:pPr>
    </w:p>
    <w:bookmarkStart w:id="161" w:name="page162"/>
    <w:bookmarkEnd w:id="161"/>
    <w:p>
      <w:pPr>
        <w:spacing w:after="0" w:line="9" w:lineRule="exact"/>
        <w:rPr>
          <w:sz w:val="20"/>
          <w:szCs w:val="20"/>
          <w:color w:val="auto"/>
        </w:rPr>
      </w:pPr>
    </w:p>
    <w:p>
      <w:pPr>
        <w:jc w:val="both"/>
        <w:ind w:left="640" w:firstLine="861"/>
        <w:spacing w:after="0" w:line="266" w:lineRule="auto"/>
        <w:tabs>
          <w:tab w:leader="none" w:pos="19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shall have notified the Administrative Agent of the exercise of such Cure Right (a “</w:t>
      </w:r>
      <w:r>
        <w:rPr>
          <w:rFonts w:ascii="Arial" w:cs="Arial" w:eastAsia="Arial" w:hAnsi="Arial"/>
          <w:sz w:val="19"/>
          <w:szCs w:val="19"/>
          <w:b w:val="1"/>
          <w:bCs w:val="1"/>
          <w:color w:val="auto"/>
        </w:rPr>
        <w:t>Cure Notice</w:t>
      </w:r>
      <w:r>
        <w:rPr>
          <w:rFonts w:ascii="Arial" w:cs="Arial" w:eastAsia="Arial" w:hAnsi="Arial"/>
          <w:sz w:val="19"/>
          <w:szCs w:val="19"/>
          <w:color w:val="auto"/>
        </w:rPr>
        <w:t>”) within five (5)</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Days of the issuance of the relevant Qualified Equity Interests for cash or the receipt of the cash contributions by Holdings.</w:t>
      </w:r>
    </w:p>
    <w:p>
      <w:pPr>
        <w:spacing w:after="0" w:line="151" w:lineRule="exact"/>
        <w:rPr>
          <w:sz w:val="20"/>
          <w:szCs w:val="20"/>
          <w:color w:val="auto"/>
        </w:rPr>
      </w:pPr>
    </w:p>
    <w:p>
      <w:pPr>
        <w:jc w:val="both"/>
        <w:ind w:left="640" w:firstLine="861"/>
        <w:spacing w:after="0" w:line="267" w:lineRule="auto"/>
        <w:tabs>
          <w:tab w:leader="none" w:pos="199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Notwithstanding anything to the contrary, (i) neither the Administrative Agent nor any Lender shall exercise any right to accelerate the Loans or terminate the Revolving Commitments, and none of the Administrative Agent, nor any Lender or Secured Party shall exercise any right to foreclose on or take possession of the Collateral or any other right or remedy under the Loan Documents solely on the basis of the relevant Event of Default under Section 7.01(d); and (ii) no Revolving Lender, Swingline Lender or Issuing Bank shall be required to make any Loans or issue any Letter of Credit from and after such time as the Administrative Agent has received the Cure Notice unless and until the Cure Amount is actually received on or prior to the Cure Deadline;</w:t>
      </w:r>
    </w:p>
    <w:p>
      <w:pPr>
        <w:spacing w:after="0" w:line="167" w:lineRule="exact"/>
        <w:rPr>
          <w:rFonts w:ascii="Arial" w:cs="Arial" w:eastAsia="Arial" w:hAnsi="Arial"/>
          <w:sz w:val="18"/>
          <w:szCs w:val="18"/>
          <w:color w:val="auto"/>
        </w:rPr>
      </w:pPr>
    </w:p>
    <w:p>
      <w:pPr>
        <w:jc w:val="both"/>
        <w:ind w:firstLine="635"/>
        <w:spacing w:after="0" w:line="250" w:lineRule="auto"/>
        <w:tabs>
          <w:tab w:leader="none" w:pos="108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 with respect to the applicable fiscal quarter and any amounts in excess thereof shall not be deemed to be a Cure Amount. Notwithstanding any other provision in this Agreement to the contrary, the Cure Amount received pursuant to any exercise of the Cure Right shall be disregarded for purposes of determining any financial ratio based conditions or any available basket under Article 6 of this Agreement.</w:t>
      </w:r>
    </w:p>
    <w:p>
      <w:pPr>
        <w:spacing w:after="0" w:line="20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ADMINISTRATIVE AGENT AND COLLATERAL AGENT</w:t>
      </w:r>
    </w:p>
    <w:p>
      <w:pPr>
        <w:spacing w:after="0" w:line="22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8.01.</w:t>
      </w:r>
      <w:r>
        <w:rPr>
          <w:sz w:val="20"/>
          <w:szCs w:val="20"/>
          <w:color w:val="auto"/>
        </w:rPr>
        <w:tab/>
      </w:r>
      <w:r>
        <w:rPr>
          <w:rFonts w:ascii="Arial" w:cs="Arial" w:eastAsia="Arial" w:hAnsi="Arial"/>
          <w:sz w:val="17"/>
          <w:szCs w:val="17"/>
          <w:i w:val="1"/>
          <w:iCs w:val="1"/>
          <w:color w:val="auto"/>
        </w:rPr>
        <w:t>General</w:t>
      </w:r>
      <w:r>
        <w:rPr>
          <w:rFonts w:ascii="Arial" w:cs="Arial" w:eastAsia="Arial" w:hAnsi="Arial"/>
          <w:sz w:val="17"/>
          <w:szCs w:val="17"/>
          <w:color w:val="auto"/>
        </w:rPr>
        <w:t>.</w:t>
      </w:r>
    </w:p>
    <w:p>
      <w:pPr>
        <w:spacing w:after="0" w:line="215" w:lineRule="exact"/>
        <w:rPr>
          <w:sz w:val="20"/>
          <w:szCs w:val="20"/>
          <w:color w:val="auto"/>
        </w:rPr>
      </w:pPr>
    </w:p>
    <w:p>
      <w:pPr>
        <w:jc w:val="both"/>
        <w:ind w:firstLine="630"/>
        <w:spacing w:after="0" w:line="262" w:lineRule="auto"/>
        <w:rPr>
          <w:sz w:val="20"/>
          <w:szCs w:val="20"/>
          <w:color w:val="auto"/>
        </w:rPr>
      </w:pPr>
      <w:r>
        <w:rPr>
          <w:rFonts w:ascii="Arial" w:cs="Arial" w:eastAsia="Arial" w:hAnsi="Arial"/>
          <w:sz w:val="18"/>
          <w:szCs w:val="18"/>
          <w:color w:val="auto"/>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Arial" w:cs="Arial" w:eastAsia="Arial" w:hAnsi="Arial"/>
          <w:sz w:val="18"/>
          <w:szCs w:val="18"/>
          <w:b w:val="1"/>
          <w:bCs w:val="1"/>
          <w:color w:val="auto"/>
        </w:rPr>
        <w:t>Agent</w:t>
      </w:r>
      <w:r>
        <w:rPr>
          <w:rFonts w:ascii="Arial" w:cs="Arial" w:eastAsia="Arial" w:hAnsi="Arial"/>
          <w:sz w:val="18"/>
          <w:szCs w:val="18"/>
          <w:color w:val="auto"/>
        </w:rPr>
        <w:t>” or the “</w:t>
      </w:r>
      <w:r>
        <w:rPr>
          <w:rFonts w:ascii="Arial" w:cs="Arial" w:eastAsia="Arial" w:hAnsi="Arial"/>
          <w:sz w:val="18"/>
          <w:szCs w:val="18"/>
          <w:b w:val="1"/>
          <w:bCs w:val="1"/>
          <w:color w:val="auto"/>
        </w:rPr>
        <w:t>Agents</w:t>
      </w:r>
      <w:r>
        <w:rPr>
          <w:rFonts w:ascii="Arial" w:cs="Arial" w:eastAsia="Arial" w:hAnsi="Arial"/>
          <w:sz w:val="18"/>
          <w:szCs w:val="18"/>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spacing w:after="0" w:line="176" w:lineRule="exact"/>
        <w:rPr>
          <w:sz w:val="20"/>
          <w:szCs w:val="20"/>
          <w:color w:val="auto"/>
        </w:rPr>
      </w:pPr>
    </w:p>
    <w:p>
      <w:pPr>
        <w:jc w:val="both"/>
        <w:ind w:firstLine="630"/>
        <w:spacing w:after="0" w:line="284" w:lineRule="auto"/>
        <w:rPr>
          <w:sz w:val="20"/>
          <w:szCs w:val="20"/>
          <w:color w:val="auto"/>
        </w:rPr>
      </w:pPr>
      <w:r>
        <w:rPr>
          <w:rFonts w:ascii="Arial" w:cs="Arial" w:eastAsia="Arial" w:hAnsi="Arial"/>
          <w:sz w:val="17"/>
          <w:szCs w:val="17"/>
          <w:color w:val="auto"/>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53"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The institution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78"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w:t>
      </w:r>
    </w:p>
    <w:p>
      <w:pPr>
        <w:sectPr>
          <w:pgSz w:w="11900" w:h="16847" w:orient="portrait"/>
          <w:cols w:equalWidth="0" w:num="1">
            <w:col w:w="11420"/>
          </w:cols>
          <w:pgMar w:left="240" w:top="122" w:right="239" w:bottom="0" w:gutter="0" w:footer="0" w:header="0"/>
        </w:sectPr>
      </w:pPr>
    </w:p>
    <w:bookmarkStart w:id="162" w:name="page163"/>
    <w:bookmarkEnd w:id="162"/>
    <w:p>
      <w:pPr>
        <w:jc w:val="both"/>
        <w:spacing w:after="0" w:line="251" w:lineRule="auto"/>
        <w:rPr>
          <w:sz w:val="20"/>
          <w:szCs w:val="20"/>
          <w:color w:val="auto"/>
        </w:rPr>
      </w:pPr>
      <w:r>
        <w:rPr>
          <w:rFonts w:ascii="Arial" w:cs="Arial" w:eastAsia="Arial" w:hAnsi="Arial"/>
          <w:sz w:val="19"/>
          <w:szCs w:val="19"/>
          <w:color w:val="auto"/>
        </w:rPr>
        <w:t>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spacing w:after="0" w:line="17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may also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3"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78" w:lineRule="exact"/>
        <w:rPr>
          <w:sz w:val="20"/>
          <w:szCs w:val="20"/>
          <w:color w:val="auto"/>
        </w:rPr>
      </w:pPr>
    </w:p>
    <w:p>
      <w:pPr>
        <w:jc w:val="both"/>
        <w:ind w:firstLine="630"/>
        <w:spacing w:after="0" w:line="260" w:lineRule="auto"/>
        <w:rPr>
          <w:sz w:val="20"/>
          <w:szCs w:val="20"/>
          <w:color w:val="auto"/>
        </w:rPr>
      </w:pPr>
      <w:r>
        <w:rPr>
          <w:rFonts w:ascii="Arial" w:cs="Arial" w:eastAsia="Arial" w:hAnsi="Arial"/>
          <w:sz w:val="18"/>
          <w:szCs w:val="18"/>
          <w:color w:val="auto"/>
        </w:rPr>
        <w:t>Subject to the appointment and acceptance of a successor Agent as provided below, either Agent may resign at any time upon 30 days’ notice to the Lenders and the Borrower.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with the Borrower’s consent (such consent not to be unreasonably withheld or delayed)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Borrower shall be required if an Event of Default under Section 7.01(a), (b), (h) or (i) has occurred and is continuing), to appoint a successor. If no successor shall have been so appointed by the Required Lenders and shall have accepted such appointment within 30 days after the retiring Agent gives notice of its resignation, then the retiring Agent may, on behalf of the Lenders and each Issuing Bank, appoint a successor Agent which shall be a bank with an office in New York, New York, or an Affiliate of any such bank. If no successor Agent has been appointed pursuant to the immediately preceding sentence by the 30th day after the date such notice of resignation was given by such Agent, such Agent’s resignation shall become effective and the Required Lenders shall thereafter perform all the duties of such Agent hereunder and/or under any other Loan Document until such time, if any, as the Required Lenders appoint a successor Administrative Agent and/or Collateral Agent, as the case may be.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w:t>
      </w:r>
    </w:p>
    <w:p>
      <w:pPr>
        <w:spacing w:after="0" w:line="186"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Each Lender and the Issuing Bank acknowledges and represents and warrants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 Neither Agent shall have any duty or responsibility, either initially or on a continuing basis, to make any investigation or any appraisal on behalf of Lenders or any Issuing Bank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69"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8" w:lineRule="exact"/>
        <w:rPr>
          <w:sz w:val="20"/>
          <w:szCs w:val="20"/>
          <w:color w:val="auto"/>
        </w:rPr>
      </w:pPr>
    </w:p>
    <w:p>
      <w:pPr>
        <w:jc w:val="both"/>
        <w:ind w:firstLine="635"/>
        <w:spacing w:after="0" w:line="252" w:lineRule="auto"/>
        <w:tabs>
          <w:tab w:leader="none" w:pos="109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78" w:lineRule="exact"/>
        <w:rPr>
          <w:rFonts w:ascii="Arial" w:cs="Arial" w:eastAsia="Arial" w:hAnsi="Arial"/>
          <w:sz w:val="19"/>
          <w:szCs w:val="19"/>
          <w:color w:val="auto"/>
        </w:rPr>
      </w:pPr>
    </w:p>
    <w:p>
      <w:pPr>
        <w:ind w:left="1060" w:hanging="425"/>
        <w:spacing w:after="0"/>
        <w:tabs>
          <w:tab w:leader="none" w:pos="10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15"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ectPr>
          <w:pgSz w:w="11900" w:h="16838" w:orient="portrait"/>
          <w:cols w:equalWidth="0" w:num="1">
            <w:col w:w="11420"/>
          </w:cols>
          <w:pgMar w:left="240" w:top="122" w:right="239" w:bottom="0" w:gutter="0" w:footer="0" w:header="0"/>
        </w:sectPr>
      </w:pPr>
    </w:p>
    <w:bookmarkStart w:id="163" w:name="page164"/>
    <w:bookmarkEnd w:id="163"/>
    <w:p>
      <w:pPr>
        <w:jc w:val="both"/>
        <w:ind w:firstLine="630"/>
        <w:spacing w:after="0" w:line="260"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70"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7"/>
          <w:szCs w:val="17"/>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spacing w:after="0" w:line="164"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Notwithstanding any other provision of this Agreement or any provision of any other Loan Document, each Lead Arranger is named as such for recognition purposes only, and in its capacity as such shall have no duties, responsibilities or liabilities with respect to this Agreement or any other Loan Document; it being understood and agreed that the Lead Arrangers shall be entitled to all indemnification and reimbursement rights in favor of the Agents provided herein and in the other Loan Documents. Without limitation of the foregoing, the Lead Arrangers in their respective capacities as such shall not, by reason of this Agreement or any other Loan Document, have any fiduciary relationship in respect of any Lender, any Loan Party or any other Person.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term “Lender” in this Section 8.01 shall include any Issuing Bank and the Swingline Lender.</w:t>
      </w:r>
    </w:p>
    <w:p>
      <w:pPr>
        <w:spacing w:after="0" w:line="215"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8.02.</w:t>
      </w:r>
      <w:r>
        <w:rPr>
          <w:sz w:val="20"/>
          <w:szCs w:val="20"/>
          <w:color w:val="auto"/>
        </w:rPr>
        <w:tab/>
      </w:r>
      <w:r>
        <w:rPr>
          <w:rFonts w:ascii="Arial" w:cs="Arial" w:eastAsia="Arial" w:hAnsi="Arial"/>
          <w:sz w:val="17"/>
          <w:szCs w:val="17"/>
          <w:i w:val="1"/>
          <w:iCs w:val="1"/>
          <w:color w:val="auto"/>
        </w:rPr>
        <w:t>Certain ERISA Matters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4" w:lineRule="auto"/>
        <w:tabs>
          <w:tab w:leader="none" w:pos="101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7" w:lineRule="exact"/>
        <w:rPr>
          <w:rFonts w:ascii="Arial" w:cs="Arial" w:eastAsia="Arial" w:hAnsi="Arial"/>
          <w:sz w:val="19"/>
          <w:szCs w:val="19"/>
          <w:color w:val="auto"/>
        </w:rPr>
      </w:pPr>
    </w:p>
    <w:p>
      <w:pPr>
        <w:jc w:val="both"/>
        <w:ind w:left="640" w:firstLine="861"/>
        <w:spacing w:after="0" w:line="259" w:lineRule="auto"/>
        <w:tabs>
          <w:tab w:leader="none" w:pos="1863" w:val="left"/>
        </w:tabs>
        <w:numPr>
          <w:ilvl w:val="1"/>
          <w:numId w:val="148"/>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1" w:lineRule="exact"/>
        <w:rPr>
          <w:rFonts w:ascii="Arial" w:cs="Arial" w:eastAsia="Arial" w:hAnsi="Arial"/>
          <w:sz w:val="19"/>
          <w:szCs w:val="19"/>
          <w:color w:val="auto"/>
        </w:rPr>
      </w:pPr>
    </w:p>
    <w:p>
      <w:pPr>
        <w:jc w:val="both"/>
        <w:ind w:left="640" w:firstLine="861"/>
        <w:spacing w:after="0" w:line="286" w:lineRule="auto"/>
        <w:tabs>
          <w:tab w:leader="none" w:pos="196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1" w:lineRule="exact"/>
        <w:rPr>
          <w:rFonts w:ascii="Arial" w:cs="Arial" w:eastAsia="Arial" w:hAnsi="Arial"/>
          <w:sz w:val="17"/>
          <w:szCs w:val="17"/>
          <w:color w:val="auto"/>
        </w:rPr>
      </w:pPr>
    </w:p>
    <w:p>
      <w:pPr>
        <w:jc w:val="both"/>
        <w:ind w:left="640" w:firstLine="861"/>
        <w:spacing w:after="0" w:line="266" w:lineRule="auto"/>
        <w:tabs>
          <w:tab w:leader="none" w:pos="196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5" w:lineRule="exact"/>
        <w:rPr>
          <w:rFonts w:ascii="Arial" w:cs="Arial" w:eastAsia="Arial" w:hAnsi="Arial"/>
          <w:sz w:val="18"/>
          <w:szCs w:val="18"/>
          <w:color w:val="auto"/>
        </w:rPr>
      </w:pPr>
    </w:p>
    <w:p>
      <w:pPr>
        <w:ind w:left="640" w:firstLine="861"/>
        <w:spacing w:after="0" w:line="274" w:lineRule="auto"/>
        <w:tabs>
          <w:tab w:leader="none" w:pos="2011" w:val="left"/>
        </w:tabs>
        <w:numPr>
          <w:ilvl w:val="1"/>
          <w:numId w:val="148"/>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7" w:lineRule="exact"/>
        <w:rPr>
          <w:rFonts w:ascii="Arial" w:cs="Arial" w:eastAsia="Arial" w:hAnsi="Arial"/>
          <w:sz w:val="19"/>
          <w:szCs w:val="19"/>
          <w:color w:val="auto"/>
        </w:rPr>
      </w:pPr>
    </w:p>
    <w:p>
      <w:pPr>
        <w:jc w:val="both"/>
        <w:ind w:firstLine="635"/>
        <w:spacing w:after="0" w:line="265" w:lineRule="auto"/>
        <w:tabs>
          <w:tab w:leader="none" w:pos="10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ARTICLE 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MISCELLANEOUS</w:t>
      </w:r>
    </w:p>
    <w:p>
      <w:pPr>
        <w:spacing w:after="0" w:line="22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9.01.</w:t>
      </w:r>
      <w:r>
        <w:rPr>
          <w:sz w:val="20"/>
          <w:szCs w:val="20"/>
          <w:color w:val="auto"/>
        </w:rPr>
        <w:tab/>
      </w:r>
      <w:r>
        <w:rPr>
          <w:rFonts w:ascii="Arial" w:cs="Arial" w:eastAsia="Arial" w:hAnsi="Arial"/>
          <w:sz w:val="17"/>
          <w:szCs w:val="17"/>
          <w:i w:val="1"/>
          <w:iCs w:val="1"/>
          <w:color w:val="auto"/>
        </w:rPr>
        <w:t>Notices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59" w:lineRule="auto"/>
        <w:tabs>
          <w:tab w:leader="none" w:pos="117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ectPr>
          <w:pgSz w:w="11900" w:h="16838" w:orient="portrait"/>
          <w:cols w:equalWidth="0" w:num="1">
            <w:col w:w="11420"/>
          </w:cols>
          <w:pgMar w:left="240" w:top="122" w:right="239" w:bottom="0" w:gutter="0" w:footer="0" w:header="0"/>
        </w:sectPr>
      </w:pPr>
    </w:p>
    <w:bookmarkStart w:id="164" w:name="page165"/>
    <w:bookmarkEnd w:id="164"/>
    <w:p>
      <w:pPr>
        <w:ind w:left="640" w:firstLine="861"/>
        <w:spacing w:after="0" w:line="274" w:lineRule="auto"/>
        <w:tabs>
          <w:tab w:leader="none" w:pos="195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to Holdings, the Borrower, the Administrative Agent, the Issuing Bank or the Swingline Lender, to the address, fax number, e-mail address or telephone number specified for such Person on Schedule 9.01; and</w:t>
      </w:r>
    </w:p>
    <w:p>
      <w:pPr>
        <w:spacing w:after="0" w:line="157" w:lineRule="exact"/>
        <w:rPr>
          <w:rFonts w:ascii="Arial" w:cs="Arial" w:eastAsia="Arial" w:hAnsi="Arial"/>
          <w:sz w:val="19"/>
          <w:szCs w:val="19"/>
          <w:color w:val="auto"/>
        </w:rPr>
      </w:pPr>
    </w:p>
    <w:p>
      <w:pPr>
        <w:jc w:val="both"/>
        <w:ind w:left="640" w:firstLine="861"/>
        <w:spacing w:after="0" w:line="280" w:lineRule="auto"/>
        <w:tabs>
          <w:tab w:leader="none" w:pos="19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55" w:lineRule="exact"/>
        <w:rPr>
          <w:sz w:val="20"/>
          <w:szCs w:val="20"/>
          <w:color w:val="auto"/>
        </w:rPr>
      </w:pPr>
    </w:p>
    <w:p>
      <w:pPr>
        <w:jc w:val="both"/>
        <w:ind w:firstLine="630"/>
        <w:spacing w:after="0" w:line="252"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8" w:lineRule="exact"/>
        <w:rPr>
          <w:sz w:val="20"/>
          <w:szCs w:val="20"/>
          <w:color w:val="auto"/>
        </w:rPr>
      </w:pPr>
    </w:p>
    <w:p>
      <w:pPr>
        <w:jc w:val="both"/>
        <w:ind w:firstLine="635"/>
        <w:spacing w:after="0" w:line="252" w:lineRule="auto"/>
        <w:tabs>
          <w:tab w:leader="none" w:pos="1029"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Electronic Communications</w:t>
      </w:r>
      <w:r>
        <w:rPr>
          <w:rFonts w:ascii="Arial" w:cs="Arial" w:eastAsia="Arial" w:hAnsi="Arial"/>
          <w:sz w:val="19"/>
          <w:szCs w:val="19"/>
          <w:color w:val="auto"/>
        </w:rPr>
        <w:t>. Notices and other communications to the Lenders, the Issuing Banks and the Swingline Lender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be delivered or furnished by electronic communication (including e-mail and Internet or intranet websites) pursuant to procedures reasonably approved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the Issuing Banks or the Swingline Lender pursuant to Article 2 if such Lender, the Issuing Banks or the Swingline Lender, as applicable, has notified the Administrative Agent that it is incapable of receiving notices under such Article by electronic communication.</w:t>
      </w:r>
    </w:p>
    <w:p>
      <w:pPr>
        <w:spacing w:after="0" w:line="178"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9" w:lineRule="exact"/>
        <w:rPr>
          <w:sz w:val="20"/>
          <w:szCs w:val="20"/>
          <w:color w:val="auto"/>
        </w:rPr>
      </w:pPr>
    </w:p>
    <w:p>
      <w:pPr>
        <w:jc w:val="both"/>
        <w:ind w:firstLine="635"/>
        <w:spacing w:after="0" w:line="262" w:lineRule="auto"/>
        <w:tabs>
          <w:tab w:leader="none" w:pos="116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The Platform. </w:t>
      </w:r>
      <w:r>
        <w:rPr>
          <w:rFonts w:ascii="Arial" w:cs="Arial" w:eastAsia="Arial" w:hAnsi="Arial"/>
          <w:sz w:val="18"/>
          <w:szCs w:val="18"/>
          <w:color w:val="auto"/>
        </w:rPr>
        <w:t>THE PLATFORM IS PROVIDED “AS IS” AND “AS AVAILABLE.” THE AGENT PARTIES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have any liability to Holdings, the Borrower, any Lender, the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72" w:lineRule="exact"/>
        <w:rPr>
          <w:rFonts w:ascii="Arial" w:cs="Arial" w:eastAsia="Arial" w:hAnsi="Arial"/>
          <w:sz w:val="18"/>
          <w:szCs w:val="18"/>
          <w:color w:val="auto"/>
        </w:rPr>
      </w:pPr>
    </w:p>
    <w:p>
      <w:pPr>
        <w:jc w:val="both"/>
        <w:ind w:firstLine="635"/>
        <w:spacing w:after="0" w:line="250" w:lineRule="auto"/>
        <w:tabs>
          <w:tab w:leader="none" w:pos="1055"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 xml:space="preserve">Public Lenders. </w:t>
      </w:r>
      <w:r>
        <w:rPr>
          <w:rFonts w:ascii="Arial" w:cs="Arial" w:eastAsia="Arial" w:hAnsi="Arial"/>
          <w:sz w:val="19"/>
          <w:szCs w:val="19"/>
          <w:color w:val="auto"/>
        </w:rPr>
        <w:t>Each Public Lender agrees to cause at least one individual at or on behalf of such Public Lender to at all times have</w:t>
      </w:r>
      <w:r>
        <w:rPr>
          <w:rFonts w:ascii="Arial" w:cs="Arial" w:eastAsia="Arial" w:hAnsi="Arial"/>
          <w:sz w:val="19"/>
          <w:szCs w:val="19"/>
          <w:i w:val="1"/>
          <w:iCs w:val="1"/>
          <w:color w:val="auto"/>
        </w:rPr>
        <w:t xml:space="preserve"> </w:t>
      </w:r>
      <w:r>
        <w:rPr>
          <w:rFonts w:ascii="Arial" w:cs="Arial" w:eastAsia="Arial" w:hAnsi="Arial"/>
          <w:sz w:val="19"/>
          <w:szCs w:val="19"/>
          <w:color w:val="auto"/>
        </w:rPr>
        <w:t>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3" w:lineRule="exact"/>
        <w:rPr>
          <w:rFonts w:ascii="Arial" w:cs="Arial" w:eastAsia="Arial" w:hAnsi="Arial"/>
          <w:sz w:val="19"/>
          <w:szCs w:val="19"/>
          <w:color w:val="auto"/>
        </w:rPr>
      </w:pPr>
    </w:p>
    <w:p>
      <w:pPr>
        <w:jc w:val="both"/>
        <w:ind w:firstLine="635"/>
        <w:spacing w:after="0" w:line="286" w:lineRule="auto"/>
        <w:tabs>
          <w:tab w:leader="none" w:pos="1031"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Change of Address, Etc</w:t>
      </w:r>
      <w:r>
        <w:rPr>
          <w:rFonts w:ascii="Arial" w:cs="Arial" w:eastAsia="Arial" w:hAnsi="Arial"/>
          <w:sz w:val="17"/>
          <w:szCs w:val="17"/>
          <w:color w:val="auto"/>
        </w:rPr>
        <w:t>. Each of Holdings, the Borrower, the Administrative Agent, the Issuing Banks and the Swingline Lender may</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its 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51" w:lineRule="exact"/>
        <w:rPr>
          <w:rFonts w:ascii="Arial" w:cs="Arial" w:eastAsia="Arial" w:hAnsi="Arial"/>
          <w:sz w:val="17"/>
          <w:szCs w:val="17"/>
          <w:color w:val="auto"/>
        </w:rPr>
      </w:pPr>
    </w:p>
    <w:p>
      <w:pPr>
        <w:jc w:val="both"/>
        <w:ind w:firstLine="635"/>
        <w:spacing w:after="0" w:line="265" w:lineRule="auto"/>
        <w:tabs>
          <w:tab w:leader="none" w:pos="105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Reliance by Administrative Agent, Issuing Bank and Lenders</w:t>
      </w:r>
      <w:r>
        <w:rPr>
          <w:rFonts w:ascii="Arial" w:cs="Arial" w:eastAsia="Arial" w:hAnsi="Arial"/>
          <w:sz w:val="18"/>
          <w:szCs w:val="18"/>
          <w:color w:val="auto"/>
        </w:rPr>
        <w:t>. The Administrative Agent, the Issuing Bank and the Lenders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67"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9.02.</w:t>
      </w:r>
      <w:r>
        <w:rPr>
          <w:sz w:val="20"/>
          <w:szCs w:val="20"/>
          <w:color w:val="auto"/>
        </w:rPr>
        <w:tab/>
      </w:r>
      <w:r>
        <w:rPr>
          <w:rFonts w:ascii="Arial" w:cs="Arial" w:eastAsia="Arial" w:hAnsi="Arial"/>
          <w:sz w:val="17"/>
          <w:szCs w:val="17"/>
          <w:i w:val="1"/>
          <w:iCs w:val="1"/>
          <w:color w:val="auto"/>
        </w:rPr>
        <w:t>Waivers; Amendments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82" w:lineRule="auto"/>
        <w:tabs>
          <w:tab w:leader="none" w:pos="113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w:t>
      </w:r>
    </w:p>
    <w:p>
      <w:pPr>
        <w:sectPr>
          <w:pgSz w:w="11900" w:h="16838" w:orient="portrait"/>
          <w:cols w:equalWidth="0" w:num="1">
            <w:col w:w="11420"/>
          </w:cols>
          <w:pgMar w:left="240" w:top="175" w:right="239" w:bottom="0" w:gutter="0" w:footer="0" w:header="0"/>
        </w:sectPr>
      </w:pPr>
    </w:p>
    <w:bookmarkStart w:id="165" w:name="page166"/>
    <w:bookmarkEnd w:id="165"/>
    <w:p>
      <w:pPr>
        <w:spacing w:after="0" w:line="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70" w:lineRule="exact"/>
        <w:rPr>
          <w:sz w:val="20"/>
          <w:szCs w:val="20"/>
          <w:color w:val="auto"/>
        </w:rPr>
      </w:pPr>
    </w:p>
    <w:p>
      <w:pPr>
        <w:jc w:val="both"/>
        <w:ind w:firstLine="635"/>
        <w:spacing w:after="0" w:line="274" w:lineRule="auto"/>
        <w:tabs>
          <w:tab w:leader="none" w:pos="112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6.14 with respect to a change in the fiscal year of Holdings and the Borrower or Section 2.12(b) with respect to an alternate rate of interest,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agreement shall (i) increase the Commitment of any Lender without the written consent of such Lender (it being understood that a waiver of any condition precedent set forth in paragraphs (a) and (b) of Section 4.02 or the waiver of any Default, mandatory prepayment or mandatory reduction of the Commitments shall not constitute an extension or increase of any Commitment of any Lender), (ii) reduce the principal amount of any Loan or LC Disbursement or reduce the reimbursement obligations of the Borrower in respect of the LC Exposure or reduce the rate of interest thereon, or reduce any fees payable hereunder, without the written consent of each Lender directly and adversely affected thereby (it being understood that any change to the definition of First Lien Leverage Ratio, Net First Lien Leverage Ratio, Secured Leverage Ratio, Total Leverage Ratio or in the component definitions thereof shall not constitute a reduction of interest or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only the consent of the Required Lenders shall be necessary to waive any obligation of the Borrower to pay default interest pursuant to Section 2.11(c),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change Section 2.16(b) or</w:t>
      </w:r>
    </w:p>
    <w:p>
      <w:pPr>
        <w:spacing w:after="0" w:line="14" w:lineRule="exact"/>
        <w:rPr>
          <w:rFonts w:ascii="Arial" w:cs="Arial" w:eastAsia="Arial" w:hAnsi="Arial"/>
          <w:sz w:val="17"/>
          <w:szCs w:val="17"/>
          <w:color w:val="auto"/>
        </w:rPr>
      </w:pPr>
    </w:p>
    <w:p>
      <w:pPr>
        <w:jc w:val="both"/>
        <w:ind w:firstLine="5"/>
        <w:spacing w:after="0" w:line="273" w:lineRule="auto"/>
        <w:tabs>
          <w:tab w:leader="none" w:pos="29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in a manner that would alter the pro rata sharing of payments required thereby, without the written consent of each Lender (other than a Defaulting Lender),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or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 no such agreement shall amend, modify or otherwise affect the rights or duties of the Administrative Agent, the Swingline Lender or any Issuing Bank without the prior written consent of the Administrative Agent, the Swingline Lender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Notwithstanding anything to the contrary, only the consent of the Required Revolving Lenders shall be necessary to</w:t>
      </w:r>
    </w:p>
    <w:p>
      <w:pPr>
        <w:spacing w:after="0" w:line="22" w:lineRule="exact"/>
        <w:rPr>
          <w:rFonts w:ascii="Arial" w:cs="Arial" w:eastAsia="Arial" w:hAnsi="Arial"/>
          <w:sz w:val="17"/>
          <w:szCs w:val="17"/>
          <w:color w:val="auto"/>
        </w:rPr>
      </w:pPr>
    </w:p>
    <w:p>
      <w:pPr>
        <w:jc w:val="both"/>
        <w:spacing w:after="0" w:line="265" w:lineRule="auto"/>
        <w:rPr>
          <w:rFonts w:ascii="Arial" w:cs="Arial" w:eastAsia="Arial" w:hAnsi="Arial"/>
          <w:sz w:val="17"/>
          <w:szCs w:val="17"/>
          <w:color w:val="auto"/>
        </w:rPr>
      </w:pPr>
      <w:r>
        <w:rPr>
          <w:rFonts w:ascii="Arial" w:cs="Arial" w:eastAsia="Arial" w:hAnsi="Arial"/>
          <w:sz w:val="18"/>
          <w:szCs w:val="18"/>
          <w:color w:val="auto"/>
        </w:rPr>
        <w:t>(1) waive or consent to a waiver of an Event of Default with respect to the Financial Performance Covenant or waive or amend the conditions set forth in Section 4.02 (and Section 4.02 may not be waived or amended in a manner that affects the making of any Revolving Borrowing without the consent of the Required Revolving Lenders) or (2) modify or amend the Financial Performance Covenant (and the Financial Performance Covenant may not be modified or amended without the consent of the Required Revolving Lenders) or Section 7.02 (including, in each case, the related definitions, solely to the extent such definitions are used in such Sections (but not otherwise)) or this sentence.</w:t>
      </w:r>
    </w:p>
    <w:p>
      <w:pPr>
        <w:spacing w:after="0" w:line="160" w:lineRule="exact"/>
        <w:rPr>
          <w:rFonts w:ascii="Arial" w:cs="Arial" w:eastAsia="Arial" w:hAnsi="Arial"/>
          <w:sz w:val="17"/>
          <w:szCs w:val="17"/>
          <w:color w:val="auto"/>
        </w:rPr>
      </w:pPr>
    </w:p>
    <w:p>
      <w:pPr>
        <w:jc w:val="both"/>
        <w:ind w:firstLine="635"/>
        <w:spacing w:after="0" w:line="278" w:lineRule="auto"/>
        <w:tabs>
          <w:tab w:leader="none" w:pos="101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waiver or termination (a “</w:t>
      </w:r>
      <w:r>
        <w:rPr>
          <w:rFonts w:ascii="Arial" w:cs="Arial" w:eastAsia="Arial" w:hAnsi="Arial"/>
          <w:sz w:val="17"/>
          <w:szCs w:val="17"/>
          <w:b w:val="1"/>
          <w:bCs w:val="1"/>
          <w:color w:val="auto"/>
        </w:rPr>
        <w:t>Proposed Change</w:t>
      </w:r>
      <w:r>
        <w:rPr>
          <w:rFonts w:ascii="Arial" w:cs="Arial" w:eastAsia="Arial" w:hAnsi="Arial"/>
          <w:sz w:val="17"/>
          <w:szCs w:val="17"/>
          <w:color w:val="auto"/>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7"/>
          <w:szCs w:val="17"/>
          <w:b w:val="1"/>
          <w:bCs w:val="1"/>
          <w:color w:val="auto"/>
        </w:rPr>
        <w:t>Non-Consenting Lender</w:t>
      </w:r>
      <w:r>
        <w:rPr>
          <w:rFonts w:ascii="Arial" w:cs="Arial" w:eastAsia="Arial" w:hAnsi="Arial"/>
          <w:sz w:val="17"/>
          <w:szCs w:val="17"/>
          <w:color w:val="auto"/>
        </w:rPr>
        <w:t>”),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provided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and the Swingline Lender), which consent shall not unreasonably be withheld, (b) such Non-Consenting Lender shall have received payment of an amount equal to the outstanding par principal amount of its Loans and participations in LC Disbursements and Swingline Lenders, accrued interest thereon, accrued fees and all other amounts payable to it hereunder (including pursuant to Section 2.09(a)(i)) from the Eligible Assignee (to the extent of such outstanding principal and</w:t>
      </w:r>
    </w:p>
    <w:p>
      <w:pPr>
        <w:sectPr>
          <w:pgSz w:w="11900" w:h="16851" w:orient="portrait"/>
          <w:cols w:equalWidth="0" w:num="1">
            <w:col w:w="11420"/>
          </w:cols>
          <w:pgMar w:left="240" w:top="122" w:right="239" w:bottom="0" w:gutter="0" w:footer="0" w:header="0"/>
        </w:sectPr>
      </w:pPr>
    </w:p>
    <w:bookmarkStart w:id="166" w:name="page167"/>
    <w:bookmarkEnd w:id="166"/>
    <w:p>
      <w:pPr>
        <w:jc w:val="both"/>
        <w:spacing w:after="0" w:line="273" w:lineRule="auto"/>
        <w:rPr>
          <w:sz w:val="20"/>
          <w:szCs w:val="20"/>
          <w:color w:val="auto"/>
        </w:rPr>
      </w:pPr>
      <w:r>
        <w:rPr>
          <w:rFonts w:ascii="Arial" w:cs="Arial" w:eastAsia="Arial" w:hAnsi="Arial"/>
          <w:sz w:val="18"/>
          <w:szCs w:val="18"/>
          <w:color w:val="auto"/>
        </w:rPr>
        <w:t>accrued interest and fees) or the Borrower (in the case of all other amounts) and (c) unless waived, the Borrower or such Eligible Assignee shall have paid to the Administrative Agent the processing and recordation fee specified in Section 9.04(b). Each party hereto agrees that an assignment required pursuant to this Section 9.02(c) may be effected pursuant to an Assignment and Assumption executed by the Borrower, the Administrative Agent and the assignee and that the Non-Consenting Lender required to make such assignment need not be a party thereto.</w:t>
      </w:r>
    </w:p>
    <w:p>
      <w:pPr>
        <w:spacing w:after="0" w:line="162" w:lineRule="exact"/>
        <w:rPr>
          <w:sz w:val="20"/>
          <w:szCs w:val="20"/>
          <w:color w:val="auto"/>
        </w:rPr>
      </w:pPr>
    </w:p>
    <w:p>
      <w:pPr>
        <w:jc w:val="both"/>
        <w:ind w:firstLine="635"/>
        <w:spacing w:after="0" w:line="249" w:lineRule="auto"/>
        <w:tabs>
          <w:tab w:leader="none" w:pos="102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or the other Loan Documents to the contrary,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or the Required Revolving Lenders have taken or may take any action hereunder (including any consent to any amendment or waiver pursuant to this Section 9.02);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8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9.03.</w:t>
      </w:r>
      <w:r>
        <w:rPr>
          <w:sz w:val="20"/>
          <w:szCs w:val="20"/>
          <w:color w:val="auto"/>
        </w:rPr>
        <w:tab/>
      </w:r>
      <w:r>
        <w:rPr>
          <w:rFonts w:ascii="Arial" w:cs="Arial" w:eastAsia="Arial" w:hAnsi="Arial"/>
          <w:sz w:val="17"/>
          <w:szCs w:val="17"/>
          <w:i w:val="1"/>
          <w:iCs w:val="1"/>
          <w:color w:val="auto"/>
        </w:rPr>
        <w:t>Expenses; Indemnity; Damage Waiver</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61" w:lineRule="auto"/>
        <w:tabs>
          <w:tab w:leader="none" w:pos="124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The Borrower shall pay (i) all reasonable and documented or invoiced out-of-pocket costs and expenses incurred by the Administrative Agent, the Lead Arrangers, each Issuing Bank, the Swingline Lender, the Lenders and their respective Affiliates (without duplication), including the reasonable fees, charges and disbursements of Cahill Gordon &amp; Reindel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 any workout, restructuring or negotiations in respect of such Loans or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 interest, one additional counsel per affected party, and any other counsel retained with the Borrower’s consent (such consent not to be unreasonably withheld or delayed).</w:t>
      </w:r>
    </w:p>
    <w:p>
      <w:pPr>
        <w:spacing w:after="0" w:line="172" w:lineRule="exact"/>
        <w:rPr>
          <w:rFonts w:ascii="Arial" w:cs="Arial" w:eastAsia="Arial" w:hAnsi="Arial"/>
          <w:sz w:val="18"/>
          <w:szCs w:val="18"/>
          <w:color w:val="auto"/>
        </w:rPr>
      </w:pPr>
    </w:p>
    <w:p>
      <w:pPr>
        <w:jc w:val="both"/>
        <w:ind w:firstLine="635"/>
        <w:spacing w:after="0" w:line="275" w:lineRule="auto"/>
        <w:tabs>
          <w:tab w:leader="none" w:pos="102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each Issuing Bank, each Lender, the Lead Arrangers, and each Related Party of any of the foregoing Persons (each such Person being called an “</w:t>
      </w:r>
      <w:r>
        <w:rPr>
          <w:rFonts w:ascii="Arial" w:cs="Arial" w:eastAsia="Arial" w:hAnsi="Arial"/>
          <w:sz w:val="17"/>
          <w:szCs w:val="17"/>
          <w:b w:val="1"/>
          <w:bCs w:val="1"/>
          <w:color w:val="auto"/>
        </w:rPr>
        <w:t>Indemnitee</w:t>
      </w:r>
      <w:r>
        <w:rPr>
          <w:rFonts w:ascii="Arial" w:cs="Arial" w:eastAsia="Arial" w:hAnsi="Arial"/>
          <w:sz w:val="17"/>
          <w:szCs w:val="17"/>
          <w:color w:val="auto"/>
        </w:rPr>
        <w:t>”) against, and hold each Indemnitee harmless from, any and all losses, claims, damages, liabilities and reasonable and documented or invoiced out-of-pocket fees and expenses of any counsel for any Indemnitee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w:t>
      </w:r>
    </w:p>
    <w:p>
      <w:pPr>
        <w:spacing w:after="0" w:line="4" w:lineRule="exact"/>
        <w:rPr>
          <w:rFonts w:ascii="Arial" w:cs="Arial" w:eastAsia="Arial" w:hAnsi="Arial"/>
          <w:sz w:val="17"/>
          <w:szCs w:val="17"/>
          <w:color w:val="auto"/>
        </w:rPr>
      </w:pPr>
    </w:p>
    <w:p>
      <w:pPr>
        <w:jc w:val="both"/>
        <w:ind w:firstLine="5"/>
        <w:spacing w:after="0" w:line="261" w:lineRule="auto"/>
        <w:tabs>
          <w:tab w:leader="none" w:pos="3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any actual or prospective claim, litigation, investigation or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Arrangers, the Issuing Banks and the Swingline Lender shall be indemnified in their capacities as such with respect to any dispute under this clause (z).</w:t>
      </w:r>
    </w:p>
    <w:p>
      <w:pPr>
        <w:spacing w:after="0" w:line="176" w:lineRule="exact"/>
        <w:rPr>
          <w:rFonts w:ascii="Arial" w:cs="Arial" w:eastAsia="Arial" w:hAnsi="Arial"/>
          <w:sz w:val="18"/>
          <w:szCs w:val="18"/>
          <w:color w:val="auto"/>
        </w:rPr>
      </w:pPr>
    </w:p>
    <w:p>
      <w:pPr>
        <w:jc w:val="both"/>
        <w:ind w:firstLine="635"/>
        <w:spacing w:after="0" w:line="265" w:lineRule="auto"/>
        <w:tabs>
          <w:tab w:leader="none" w:pos="10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Administrative Agent, any Issuing Bank or any Lead Arranger under paragraph (a) or (b) of this Section, each Lender severally agrees to pay to the Administrative Agent, such Issuing Bank or the Lead Arrangers, as the case may be, such Lender’s pro rata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such Lead Arranger in its capacity as such. For purposes hereof, a Lender’s “pro rata share” shall be determined based upon its share of the aggregate Revolving Exposures, Term Loans and unused Commitments at such time. The obligations of the Lenders under this paragraph (c) are subject to the last sentence of Section 2.02(a)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Lenders’ obligations under this paragraph (c)).</w:t>
      </w:r>
    </w:p>
    <w:p>
      <w:pPr>
        <w:spacing w:after="0" w:line="166" w:lineRule="exact"/>
        <w:rPr>
          <w:rFonts w:ascii="Arial" w:cs="Arial" w:eastAsia="Arial" w:hAnsi="Arial"/>
          <w:sz w:val="18"/>
          <w:szCs w:val="18"/>
          <w:color w:val="auto"/>
        </w:rPr>
      </w:pPr>
    </w:p>
    <w:p>
      <w:pPr>
        <w:jc w:val="both"/>
        <w:ind w:firstLine="635"/>
        <w:spacing w:after="0" w:line="286" w:lineRule="auto"/>
        <w:tabs>
          <w:tab w:leader="none" w:pos="105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neither Holdings nor the Borrower shall assert, and each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or willful misconduct of, or a material breach of the Loan</w:t>
      </w:r>
    </w:p>
    <w:p>
      <w:pPr>
        <w:sectPr>
          <w:pgSz w:w="11900" w:h="16838" w:orient="portrait"/>
          <w:cols w:equalWidth="0" w:num="1">
            <w:col w:w="11420"/>
          </w:cols>
          <w:pgMar w:left="240" w:top="122" w:right="239" w:bottom="0" w:gutter="0" w:footer="0" w:header="0"/>
        </w:sectPr>
      </w:pPr>
    </w:p>
    <w:bookmarkStart w:id="167" w:name="page168"/>
    <w:bookmarkEnd w:id="167"/>
    <w:p>
      <w:pPr>
        <w:jc w:val="both"/>
        <w:spacing w:after="0" w:line="281" w:lineRule="auto"/>
        <w:rPr>
          <w:sz w:val="20"/>
          <w:szCs w:val="20"/>
          <w:color w:val="auto"/>
        </w:rPr>
      </w:pPr>
      <w:r>
        <w:rPr>
          <w:rFonts w:ascii="Arial" w:cs="Arial" w:eastAsia="Arial" w:hAnsi="Arial"/>
          <w:sz w:val="18"/>
          <w:szCs w:val="18"/>
          <w:color w:val="auto"/>
        </w:rPr>
        <w:t>Documents by, such Indemnitee or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54" w:lineRule="exact"/>
        <w:rPr>
          <w:sz w:val="20"/>
          <w:szCs w:val="20"/>
          <w:color w:val="auto"/>
        </w:rPr>
      </w:pPr>
    </w:p>
    <w:p>
      <w:pPr>
        <w:jc w:val="both"/>
        <w:ind w:firstLine="635"/>
        <w:spacing w:after="0" w:line="280" w:lineRule="auto"/>
        <w:tabs>
          <w:tab w:leader="none" w:pos="10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All amounts due under this Section shall be payable not later than ten (10) Business Days after written demand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Indemnitee shall promptly refund an indemnification payment received hereunder to the extent that there is a final judicial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that such Indemnitee was not entitled to indemnification with respect to such payment pursuant to this Section 9.03.</w:t>
      </w:r>
    </w:p>
    <w:p>
      <w:pPr>
        <w:spacing w:after="0" w:line="155"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9.04.</w:t>
      </w:r>
      <w:r>
        <w:rPr>
          <w:sz w:val="20"/>
          <w:szCs w:val="20"/>
          <w:color w:val="auto"/>
        </w:rPr>
        <w:tab/>
      </w:r>
      <w:r>
        <w:rPr>
          <w:rFonts w:ascii="Arial" w:cs="Arial" w:eastAsia="Arial" w:hAnsi="Arial"/>
          <w:sz w:val="16"/>
          <w:szCs w:val="16"/>
          <w:i w:val="1"/>
          <w:iCs w:val="1"/>
          <w:color w:val="auto"/>
        </w:rPr>
        <w:t>Successors and Assigns</w:t>
      </w:r>
      <w:r>
        <w:rPr>
          <w:rFonts w:ascii="Arial" w:cs="Arial" w:eastAsia="Arial" w:hAnsi="Arial"/>
          <w:sz w:val="16"/>
          <w:szCs w:val="16"/>
          <w:color w:val="auto"/>
        </w:rPr>
        <w:t>.</w:t>
      </w:r>
    </w:p>
    <w:p>
      <w:pPr>
        <w:spacing w:after="0" w:line="215" w:lineRule="exact"/>
        <w:rPr>
          <w:sz w:val="20"/>
          <w:szCs w:val="20"/>
          <w:color w:val="auto"/>
        </w:rPr>
      </w:pPr>
    </w:p>
    <w:p>
      <w:pPr>
        <w:jc w:val="both"/>
        <w:ind w:firstLine="635"/>
        <w:spacing w:after="0" w:line="248" w:lineRule="auto"/>
        <w:tabs>
          <w:tab w:leader="none" w:pos="105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Indemnitees and, to the extent expressly contemplated hereby, the Related Parties of each of the Administrative Agent, the Swingline Lender, the Issuing Banks and the Lenders) any legal or equitable right, remedy or claim under or by reason of this Agreement.</w:t>
      </w:r>
    </w:p>
    <w:p>
      <w:pPr>
        <w:spacing w:after="0" w:line="180" w:lineRule="exact"/>
        <w:rPr>
          <w:rFonts w:ascii="Arial" w:cs="Arial" w:eastAsia="Arial" w:hAnsi="Arial"/>
          <w:sz w:val="19"/>
          <w:szCs w:val="19"/>
          <w:color w:val="auto"/>
        </w:rPr>
      </w:pPr>
    </w:p>
    <w:p>
      <w:pPr>
        <w:jc w:val="both"/>
        <w:ind w:firstLine="635"/>
        <w:spacing w:after="0" w:line="277" w:lineRule="auto"/>
        <w:tabs>
          <w:tab w:leader="none" w:pos="104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Borrower shall be deemed to have consented to any assignment unless it has objected thereto by written notice to the Administrative Agent within 10 calendar days after receipt of a written request for such consent and (B) no consent of the Borrower shall be required for an assignment (x) solely in the case of Term Loans, to any Lender, an Affiliate of any Lender or an Approved Fund, (y) solely in the case of Revolving Loans and Revolving Commitments, to any Revolving Lender, an Affiliate of any Revolving Lender or an Approved Fund, or (z) if an Event of Default under Section 7.01(a), (b), (h) or (i) has occurred and is continuing;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any such purported assignment is to a Competitor (other than any such assignment to a Lead Arranger (or to any Affiliate of a Lead Arranger) for the purpose of facilitating bona fide trades of Term Loans to entities that are not Disqualified Lenders), the Borrower may unreasonably withhold its consent;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in the case of Term Loans, no consent of the Administrative Agent shall be required for an assignment to any Lender, an Affiliate of any Lender or an Approved Fund and (C) solely in the case of Revolving Loans and Revolving Commitments, each Issuing Bank and the Swingline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five (5) Business Days after written notice to the Borrower, the Borrower shall be deemed to have consented to such assignment.</w:t>
      </w:r>
    </w:p>
    <w:p>
      <w:pPr>
        <w:spacing w:after="0" w:line="165" w:lineRule="exact"/>
        <w:rPr>
          <w:rFonts w:ascii="Arial" w:cs="Arial" w:eastAsia="Arial" w:hAnsi="Arial"/>
          <w:sz w:val="17"/>
          <w:szCs w:val="17"/>
          <w:color w:val="auto"/>
        </w:rPr>
      </w:pPr>
    </w:p>
    <w:p>
      <w:pPr>
        <w:jc w:val="both"/>
        <w:ind w:left="640" w:firstLine="861"/>
        <w:spacing w:after="0" w:line="274" w:lineRule="auto"/>
        <w:tabs>
          <w:tab w:leader="none" w:pos="1863"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of $1,000,000 in excess thereof) or, in the case of a Term Loan $250,000 (and integral multiples thereof), unless the Borrower and the Administrative Agent otherwise consent (such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in its sole discretion, may elect to waive such processing and recordation fee;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assignments made pursuant to Section 2.17(b) or Section 9.02(c) shall not require the signature of the assigning 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4" w:lineRule="exact"/>
        <w:rPr>
          <w:rFonts w:ascii="Arial" w:cs="Arial" w:eastAsia="Arial" w:hAnsi="Arial"/>
          <w:sz w:val="17"/>
          <w:szCs w:val="17"/>
          <w:color w:val="auto"/>
        </w:rPr>
      </w:pPr>
    </w:p>
    <w:p>
      <w:pPr>
        <w:jc w:val="both"/>
        <w:ind w:left="640"/>
        <w:spacing w:after="0" w:line="246" w:lineRule="auto"/>
        <w:rPr>
          <w:rFonts w:ascii="Arial" w:cs="Arial" w:eastAsia="Arial" w:hAnsi="Arial"/>
          <w:sz w:val="17"/>
          <w:szCs w:val="17"/>
          <w:color w:val="auto"/>
        </w:rPr>
      </w:pPr>
      <w:r>
        <w:rPr>
          <w:rFonts w:ascii="Arial" w:cs="Arial" w:eastAsia="Arial" w:hAnsi="Arial"/>
          <w:sz w:val="19"/>
          <w:szCs w:val="19"/>
          <w:color w:val="auto"/>
        </w:rPr>
        <w:t xml:space="preserve">(E)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such consent of the Borrower shall be required if an Event of Default under Section 7.01(a), (b), (h) or (i) has occurred and</w:t>
      </w:r>
      <w:r>
        <w:rPr>
          <w:rFonts w:ascii="Arial" w:cs="Arial" w:eastAsia="Arial" w:hAnsi="Arial"/>
          <w:sz w:val="19"/>
          <w:szCs w:val="19"/>
          <w:i w:val="1"/>
          <w:iCs w:val="1"/>
          <w:color w:val="auto"/>
        </w:rPr>
        <w:t xml:space="preserve"> </w:t>
      </w:r>
      <w:r>
        <w:rPr>
          <w:rFonts w:ascii="Arial" w:cs="Arial" w:eastAsia="Arial" w:hAnsi="Arial"/>
          <w:sz w:val="19"/>
          <w:szCs w:val="19"/>
          <w:color w:val="auto"/>
        </w:rPr>
        <w:t>is continuing.</w:t>
      </w:r>
    </w:p>
    <w:p>
      <w:pPr>
        <w:spacing w:after="0" w:line="186" w:lineRule="exact"/>
        <w:rPr>
          <w:rFonts w:ascii="Arial" w:cs="Arial" w:eastAsia="Arial" w:hAnsi="Arial"/>
          <w:sz w:val="17"/>
          <w:szCs w:val="17"/>
          <w:color w:val="auto"/>
        </w:rPr>
      </w:pPr>
    </w:p>
    <w:p>
      <w:pPr>
        <w:jc w:val="both"/>
        <w:ind w:left="640" w:firstLine="861"/>
        <w:spacing w:after="0" w:line="304" w:lineRule="auto"/>
        <w:tabs>
          <w:tab w:leader="none" w:pos="194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w:t>
      </w:r>
    </w:p>
    <w:p>
      <w:pPr>
        <w:sectPr>
          <w:pgSz w:w="11900" w:h="16838" w:orient="portrait"/>
          <w:cols w:equalWidth="0" w:num="1">
            <w:col w:w="11420"/>
          </w:cols>
          <w:pgMar w:left="240" w:top="122" w:right="239" w:bottom="0" w:gutter="0" w:footer="0" w:header="0"/>
        </w:sectPr>
      </w:pPr>
    </w:p>
    <w:bookmarkStart w:id="168" w:name="page169"/>
    <w:bookmarkEnd w:id="168"/>
    <w:p>
      <w:pPr>
        <w:jc w:val="both"/>
        <w:ind w:left="635"/>
        <w:spacing w:after="0" w:line="250" w:lineRule="auto"/>
        <w:rPr>
          <w:sz w:val="20"/>
          <w:szCs w:val="20"/>
          <w:color w:val="auto"/>
        </w:rPr>
      </w:pPr>
      <w:r>
        <w:rPr>
          <w:rFonts w:ascii="Arial" w:cs="Arial" w:eastAsia="Arial" w:hAnsi="Arial"/>
          <w:sz w:val="19"/>
          <w:szCs w:val="19"/>
          <w:color w:val="auto"/>
        </w:rPr>
        <w:t>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0" w:lineRule="exact"/>
        <w:rPr>
          <w:sz w:val="20"/>
          <w:szCs w:val="20"/>
          <w:color w:val="auto"/>
        </w:rPr>
      </w:pPr>
    </w:p>
    <w:p>
      <w:pPr>
        <w:jc w:val="both"/>
        <w:ind w:left="635" w:firstLine="861"/>
        <w:spacing w:after="0" w:line="264" w:lineRule="auto"/>
        <w:tabs>
          <w:tab w:leader="none" w:pos="1991"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68" w:lineRule="exact"/>
        <w:rPr>
          <w:rFonts w:ascii="Arial" w:cs="Arial" w:eastAsia="Arial" w:hAnsi="Arial"/>
          <w:sz w:val="18"/>
          <w:szCs w:val="18"/>
          <w:color w:val="auto"/>
        </w:rPr>
      </w:pPr>
    </w:p>
    <w:p>
      <w:pPr>
        <w:jc w:val="both"/>
        <w:ind w:left="635" w:firstLine="861"/>
        <w:spacing w:after="0" w:line="250" w:lineRule="auto"/>
        <w:tabs>
          <w:tab w:leader="none" w:pos="1993" w:val="left"/>
        </w:tabs>
        <w:numPr>
          <w:ilvl w:val="2"/>
          <w:numId w:val="161"/>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rFonts w:ascii="Arial" w:cs="Arial" w:eastAsia="Arial" w:hAnsi="Arial"/>
          <w:sz w:val="19"/>
          <w:szCs w:val="19"/>
          <w:color w:val="auto"/>
        </w:rPr>
      </w:pPr>
    </w:p>
    <w:p>
      <w:pPr>
        <w:jc w:val="both"/>
        <w:ind w:left="635" w:firstLine="861"/>
        <w:spacing w:after="0" w:line="289" w:lineRule="auto"/>
        <w:tabs>
          <w:tab w:leader="none" w:pos="2018" w:val="left"/>
        </w:tabs>
        <w:numPr>
          <w:ilvl w:val="2"/>
          <w:numId w:val="161"/>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8" w:lineRule="exact"/>
        <w:rPr>
          <w:rFonts w:ascii="Arial" w:cs="Arial" w:eastAsia="Arial" w:hAnsi="Arial"/>
          <w:sz w:val="17"/>
          <w:szCs w:val="17"/>
          <w:color w:val="auto"/>
        </w:rPr>
      </w:pPr>
    </w:p>
    <w:p>
      <w:pPr>
        <w:jc w:val="both"/>
        <w:ind w:left="-5" w:firstLine="635"/>
        <w:spacing w:after="0" w:line="277" w:lineRule="auto"/>
        <w:tabs>
          <w:tab w:leader="none" w:pos="106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Any Lender may, without the consent of the Borrower, the Administrative Agent, the Issuing Banks or the Swingline Lender,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Lender’s obligations under this Agreement shall remain unchanged,</w:t>
      </w:r>
    </w:p>
    <w:p>
      <w:pPr>
        <w:spacing w:after="0" w:line="3" w:lineRule="exact"/>
        <w:rPr>
          <w:rFonts w:ascii="Arial" w:cs="Arial" w:eastAsia="Arial" w:hAnsi="Arial"/>
          <w:sz w:val="17"/>
          <w:szCs w:val="17"/>
          <w:color w:val="auto"/>
        </w:rPr>
      </w:pPr>
    </w:p>
    <w:p>
      <w:pPr>
        <w:jc w:val="both"/>
        <w:ind w:left="-5" w:firstLine="5"/>
        <w:spacing w:after="0" w:line="277" w:lineRule="auto"/>
        <w:tabs>
          <w:tab w:leader="none" w:pos="30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clauses (i), (ii), (iii), (vii) and (viii) of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Participant agrees to be subject to Section 2.16(c) as though it were a Lender.</w:t>
      </w:r>
    </w:p>
    <w:p>
      <w:pPr>
        <w:spacing w:after="0" w:line="164" w:lineRule="exact"/>
        <w:rPr>
          <w:rFonts w:ascii="Arial" w:cs="Arial" w:eastAsia="Arial" w:hAnsi="Arial"/>
          <w:sz w:val="17"/>
          <w:szCs w:val="17"/>
          <w:color w:val="auto"/>
        </w:rPr>
      </w:pPr>
    </w:p>
    <w:p>
      <w:pPr>
        <w:jc w:val="both"/>
        <w:ind w:left="635" w:firstLine="861"/>
        <w:spacing w:after="0" w:line="281" w:lineRule="auto"/>
        <w:tabs>
          <w:tab w:leader="none" w:pos="1858" w:val="left"/>
        </w:tabs>
        <w:numPr>
          <w:ilvl w:val="2"/>
          <w:numId w:val="163"/>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 Loan, Letter of Credit or other obligation under any Loan Document) except to the extent such disclosure is necessary in connection with an audit or other proceeding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58" w:lineRule="exact"/>
        <w:rPr>
          <w:rFonts w:ascii="Arial" w:cs="Arial" w:eastAsia="Arial" w:hAnsi="Arial"/>
          <w:sz w:val="17"/>
          <w:szCs w:val="17"/>
          <w:color w:val="auto"/>
        </w:rPr>
      </w:pPr>
    </w:p>
    <w:p>
      <w:pPr>
        <w:jc w:val="both"/>
        <w:ind w:left="635" w:firstLine="861"/>
        <w:spacing w:after="0" w:line="259" w:lineRule="auto"/>
        <w:tabs>
          <w:tab w:leader="none" w:pos="1950" w:val="left"/>
        </w:tabs>
        <w:numPr>
          <w:ilvl w:val="2"/>
          <w:numId w:val="163"/>
        </w:numPr>
        <w:rPr>
          <w:rFonts w:ascii="Arial" w:cs="Arial" w:eastAsia="Arial" w:hAnsi="Arial"/>
          <w:sz w:val="19"/>
          <w:szCs w:val="19"/>
          <w:color w:val="auto"/>
        </w:rPr>
      </w:pPr>
      <w:r>
        <w:rPr>
          <w:rFonts w:ascii="Arial" w:cs="Arial" w:eastAsia="Arial" w:hAnsi="Arial"/>
          <w:sz w:val="19"/>
          <w:szCs w:val="19"/>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71" w:lineRule="exact"/>
        <w:rPr>
          <w:rFonts w:ascii="Arial" w:cs="Arial" w:eastAsia="Arial" w:hAnsi="Arial"/>
          <w:sz w:val="19"/>
          <w:szCs w:val="19"/>
          <w:color w:val="auto"/>
        </w:rPr>
      </w:pPr>
    </w:p>
    <w:p>
      <w:pPr>
        <w:jc w:val="both"/>
        <w:ind w:left="-5" w:firstLine="635"/>
        <w:spacing w:after="0" w:line="252" w:lineRule="auto"/>
        <w:tabs>
          <w:tab w:leader="none" w:pos="103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78" w:lineRule="exact"/>
        <w:rPr>
          <w:rFonts w:ascii="Arial" w:cs="Arial" w:eastAsia="Arial" w:hAnsi="Arial"/>
          <w:sz w:val="19"/>
          <w:szCs w:val="19"/>
          <w:color w:val="auto"/>
        </w:rPr>
      </w:pPr>
    </w:p>
    <w:p>
      <w:pPr>
        <w:jc w:val="both"/>
        <w:ind w:left="-5" w:firstLine="635"/>
        <w:spacing w:after="0" w:line="289" w:lineRule="auto"/>
        <w:tabs>
          <w:tab w:leader="none" w:pos="101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Loans previously requested but not funded by the Defaulting Lender, to each of which the</w:t>
      </w:r>
    </w:p>
    <w:p>
      <w:pPr>
        <w:sectPr>
          <w:pgSz w:w="11900" w:h="16838" w:orient="portrait"/>
          <w:cols w:equalWidth="0" w:num="1">
            <w:col w:w="11415"/>
          </w:cols>
          <w:pgMar w:left="245" w:top="122" w:right="239" w:bottom="0" w:gutter="0" w:footer="0" w:header="0"/>
        </w:sectPr>
      </w:pPr>
    </w:p>
    <w:bookmarkStart w:id="169" w:name="page170"/>
    <w:bookmarkEnd w:id="169"/>
    <w:p>
      <w:pPr>
        <w:jc w:val="both"/>
        <w:spacing w:after="0" w:line="251" w:lineRule="auto"/>
        <w:rPr>
          <w:sz w:val="20"/>
          <w:szCs w:val="20"/>
          <w:color w:val="auto"/>
        </w:rPr>
      </w:pPr>
      <w:r>
        <w:rPr>
          <w:rFonts w:ascii="Arial" w:cs="Arial" w:eastAsia="Arial" w:hAnsi="Arial"/>
          <w:sz w:val="19"/>
          <w:szCs w:val="19"/>
          <w:color w:val="auto"/>
        </w:rPr>
        <w:t xml:space="preserve">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share of all Loans and participations in Letters of Credit and Swingline Loans in accordance with its Applicable Percentage. Notwithstanding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9" w:lineRule="exact"/>
        <w:rPr>
          <w:sz w:val="20"/>
          <w:szCs w:val="20"/>
          <w:color w:val="auto"/>
        </w:rPr>
      </w:pPr>
    </w:p>
    <w:p>
      <w:pPr>
        <w:jc w:val="both"/>
        <w:ind w:firstLine="635"/>
        <w:spacing w:after="0" w:line="263" w:lineRule="auto"/>
        <w:tabs>
          <w:tab w:leader="none" w:pos="108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Section 9.04 or any other provision of this Agreement, so long as no Default or Event of Default has occurred and is continuing or would result therefrom, each Lender shall have the right at any time to sell, assign or transfer all or a portion of its Term Commitments or Term Loans to Holdings or one of its Subsidiaries on a non pro rata basis through one or more open market purchases;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assigning Lender and the purchaser shall execute and deliver to the Administrative Agent a Borrower Assignment and Assumption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Revolving Loans shall be utilized to make such purchases.</w:t>
      </w:r>
    </w:p>
    <w:p>
      <w:pPr>
        <w:spacing w:after="0" w:line="173"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Survival.</w:t>
      </w:r>
      <w:r>
        <w:rPr>
          <w:rFonts w:ascii="Arial" w:cs="Arial" w:eastAsia="Arial" w:hAnsi="Arial"/>
          <w:sz w:val="19"/>
          <w:szCs w:val="19"/>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2.13, 2.14, 2.15, 9.03, 9.08 and Article 8 shall survive and remain in full force and effect regardless of the consummation of the transactions contemplated hereby and the occurrence of the Termination Date.</w:t>
      </w:r>
    </w:p>
    <w:p>
      <w:pPr>
        <w:spacing w:after="0" w:line="181" w:lineRule="exact"/>
        <w:rPr>
          <w:sz w:val="20"/>
          <w:szCs w:val="20"/>
          <w:color w:val="auto"/>
        </w:rPr>
      </w:pPr>
    </w:p>
    <w:p>
      <w:pPr>
        <w:jc w:val="both"/>
        <w:ind w:firstLine="630"/>
        <w:spacing w:after="0" w:line="281"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Counterparts; Integration; Effectiveness.</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executed counterpart of this Agreement.</w:t>
      </w:r>
    </w:p>
    <w:p>
      <w:pPr>
        <w:spacing w:after="0" w:line="158"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the Issuing Banks or the Swingline Lender,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57" w:lineRule="exact"/>
        <w:rPr>
          <w:sz w:val="20"/>
          <w:szCs w:val="20"/>
          <w:color w:val="auto"/>
        </w:rPr>
      </w:pPr>
    </w:p>
    <w:p>
      <w:pPr>
        <w:jc w:val="both"/>
        <w:ind w:firstLine="630"/>
        <w:spacing w:after="0" w:line="261"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Right of Setoff.</w:t>
      </w:r>
      <w:r>
        <w:rPr>
          <w:rFonts w:ascii="Arial" w:cs="Arial" w:eastAsia="Arial" w:hAnsi="Arial"/>
          <w:sz w:val="18"/>
          <w:szCs w:val="18"/>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spacing w:after="0" w:line="178"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9.09.</w:t>
      </w:r>
      <w:r>
        <w:rPr>
          <w:sz w:val="20"/>
          <w:szCs w:val="20"/>
          <w:color w:val="auto"/>
        </w:rPr>
        <w:tab/>
      </w:r>
      <w:r>
        <w:rPr>
          <w:rFonts w:ascii="Arial" w:cs="Arial" w:eastAsia="Arial" w:hAnsi="Arial"/>
          <w:sz w:val="17"/>
          <w:szCs w:val="17"/>
          <w:i w:val="1"/>
          <w:iCs w:val="1"/>
          <w:color w:val="auto"/>
        </w:rPr>
        <w:t>Governing Law; Jurisdiction; Consent to Service of Process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48" w:lineRule="auto"/>
        <w:tabs>
          <w:tab w:leader="none" w:pos="120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This Agreement shall be construed in accordance with and governed by the law of the State of New York;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it is understood and agreed that (x) the interpretation of the definition of “Company Material Adverse Effect” (as defined in the Merger Agreement) (and whether or not a Company Material Adverse Effect has occurred), (y) the determination of the accuracy of any Acquisition Agreement Representation and whether a breach of any such representation results in (1) the Borrower or any of its Affiliates having the right to terminate its or their obligations under the Merger Agreement (after giving effect to any applicable notice and cure period) or (2) the failure of a condition precedent to the Borrower’s obligation to consummate the Acquisition pursuant to the Merger Agreement and (z) the determination of whether the Acquisition has been consummated in accordance with the terms of the Merger Agreement, in each case shall be governed by, and construed in accordance with, the internal Laws of the State of Delaware, without regard to the conflicts of law principles of such State.</w:t>
      </w:r>
    </w:p>
    <w:p>
      <w:pPr>
        <w:sectPr>
          <w:pgSz w:w="11900" w:h="16838" w:orient="portrait"/>
          <w:cols w:equalWidth="0" w:num="1">
            <w:col w:w="11420"/>
          </w:cols>
          <w:pgMar w:left="240" w:top="122" w:right="239" w:bottom="0" w:gutter="0" w:footer="0" w:header="0"/>
        </w:sectPr>
      </w:pPr>
    </w:p>
    <w:bookmarkStart w:id="170" w:name="page171"/>
    <w:bookmarkEnd w:id="170"/>
    <w:p>
      <w:pPr>
        <w:jc w:val="both"/>
        <w:ind w:firstLine="635"/>
        <w:spacing w:after="0" w:line="264" w:lineRule="auto"/>
        <w:tabs>
          <w:tab w:leader="none" w:pos="113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68" w:lineRule="exact"/>
        <w:rPr>
          <w:rFonts w:ascii="Arial" w:cs="Arial" w:eastAsia="Arial" w:hAnsi="Arial"/>
          <w:sz w:val="18"/>
          <w:szCs w:val="18"/>
          <w:color w:val="auto"/>
        </w:rPr>
      </w:pPr>
    </w:p>
    <w:p>
      <w:pPr>
        <w:jc w:val="both"/>
        <w:ind w:firstLine="635"/>
        <w:spacing w:after="0" w:line="254" w:lineRule="auto"/>
        <w:tabs>
          <w:tab w:leader="none" w:pos="112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7" w:lineRule="exact"/>
        <w:rPr>
          <w:rFonts w:ascii="Arial" w:cs="Arial" w:eastAsia="Arial" w:hAnsi="Arial"/>
          <w:sz w:val="19"/>
          <w:szCs w:val="19"/>
          <w:color w:val="auto"/>
        </w:rPr>
      </w:pPr>
    </w:p>
    <w:p>
      <w:pPr>
        <w:ind w:firstLine="635"/>
        <w:spacing w:after="0" w:line="303" w:lineRule="auto"/>
        <w:tabs>
          <w:tab w:leader="none" w:pos="10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34" w:lineRule="exact"/>
        <w:rPr>
          <w:sz w:val="20"/>
          <w:szCs w:val="20"/>
          <w:color w:val="auto"/>
        </w:rPr>
      </w:pPr>
    </w:p>
    <w:p>
      <w:pPr>
        <w:jc w:val="both"/>
        <w:ind w:firstLine="630"/>
        <w:spacing w:after="0" w:line="249"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i w:val="1"/>
          <w:iCs w:val="1"/>
          <w:color w:val="auto"/>
        </w:rPr>
        <w:t>Waiver of Jury Trial.</w:t>
      </w:r>
      <w:r>
        <w:rPr>
          <w:rFonts w:ascii="Arial" w:cs="Arial" w:eastAsia="Arial" w:hAnsi="Arial"/>
          <w:sz w:val="19"/>
          <w:szCs w:val="19"/>
          <w:color w:val="auto"/>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jc w:val="both"/>
        <w:ind w:firstLine="630"/>
        <w:spacing w:after="0" w:line="30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4"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9.12.</w:t>
      </w:r>
      <w:r>
        <w:rPr>
          <w:sz w:val="20"/>
          <w:szCs w:val="20"/>
          <w:color w:val="auto"/>
        </w:rPr>
        <w:tab/>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215" w:lineRule="exact"/>
        <w:rPr>
          <w:sz w:val="20"/>
          <w:szCs w:val="20"/>
          <w:color w:val="auto"/>
        </w:rPr>
      </w:pPr>
    </w:p>
    <w:p>
      <w:pPr>
        <w:jc w:val="both"/>
        <w:ind w:firstLine="635"/>
        <w:spacing w:after="0" w:line="275" w:lineRule="auto"/>
        <w:tabs>
          <w:tab w:leader="none" w:pos="108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(it being understood that each Person identified as a “Disqualified Lender” on Schedule 1.01(a) may be disclosed to any assignee or Participant, or prospective assignee or Participant, in reliance on this clause (v)), (vi) if required by any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Arrangers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jc w:val="both"/>
        <w:ind w:firstLine="635"/>
        <w:spacing w:after="0" w:line="250" w:lineRule="auto"/>
        <w:tabs>
          <w:tab w:leader="none" w:pos="126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3" w:lineRule="exact"/>
        <w:rPr>
          <w:rFonts w:ascii="Arial" w:cs="Arial" w:eastAsia="Arial" w:hAnsi="Arial"/>
          <w:sz w:val="19"/>
          <w:szCs w:val="19"/>
          <w:color w:val="auto"/>
        </w:rPr>
      </w:pPr>
    </w:p>
    <w:p>
      <w:pPr>
        <w:jc w:val="both"/>
        <w:ind w:firstLine="635"/>
        <w:spacing w:after="0" w:line="274" w:lineRule="auto"/>
        <w:tabs>
          <w:tab w:leader="none" w:pos="108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ALL INFORMATION, INCLUDING REQUESTS FOR WAIVERS AND AMENDMENTS FURNISHED BY THE BORROWER OR THE ADMINISTRATIVE AGENT PURSUANT TO, OR IN THE COURSE OF ADMINISTERING, THIS AGREEMENT, WILL BE</w:t>
      </w:r>
    </w:p>
    <w:p>
      <w:pPr>
        <w:sectPr>
          <w:pgSz w:w="11900" w:h="16838" w:orient="portrait"/>
          <w:cols w:equalWidth="0" w:num="1">
            <w:col w:w="11420"/>
          </w:cols>
          <w:pgMar w:left="240" w:top="175" w:right="239" w:bottom="0" w:gutter="0" w:footer="0" w:header="0"/>
        </w:sectPr>
      </w:pPr>
    </w:p>
    <w:bookmarkStart w:id="171" w:name="page172"/>
    <w:bookmarkEnd w:id="171"/>
    <w:p>
      <w:pPr>
        <w:jc w:val="both"/>
        <w:spacing w:after="0" w:line="251" w:lineRule="auto"/>
        <w:rPr>
          <w:sz w:val="20"/>
          <w:szCs w:val="20"/>
          <w:color w:val="auto"/>
        </w:rPr>
      </w:pPr>
      <w:r>
        <w:rPr>
          <w:rFonts w:ascii="Arial" w:cs="Arial" w:eastAsia="Arial" w:hAnsi="Arial"/>
          <w:sz w:val="19"/>
          <w:szCs w:val="19"/>
          <w:color w:val="auto"/>
        </w:rPr>
        <w:t>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9" w:lineRule="exact"/>
        <w:rPr>
          <w:sz w:val="20"/>
          <w:szCs w:val="20"/>
          <w:color w:val="auto"/>
        </w:rPr>
      </w:pPr>
    </w:p>
    <w:p>
      <w:pPr>
        <w:jc w:val="both"/>
        <w:ind w:firstLine="630"/>
        <w:spacing w:after="0" w:line="273"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USA Patriot Act.</w:t>
      </w:r>
      <w:r>
        <w:rPr>
          <w:rFonts w:ascii="Arial" w:cs="Arial" w:eastAsia="Arial" w:hAnsi="Arial"/>
          <w:sz w:val="18"/>
          <w:szCs w:val="18"/>
          <w:color w:val="auto"/>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61"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9"/>
          <w:szCs w:val="19"/>
          <w:color w:val="auto"/>
        </w:rPr>
        <w:t>Section 9.14.</w:t>
      </w:r>
      <w:r>
        <w:rPr>
          <w:sz w:val="20"/>
          <w:szCs w:val="20"/>
          <w:color w:val="auto"/>
        </w:rPr>
        <w:tab/>
      </w:r>
      <w:r>
        <w:rPr>
          <w:rFonts w:ascii="Arial" w:cs="Arial" w:eastAsia="Arial" w:hAnsi="Arial"/>
          <w:sz w:val="17"/>
          <w:szCs w:val="17"/>
          <w:i w:val="1"/>
          <w:iCs w:val="1"/>
          <w:color w:val="auto"/>
        </w:rPr>
        <w:t>Release of Liens and Guarantees</w:t>
      </w:r>
      <w:r>
        <w:rPr>
          <w:rFonts w:ascii="Arial" w:cs="Arial" w:eastAsia="Arial" w:hAnsi="Arial"/>
          <w:sz w:val="17"/>
          <w:szCs w:val="17"/>
          <w:color w:val="auto"/>
        </w:rPr>
        <w:t>.</w:t>
      </w:r>
    </w:p>
    <w:p>
      <w:pPr>
        <w:spacing w:after="0" w:line="215" w:lineRule="exact"/>
        <w:rPr>
          <w:sz w:val="20"/>
          <w:szCs w:val="20"/>
          <w:color w:val="auto"/>
        </w:rPr>
      </w:pPr>
    </w:p>
    <w:p>
      <w:pPr>
        <w:jc w:val="both"/>
        <w:ind w:firstLine="635"/>
        <w:spacing w:after="0" w:line="277" w:lineRule="auto"/>
        <w:tabs>
          <w:tab w:leader="none" w:pos="108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under Section 6.13(a), as a result of which such Subsidiary Loan Party ceases to be a Wholly Owned Subsidiary, (3) upon the request of the Borrower, if permitted pursuant to Section 6.13(b) or (4) upon the request of the Borrower, if such Subsidiary Loan Party becomes a Regulated Subsidiary or an Excluded Subsidiary.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the occurrence of the Termination Date, all obligations under the Loan Documents and all security interests created by the Security Documents shall be automatically released. In connection with any termination or release pursuant to this Section or if a Loan Party requests the Administrative Agent to confirm that its Lien granted under the Security Documents does not attach to specified Excluded Assets, the Administrative Agent shall execute and deliver to any Loan Party, at such Loan Party’s expense, all documents that such Loan Party shall reasonably request to evidence such termination, release or confirmation so long as the Borrower or applicable Loan Party shall have provided the Administrative Agent such certifications or documents as the Administrative Agent shall reasonably request in order to demonstrate compliance with this Agreement or that such assets constitute Excluded Assets.</w:t>
      </w:r>
    </w:p>
    <w:p>
      <w:pPr>
        <w:spacing w:after="0" w:line="167" w:lineRule="exact"/>
        <w:rPr>
          <w:rFonts w:ascii="Arial" w:cs="Arial" w:eastAsia="Arial" w:hAnsi="Arial"/>
          <w:sz w:val="17"/>
          <w:szCs w:val="17"/>
          <w:color w:val="auto"/>
        </w:rPr>
      </w:pPr>
    </w:p>
    <w:p>
      <w:pPr>
        <w:jc w:val="both"/>
        <w:ind w:firstLine="635"/>
        <w:spacing w:after="0" w:line="259" w:lineRule="auto"/>
        <w:tabs>
          <w:tab w:leader="none" w:pos="105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permitted by Section 6.02(iv).</w:t>
      </w:r>
    </w:p>
    <w:p>
      <w:pPr>
        <w:spacing w:after="0" w:line="171" w:lineRule="exact"/>
        <w:rPr>
          <w:rFonts w:ascii="Arial" w:cs="Arial" w:eastAsia="Arial" w:hAnsi="Arial"/>
          <w:sz w:val="19"/>
          <w:szCs w:val="19"/>
          <w:color w:val="auto"/>
        </w:rPr>
      </w:pPr>
    </w:p>
    <w:p>
      <w:pPr>
        <w:jc w:val="both"/>
        <w:ind w:firstLine="635"/>
        <w:spacing w:after="0" w:line="252" w:lineRule="auto"/>
        <w:tabs>
          <w:tab w:leader="none" w:pos="111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Each of the Lenders and the Issuing Bank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spacing w:after="0" w:line="178" w:lineRule="exact"/>
        <w:rPr>
          <w:sz w:val="20"/>
          <w:szCs w:val="20"/>
          <w:color w:val="auto"/>
        </w:rPr>
      </w:pPr>
    </w:p>
    <w:p>
      <w:pPr>
        <w:jc w:val="both"/>
        <w:ind w:firstLine="630"/>
        <w:spacing w:after="0" w:line="276"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i w:val="1"/>
          <w:iCs w:val="1"/>
          <w:color w:val="auto"/>
        </w:rPr>
        <w:t>No Advisory or Fiduciary Responsibility.</w:t>
      </w:r>
      <w:r>
        <w:rPr>
          <w:rFonts w:ascii="Arial" w:cs="Arial" w:eastAsia="Arial" w:hAnsi="Arial"/>
          <w:sz w:val="17"/>
          <w:szCs w:val="17"/>
          <w:color w:val="auto"/>
        </w:rPr>
        <w:t xml:space="preserve"> 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Arrangers are arm’s-length commercial transactions between the Borrower, Holdings and their respective Affiliates, on the one hand, and the Administrative Agent, the Lenders and the Lead Arrangers,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w:t>
      </w:r>
    </w:p>
    <w:p>
      <w:pPr>
        <w:spacing w:after="0" w:line="4" w:lineRule="exact"/>
        <w:rPr>
          <w:sz w:val="20"/>
          <w:szCs w:val="20"/>
          <w:color w:val="auto"/>
        </w:rPr>
      </w:pPr>
    </w:p>
    <w:p>
      <w:pPr>
        <w:jc w:val="both"/>
        <w:ind w:firstLine="5"/>
        <w:spacing w:after="0" w:line="278" w:lineRule="auto"/>
        <w:tabs>
          <w:tab w:leader="none" w:pos="29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each of the Administrative Agent, the Lenders and the Lead Arrangers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Arrangers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Arrangers and their respective Affiliates may be engaged in a broad range of transactions that involve interests that differ from those of the Borrower, Holdings and their respective Affiliates, and none of the Administrative Agent, the Lenders and the Lead Arrangers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Arrangers with respect to any breach or alleged breach of agency or fiduciary duty in connection with any aspect of any transaction contemplated hereby.</w:t>
      </w:r>
    </w:p>
    <w:p>
      <w:pPr>
        <w:spacing w:after="0" w:line="161"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i w:val="1"/>
          <w:iCs w:val="1"/>
          <w:color w:val="auto"/>
        </w:rPr>
        <w:t>Lender Action.</w:t>
      </w:r>
      <w:r>
        <w:rPr>
          <w:rFonts w:ascii="Arial" w:cs="Arial" w:eastAsia="Arial" w:hAnsi="Arial"/>
          <w:sz w:val="17"/>
          <w:szCs w:val="17"/>
          <w:color w:val="auto"/>
        </w:rPr>
        <w:t xml:space="preserve"> Each Lender and the Issuing Bank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w:t>
      </w:r>
    </w:p>
    <w:p>
      <w:pPr>
        <w:sectPr>
          <w:pgSz w:w="11900" w:h="16838" w:orient="portrait"/>
          <w:cols w:equalWidth="0" w:num="1">
            <w:col w:w="11420"/>
          </w:cols>
          <w:pgMar w:left="240" w:top="122" w:right="239" w:bottom="0" w:gutter="0" w:footer="0" w:header="0"/>
        </w:sectPr>
      </w:pPr>
    </w:p>
    <w:bookmarkStart w:id="172" w:name="page173"/>
    <w:bookmarkEnd w:id="172"/>
    <w:p>
      <w:pPr>
        <w:jc w:val="both"/>
        <w:spacing w:after="0" w:line="275" w:lineRule="auto"/>
        <w:rPr>
          <w:sz w:val="20"/>
          <w:szCs w:val="20"/>
          <w:color w:val="auto"/>
        </w:rPr>
      </w:pPr>
      <w:r>
        <w:rPr>
          <w:rFonts w:ascii="Arial" w:cs="Arial" w:eastAsia="Arial" w:hAnsi="Arial"/>
          <w:sz w:val="19"/>
          <w:szCs w:val="19"/>
          <w:color w:val="auto"/>
        </w:rPr>
        <w:t>9.17 are for the sole benefit of the Lenders and the Issuing Bank and shall not afford any right to, or constitute a defense available to, any Loan Party.</w:t>
      </w:r>
    </w:p>
    <w:p>
      <w:pPr>
        <w:spacing w:after="0" w:line="157" w:lineRule="exact"/>
        <w:rPr>
          <w:sz w:val="20"/>
          <w:szCs w:val="20"/>
          <w:color w:val="auto"/>
        </w:rPr>
      </w:pPr>
    </w:p>
    <w:p>
      <w:pPr>
        <w:jc w:val="both"/>
        <w:ind w:firstLine="630"/>
        <w:spacing w:after="0" w:line="248"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i w:val="1"/>
          <w:iCs w:val="1"/>
          <w:color w:val="auto"/>
        </w:rPr>
        <w:t>Marshalling; Payments Set Aside.</w:t>
      </w:r>
      <w:r>
        <w:rPr>
          <w:rFonts w:ascii="Arial" w:cs="Arial" w:eastAsia="Arial" w:hAnsi="Arial"/>
          <w:sz w:val="19"/>
          <w:szCs w:val="19"/>
          <w:color w:val="auto"/>
        </w:rPr>
        <w:t xml:space="preserve"> 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6"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i w:val="1"/>
          <w:iCs w:val="1"/>
          <w:color w:val="auto"/>
        </w:rPr>
        <w:t>Margin Stock; Collateral</w:t>
      </w:r>
      <w:r>
        <w:rPr>
          <w:rFonts w:ascii="Arial" w:cs="Arial" w:eastAsia="Arial" w:hAnsi="Arial"/>
          <w:sz w:val="19"/>
          <w:szCs w:val="19"/>
          <w:color w:val="auto"/>
        </w:rPr>
        <w:t>.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w:t>
      </w:r>
    </w:p>
    <w:p>
      <w:pPr>
        <w:spacing w:after="0" w:line="172"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i w:val="1"/>
          <w:iCs w:val="1"/>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78" w:lineRule="exact"/>
        <w:rPr>
          <w:sz w:val="20"/>
          <w:szCs w:val="20"/>
          <w:color w:val="auto"/>
        </w:rPr>
      </w:pPr>
    </w:p>
    <w:p>
      <w:pPr>
        <w:ind w:firstLine="635"/>
        <w:spacing w:after="0" w:line="274" w:lineRule="auto"/>
        <w:tabs>
          <w:tab w:leader="none" w:pos="104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7" w:lineRule="exact"/>
        <w:rPr>
          <w:rFonts w:ascii="Arial" w:cs="Arial" w:eastAsia="Arial" w:hAnsi="Arial"/>
          <w:sz w:val="19"/>
          <w:szCs w:val="19"/>
          <w:color w:val="auto"/>
        </w:rPr>
      </w:pPr>
    </w:p>
    <w:p>
      <w:pPr>
        <w:ind w:left="1040" w:hanging="405"/>
        <w:spacing w:after="0"/>
        <w:tabs>
          <w:tab w:leader="none" w:pos="10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to the extent applicable:</w:t>
      </w:r>
    </w:p>
    <w:p>
      <w:pPr>
        <w:spacing w:after="0" w:line="214" w:lineRule="exact"/>
        <w:rPr>
          <w:rFonts w:ascii="Arial" w:cs="Arial" w:eastAsia="Arial" w:hAnsi="Arial"/>
          <w:sz w:val="19"/>
          <w:szCs w:val="19"/>
          <w:color w:val="auto"/>
        </w:rPr>
      </w:pPr>
    </w:p>
    <w:p>
      <w:pPr>
        <w:ind w:left="1860" w:hanging="359"/>
        <w:spacing w:after="0"/>
        <w:tabs>
          <w:tab w:leader="none" w:pos="18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reduction in full or in part or cancellation of any such liability;</w:t>
      </w:r>
    </w:p>
    <w:p>
      <w:pPr>
        <w:spacing w:after="0" w:line="214" w:lineRule="exact"/>
        <w:rPr>
          <w:rFonts w:ascii="Arial" w:cs="Arial" w:eastAsia="Arial" w:hAnsi="Arial"/>
          <w:sz w:val="19"/>
          <w:szCs w:val="19"/>
          <w:color w:val="auto"/>
        </w:rPr>
      </w:pPr>
    </w:p>
    <w:p>
      <w:pPr>
        <w:jc w:val="both"/>
        <w:ind w:left="640" w:firstLine="861"/>
        <w:spacing w:after="0" w:line="254" w:lineRule="auto"/>
        <w:tabs>
          <w:tab w:leader="none" w:pos="1995"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7" w:lineRule="exact"/>
        <w:rPr>
          <w:rFonts w:ascii="Arial" w:cs="Arial" w:eastAsia="Arial" w:hAnsi="Arial"/>
          <w:sz w:val="19"/>
          <w:szCs w:val="19"/>
          <w:color w:val="auto"/>
        </w:rPr>
      </w:pPr>
    </w:p>
    <w:p>
      <w:pPr>
        <w:ind w:left="640" w:firstLine="861"/>
        <w:spacing w:after="0" w:line="274" w:lineRule="auto"/>
        <w:tabs>
          <w:tab w:leader="none" w:pos="1969"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EEA Resolution Authority.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28"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color w:val="auto"/>
        </w:rPr>
        <w:t>IN WITNESS WHEREOF, the parties hereto have caused this Agreement to be duly executed by their respective authorized officers as of the day and year first above written.</w:t>
      </w:r>
    </w:p>
    <w:p>
      <w:pPr>
        <w:spacing w:after="0" w:line="15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VFH PARENT LLC, as Borrower</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-10795</wp:posOffset>
            </wp:positionV>
            <wp:extent cx="244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Title:</w:t>
      </w:r>
    </w:p>
    <w:p>
      <w:pPr>
        <w:spacing w:after="0" w:line="19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LLC, as Holdings</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-10795</wp:posOffset>
            </wp:positionV>
            <wp:extent cx="244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Title:</w:t>
      </w:r>
    </w:p>
    <w:p>
      <w:pPr>
        <w:spacing w:after="0" w:line="199" w:lineRule="exact"/>
        <w:rPr>
          <w:sz w:val="20"/>
          <w:szCs w:val="20"/>
          <w:color w:val="auto"/>
        </w:rPr>
      </w:pPr>
    </w:p>
    <w:p>
      <w:pPr>
        <w:jc w:val="center"/>
        <w:ind w:left="360"/>
        <w:spacing w:after="0"/>
        <w:rPr>
          <w:sz w:val="20"/>
          <w:szCs w:val="20"/>
          <w:color w:val="auto"/>
        </w:rPr>
      </w:pPr>
      <w:r>
        <w:rPr>
          <w:rFonts w:ascii="Arial" w:cs="Arial" w:eastAsia="Arial" w:hAnsi="Arial"/>
          <w:sz w:val="19"/>
          <w:szCs w:val="19"/>
          <w:color w:val="auto"/>
        </w:rPr>
        <w:t>JEFFERIES FINANCE LLC, as Administrative Agent</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-10795</wp:posOffset>
            </wp:positionV>
            <wp:extent cx="244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Title:</w:t>
      </w:r>
    </w:p>
    <w:p>
      <w:pPr>
        <w:spacing w:after="0" w:line="19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JEFFERIES FINANCE LLC, as a Lender, Letter of Credit Issuer and Swingline Lender</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-10795</wp:posOffset>
            </wp:positionV>
            <wp:extent cx="244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Name:</w:t>
      </w:r>
    </w:p>
    <w:p>
      <w:pPr>
        <w:spacing w:after="0" w:line="5"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420"/>
          </w:cols>
          <w:pgMar w:left="240" w:top="122" w:right="239" w:bottom="1020" w:gutter="0" w:footer="0" w:header="0"/>
        </w:sectPr>
      </w:pPr>
    </w:p>
    <w:bookmarkStart w:id="173" w:name="page174"/>
    <w:bookmarkEnd w:id="173"/>
    <w:p>
      <w:pPr>
        <w:jc w:val="right"/>
        <w:ind w:right="159"/>
        <w:spacing w:after="0"/>
        <w:tabs>
          <w:tab w:leader="none" w:pos="2100" w:val="left"/>
        </w:tabs>
        <w:rPr>
          <w:sz w:val="20"/>
          <w:szCs w:val="20"/>
          <w:color w:val="auto"/>
        </w:rPr>
      </w:pPr>
      <w:r>
        <w:rPr>
          <w:rFonts w:ascii="Arial" w:cs="Arial" w:eastAsia="Arial" w:hAnsi="Arial"/>
          <w:sz w:val="16"/>
          <w:szCs w:val="16"/>
          <w:color w:val="auto"/>
        </w:rPr>
        <w:t>CG&amp;R Draft</w:t>
      </w:r>
      <w:r>
        <w:rPr>
          <w:sz w:val="20"/>
          <w:szCs w:val="20"/>
          <w:color w:val="auto"/>
        </w:rPr>
        <w:tab/>
      </w:r>
      <w:r>
        <w:rPr>
          <w:rFonts w:ascii="Arial" w:cs="Arial" w:eastAsia="Arial" w:hAnsi="Arial"/>
          <w:sz w:val="15"/>
          <w:szCs w:val="15"/>
          <w:color w:val="auto"/>
        </w:rPr>
        <w:t>Current date: 02/27/2019 6:32</w:t>
      </w:r>
    </w:p>
    <w:p>
      <w:pPr>
        <w:spacing w:after="0"/>
        <w:tabs>
          <w:tab w:leader="none" w:pos="400" w:val="left"/>
        </w:tabs>
        <w:rPr>
          <w:sz w:val="20"/>
          <w:szCs w:val="20"/>
          <w:color w:val="auto"/>
        </w:rPr>
      </w:pPr>
      <w:r>
        <w:rPr>
          <w:rFonts w:ascii="Arial" w:cs="Arial" w:eastAsia="Arial" w:hAnsi="Arial"/>
          <w:sz w:val="16"/>
          <w:szCs w:val="16"/>
          <w:color w:val="auto"/>
        </w:rPr>
        <w:t>PM</w:t>
        <w:tab/>
        <w:t>49183775v21</w:t>
      </w:r>
    </w:p>
    <w:p>
      <w:pPr>
        <w:sectPr>
          <w:pgSz w:w="11900" w:h="16838" w:orient="portrait"/>
          <w:cols w:equalWidth="0" w:num="1">
            <w:col w:w="10219"/>
          </w:cols>
          <w:pgMar w:left="240" w:top="141" w:right="1440" w:bottom="1440" w:gutter="0" w:footer="0" w:header="0"/>
        </w:sectPr>
      </w:pPr>
    </w:p>
    <w:bookmarkStart w:id="174" w:name="page175"/>
    <w:bookmarkEnd w:id="174"/>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9"/>
          <w:szCs w:val="19"/>
          <w:b w:val="1"/>
          <w:bCs w:val="1"/>
          <w:u w:val="single" w:color="auto"/>
          <w:color w:val="auto"/>
        </w:rPr>
        <w:t>RESTRICTED STOCK UNIT AND COMMON STOCK AWARD AGREEMENT</w:t>
      </w:r>
    </w:p>
    <w:p>
      <w:pPr>
        <w:spacing w:after="0" w:line="146" w:lineRule="exact"/>
        <w:rPr>
          <w:sz w:val="20"/>
          <w:szCs w:val="20"/>
          <w:color w:val="auto"/>
        </w:rPr>
      </w:pPr>
    </w:p>
    <w:p>
      <w:pPr>
        <w:ind w:right="180" w:firstLine="630"/>
        <w:spacing w:after="0" w:line="259"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23, 2019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Douglas A. Cifu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19"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2018 through December 31, 2018, and RSUs provided for herein to the Participant subject to the terms set forth herein.</w:t>
      </w:r>
    </w:p>
    <w:p>
      <w:pPr>
        <w:spacing w:after="0" w:line="84"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20" w:lineRule="exact"/>
        <w:rPr>
          <w:rFonts w:ascii="Arial" w:cs="Arial" w:eastAsia="Arial" w:hAnsi="Arial"/>
          <w:sz w:val="19"/>
          <w:szCs w:val="19"/>
          <w:b w:val="1"/>
          <w:bCs w:val="1"/>
          <w:color w:val="auto"/>
        </w:rPr>
      </w:pPr>
    </w:p>
    <w:p>
      <w:pPr>
        <w:ind w:right="240" w:firstLine="635"/>
        <w:spacing w:after="0" w:line="250" w:lineRule="auto"/>
        <w:tabs>
          <w:tab w:leader="none" w:pos="1036"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shares of Class A Common Stock equal to approximately $960,000.00 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approximately $1,440,000.00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9"/>
          <w:szCs w:val="19"/>
          <w:u w:val="single" w:color="auto"/>
          <w:color w:val="auto"/>
        </w:rPr>
        <w:t>Issue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83" w:lineRule="exact"/>
        <w:rPr>
          <w:rFonts w:ascii="Arial" w:cs="Arial" w:eastAsia="Arial" w:hAnsi="Arial"/>
          <w:sz w:val="19"/>
          <w:szCs w:val="19"/>
          <w:color w:val="auto"/>
        </w:rPr>
      </w:pPr>
    </w:p>
    <w:p>
      <w:pPr>
        <w:ind w:firstLine="635"/>
        <w:spacing w:after="0" w:line="266" w:lineRule="auto"/>
        <w:tabs>
          <w:tab w:leader="none" w:pos="1046"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14" w:lineRule="exact"/>
        <w:rPr>
          <w:rFonts w:ascii="Arial" w:cs="Arial" w:eastAsia="Arial" w:hAnsi="Arial"/>
          <w:sz w:val="19"/>
          <w:szCs w:val="19"/>
          <w:color w:val="auto"/>
        </w:rPr>
      </w:pPr>
    </w:p>
    <w:p>
      <w:pPr>
        <w:ind w:right="300" w:firstLine="635"/>
        <w:spacing w:after="0" w:line="274" w:lineRule="auto"/>
        <w:tabs>
          <w:tab w:leader="none" w:pos="1047" w:val="left"/>
        </w:tabs>
        <w:numPr>
          <w:ilvl w:val="1"/>
          <w:numId w:val="171"/>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20"/>
          </w:cols>
          <w:pgMar w:left="240" w:top="576" w:right="239" w:bottom="1440" w:gutter="0" w:footer="0" w:header="0"/>
        </w:sectPr>
      </w:pPr>
    </w:p>
    <w:bookmarkStart w:id="175" w:name="page176"/>
    <w:bookmarkEnd w:id="175"/>
    <w:p>
      <w:pPr>
        <w:ind w:right="140"/>
        <w:spacing w:after="0" w:line="254" w:lineRule="auto"/>
        <w:rPr>
          <w:sz w:val="20"/>
          <w:szCs w:val="20"/>
          <w:color w:val="auto"/>
        </w:rPr>
      </w:pPr>
      <w:r>
        <w:rPr>
          <w:rFonts w:ascii="Arial" w:cs="Arial" w:eastAsia="Arial" w:hAnsi="Arial"/>
          <w:sz w:val="19"/>
          <w:szCs w:val="19"/>
          <w:color w:val="auto"/>
        </w:rPr>
        <w:t>each of the first three (3) anniversaries of the Date of Grant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8" w:lineRule="exact"/>
        <w:rPr>
          <w:sz w:val="20"/>
          <w:szCs w:val="20"/>
          <w:color w:val="auto"/>
        </w:rPr>
      </w:pPr>
    </w:p>
    <w:p>
      <w:pPr>
        <w:ind w:right="200" w:firstLine="635"/>
        <w:spacing w:after="0" w:line="274" w:lineRule="auto"/>
        <w:tabs>
          <w:tab w:leader="none" w:pos="1032" w:val="left"/>
        </w:tabs>
        <w:numPr>
          <w:ilvl w:val="1"/>
          <w:numId w:val="172"/>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20" w:firstLine="5"/>
        <w:spacing w:after="0" w:line="308" w:lineRule="auto"/>
        <w:tabs>
          <w:tab w:leader="none" w:pos="337"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280" w:firstLine="5"/>
        <w:spacing w:after="0" w:line="342" w:lineRule="auto"/>
        <w:tabs>
          <w:tab w:leader="none" w:pos="333"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all unvested RSUs shall be cancelled immediately and the Participant shall not be entitled to receive any payments with respect thereto.</w:t>
      </w:r>
    </w:p>
    <w:p>
      <w:pPr>
        <w:spacing w:after="0" w:line="99" w:lineRule="exact"/>
        <w:rPr>
          <w:rFonts w:ascii="Arial" w:cs="Arial" w:eastAsia="Arial" w:hAnsi="Arial"/>
          <w:sz w:val="17"/>
          <w:szCs w:val="17"/>
          <w:b w:val="1"/>
          <w:bCs w:val="1"/>
          <w:color w:val="auto"/>
        </w:rPr>
      </w:pPr>
    </w:p>
    <w:p>
      <w:pPr>
        <w:ind w:right="20" w:firstLine="5"/>
        <w:spacing w:after="0" w:line="252" w:lineRule="auto"/>
        <w:tabs>
          <w:tab w:leader="none" w:pos="337"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2" w:lineRule="exact"/>
        <w:rPr>
          <w:rFonts w:ascii="Arial" w:cs="Arial" w:eastAsia="Arial" w:hAnsi="Arial"/>
          <w:sz w:val="19"/>
          <w:szCs w:val="19"/>
          <w:b w:val="1"/>
          <w:bCs w:val="1"/>
          <w:color w:val="auto"/>
        </w:rPr>
      </w:pPr>
    </w:p>
    <w:p>
      <w:pPr>
        <w:ind w:left="640" w:hanging="635"/>
        <w:spacing w:after="0"/>
        <w:tabs>
          <w:tab w:leader="none" w:pos="640"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200" w:firstLine="635"/>
        <w:spacing w:after="0" w:line="269" w:lineRule="auto"/>
        <w:tabs>
          <w:tab w:leader="none" w:pos="1036"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65" w:lineRule="exact"/>
        <w:rPr>
          <w:rFonts w:ascii="Arial" w:cs="Arial" w:eastAsia="Arial" w:hAnsi="Arial"/>
          <w:sz w:val="18"/>
          <w:szCs w:val="18"/>
          <w:color w:val="auto"/>
        </w:rPr>
      </w:pPr>
    </w:p>
    <w:p>
      <w:pPr>
        <w:ind w:firstLine="635"/>
        <w:spacing w:after="0" w:line="264" w:lineRule="auto"/>
        <w:tabs>
          <w:tab w:leader="none" w:pos="1046"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00"/>
          </w:cols>
          <w:pgMar w:left="240" w:top="582" w:right="2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would otherwise be deliverable to the Participant upon settlement of the RSUs with a Fair Market Value equal to such withholding liability.</w:t>
      </w:r>
    </w:p>
    <w:p>
      <w:pPr>
        <w:spacing w:after="0" w:line="220" w:lineRule="exact"/>
        <w:rPr>
          <w:sz w:val="20"/>
          <w:szCs w:val="20"/>
          <w:color w:val="auto"/>
        </w:rPr>
      </w:pPr>
    </w:p>
    <w:p>
      <w:pPr>
        <w:ind w:firstLine="5"/>
        <w:spacing w:after="0" w:line="262" w:lineRule="auto"/>
        <w:tabs>
          <w:tab w:leader="none" w:pos="337"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Shares and RSU award if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0" w:lineRule="exact"/>
        <w:rPr>
          <w:rFonts w:ascii="Arial" w:cs="Arial" w:eastAsia="Arial" w:hAnsi="Arial"/>
          <w:sz w:val="18"/>
          <w:szCs w:val="18"/>
          <w:b w:val="1"/>
          <w:bCs w:val="1"/>
          <w:color w:val="auto"/>
        </w:rPr>
      </w:pPr>
    </w:p>
    <w:p>
      <w:pPr>
        <w:ind w:left="640" w:hanging="635"/>
        <w:spacing w:after="0"/>
        <w:tabs>
          <w:tab w:leader="none" w:pos="64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60" w:firstLine="635"/>
        <w:spacing w:after="0" w:line="259" w:lineRule="auto"/>
        <w:tabs>
          <w:tab w:leader="none" w:pos="1036"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right="20" w:firstLine="635"/>
        <w:spacing w:after="0" w:line="252" w:lineRule="auto"/>
        <w:tabs>
          <w:tab w:leader="none" w:pos="1047"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4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160" w:firstLine="635"/>
        <w:spacing w:after="0" w:line="259" w:lineRule="auto"/>
        <w:tabs>
          <w:tab w:leader="none" w:pos="1046"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20"/>
          </w:cols>
          <w:pgMar w:left="240" w:top="582" w:right="239" w:bottom="1440" w:gutter="0" w:footer="0" w:header="0"/>
        </w:sectPr>
      </w:pPr>
    </w:p>
    <w:bookmarkStart w:id="177" w:name="page178"/>
    <w:bookmarkEnd w:id="177"/>
    <w:p>
      <w:pPr>
        <w:ind w:right="160"/>
        <w:spacing w:after="0" w:line="274" w:lineRule="auto"/>
        <w:rPr>
          <w:sz w:val="20"/>
          <w:szCs w:val="20"/>
          <w:color w:val="auto"/>
        </w:rPr>
      </w:pPr>
      <w:r>
        <w:rPr>
          <w:rFonts w:ascii="Arial" w:cs="Arial" w:eastAsia="Arial" w:hAnsi="Arial"/>
          <w:sz w:val="19"/>
          <w:szCs w:val="19"/>
          <w:color w:val="auto"/>
        </w:rPr>
        <w:t>a waiver of any right to damages. No waiver by any party of any breach of this Agreement shall be held to constitute a waiver of any other breach or a waiver of the continuation of the same breach.</w:t>
      </w:r>
    </w:p>
    <w:p>
      <w:pPr>
        <w:spacing w:after="0" w:line="157" w:lineRule="exact"/>
        <w:rPr>
          <w:sz w:val="20"/>
          <w:szCs w:val="20"/>
          <w:color w:val="auto"/>
        </w:rPr>
      </w:pPr>
    </w:p>
    <w:p>
      <w:pPr>
        <w:ind w:right="20" w:firstLine="635"/>
        <w:spacing w:after="0" w:line="282" w:lineRule="auto"/>
        <w:tabs>
          <w:tab w:leader="none" w:pos="1036"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57" w:lineRule="exact"/>
        <w:rPr>
          <w:rFonts w:ascii="Arial" w:cs="Arial" w:eastAsia="Arial" w:hAnsi="Arial"/>
          <w:sz w:val="17"/>
          <w:szCs w:val="17"/>
          <w:color w:val="auto"/>
        </w:rPr>
      </w:pPr>
    </w:p>
    <w:p>
      <w:pPr>
        <w:ind w:right="320" w:firstLine="635"/>
        <w:spacing w:after="0" w:line="259" w:lineRule="auto"/>
        <w:tabs>
          <w:tab w:leader="none" w:pos="104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80" w:firstLine="635"/>
        <w:spacing w:after="0" w:line="252" w:lineRule="auto"/>
        <w:tabs>
          <w:tab w:leader="none" w:pos="103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ind w:right="20" w:firstLine="635"/>
        <w:spacing w:after="0" w:line="335" w:lineRule="auto"/>
        <w:tabs>
          <w:tab w:leader="none" w:pos="1014"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firstLine="635"/>
        <w:spacing w:after="0" w:line="254" w:lineRule="auto"/>
        <w:tabs>
          <w:tab w:leader="none" w:pos="104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right="240" w:firstLine="635"/>
        <w:spacing w:after="0" w:line="259" w:lineRule="auto"/>
        <w:tabs>
          <w:tab w:leader="none" w:pos="104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60" w:firstLine="635"/>
        <w:spacing w:after="0" w:line="274" w:lineRule="auto"/>
        <w:tabs>
          <w:tab w:leader="none" w:pos="100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firstLine="635"/>
        <w:spacing w:after="0" w:line="274" w:lineRule="auto"/>
        <w:tabs>
          <w:tab w:leader="none" w:pos="100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380"/>
          </w:cols>
          <w:pgMar w:left="240" w:top="582" w:right="279" w:bottom="1440" w:gutter="0" w:footer="0" w:header="0"/>
        </w:sectPr>
      </w:pPr>
    </w:p>
    <w:bookmarkStart w:id="178" w:name="page179"/>
    <w:bookmarkEnd w:id="178"/>
    <w:p>
      <w:pPr>
        <w:jc w:val="both"/>
        <w:ind w:left="-20" w:right="160" w:firstLine="635"/>
        <w:spacing w:after="0" w:line="273" w:lineRule="auto"/>
        <w:tabs>
          <w:tab w:leader="none" w:pos="102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left="-20" w:firstLine="635"/>
        <w:spacing w:after="0" w:line="259" w:lineRule="auto"/>
        <w:tabs>
          <w:tab w:leader="none" w:pos="984"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20" w:right="120" w:firstLine="625"/>
        <w:spacing w:after="0" w:line="264" w:lineRule="auto"/>
        <w:tabs>
          <w:tab w:leader="none" w:pos="1624"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20" w:right="20" w:firstLine="625"/>
        <w:spacing w:after="0" w:line="250" w:lineRule="auto"/>
        <w:tabs>
          <w:tab w:leader="none" w:pos="1677"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left="-20" w:right="340" w:firstLine="635"/>
        <w:spacing w:after="0" w:line="259" w:lineRule="auto"/>
        <w:tabs>
          <w:tab w:leader="none" w:pos="108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left="-20" w:right="40" w:firstLine="635"/>
        <w:spacing w:after="0" w:line="259" w:lineRule="auto"/>
        <w:tabs>
          <w:tab w:leader="none" w:pos="102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left="-20" w:right="40" w:firstLine="635"/>
        <w:spacing w:after="0" w:line="280" w:lineRule="auto"/>
        <w:tabs>
          <w:tab w:leader="none" w:pos="102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380"/>
          </w:cols>
          <w:pgMar w:left="260" w:top="582" w:right="259" w:bottom="1440" w:gutter="0" w:footer="0" w:header="0"/>
        </w:sectPr>
      </w:pPr>
    </w:p>
    <w:bookmarkStart w:id="179" w:name="page180"/>
    <w:bookmarkEnd w:id="179"/>
    <w:p>
      <w:pPr>
        <w:ind w:right="20"/>
        <w:spacing w:after="0" w:line="274" w:lineRule="auto"/>
        <w:rPr>
          <w:sz w:val="20"/>
          <w:szCs w:val="20"/>
          <w:color w:val="auto"/>
        </w:rPr>
      </w:pPr>
      <w:r>
        <w:rPr>
          <w:rFonts w:ascii="Arial" w:cs="Arial" w:eastAsia="Arial" w:hAnsi="Arial"/>
          <w:sz w:val="19"/>
          <w:szCs w:val="19"/>
          <w:color w:val="auto"/>
        </w:rPr>
        <w:t>upon three business days’ notice to the Company, in which case subsequent prospectuses, annual reports and other information will be delivered in hard copy to the Participant).</w:t>
      </w:r>
    </w:p>
    <w:p>
      <w:pPr>
        <w:spacing w:after="0" w:line="157" w:lineRule="exact"/>
        <w:rPr>
          <w:sz w:val="20"/>
          <w:szCs w:val="20"/>
          <w:color w:val="auto"/>
        </w:rPr>
      </w:pPr>
    </w:p>
    <w:p>
      <w:pPr>
        <w:ind w:firstLine="635"/>
        <w:spacing w:after="0" w:line="254" w:lineRule="auto"/>
        <w:tabs>
          <w:tab w:leader="none" w:pos="1046"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320"/>
          </w:cols>
          <w:pgMar w:left="240" w:top="582"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IN WITNESS WHEREOF, this Agreement has been executed by the Company and the Participant as of the day first written above.</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33"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20"/>
          <w:szCs w:val="20"/>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142240</wp:posOffset>
            </wp:positionV>
            <wp:extent cx="1117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7"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Name: Robert Greifeld</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Douglas A. Cifu</w:t>
      </w:r>
    </w:p>
    <w:p>
      <w:pPr>
        <w:sectPr>
          <w:pgSz w:w="11900" w:h="16838" w:orient="portrait"/>
          <w:cols w:equalWidth="0" w:num="1">
            <w:col w:w="10120"/>
          </w:cols>
          <w:pgMar w:left="1100" w:top="582" w:right="679" w:bottom="1440" w:gutter="0" w:footer="0" w:header="0"/>
        </w:sectPr>
      </w:pPr>
    </w:p>
    <w:bookmarkStart w:id="181" w:name="page182"/>
    <w:bookmarkEnd w:id="181"/>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9"/>
          <w:szCs w:val="19"/>
          <w:b w:val="1"/>
          <w:bCs w:val="1"/>
          <w:u w:val="single" w:color="auto"/>
          <w:color w:val="auto"/>
        </w:rPr>
        <w:t>RESTRICTED STOCK UNIT AND COMMON STOCK AWARD AGREEMENT</w:t>
      </w:r>
    </w:p>
    <w:p>
      <w:pPr>
        <w:spacing w:after="0" w:line="146" w:lineRule="exact"/>
        <w:rPr>
          <w:sz w:val="20"/>
          <w:szCs w:val="20"/>
          <w:color w:val="auto"/>
        </w:rPr>
      </w:pPr>
    </w:p>
    <w:p>
      <w:pPr>
        <w:ind w:right="180" w:firstLine="630"/>
        <w:spacing w:after="0" w:line="259"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23, 2019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Joseph Molluso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19"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2018 through December 31, 2018, and RSUs provided for herein to the Participant subject to the terms set forth herein.</w:t>
      </w:r>
    </w:p>
    <w:p>
      <w:pPr>
        <w:spacing w:after="0" w:line="84"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33" w:lineRule="exact"/>
        <w:rPr>
          <w:rFonts w:ascii="Arial" w:cs="Arial" w:eastAsia="Arial" w:hAnsi="Arial"/>
          <w:sz w:val="19"/>
          <w:szCs w:val="19"/>
          <w:b w:val="1"/>
          <w:bCs w:val="1"/>
          <w:color w:val="auto"/>
        </w:rPr>
      </w:pPr>
    </w:p>
    <w:p>
      <w:pPr>
        <w:ind w:right="120" w:firstLine="635"/>
        <w:spacing w:after="0" w:line="279" w:lineRule="auto"/>
        <w:tabs>
          <w:tab w:leader="none" w:pos="1036"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xml:space="preserve">. The Company hereby grants to the Participant a total number of shares of Class A Common Stock equal to approximately </w:t>
      </w:r>
      <w:r>
        <w:rPr>
          <w:rFonts w:ascii="Arial" w:cs="Arial" w:eastAsia="Arial" w:hAnsi="Arial"/>
          <w:sz w:val="19"/>
          <w:szCs w:val="19"/>
          <w:b w:val="1"/>
          <w:bCs w:val="1"/>
          <w:color w:val="auto"/>
        </w:rPr>
        <w:t>$</w:t>
      </w:r>
      <w:r>
        <w:rPr>
          <w:rFonts w:ascii="Arial" w:cs="Arial" w:eastAsia="Arial" w:hAnsi="Arial"/>
          <w:sz w:val="20"/>
          <w:szCs w:val="20"/>
          <w:b w:val="1"/>
          <w:bCs w:val="1"/>
          <w:color w:val="auto"/>
        </w:rPr>
        <w:t>420,000</w:t>
      </w:r>
      <w:r>
        <w:rPr>
          <w:rFonts w:ascii="Arial" w:cs="Arial" w:eastAsia="Arial" w:hAnsi="Arial"/>
          <w:sz w:val="19"/>
          <w:szCs w:val="19"/>
          <w:b w:val="1"/>
          <w:bCs w:val="1"/>
          <w:color w:val="auto"/>
        </w:rPr>
        <w:t xml:space="preserve"> </w:t>
      </w:r>
      <w:r>
        <w:rPr>
          <w:rFonts w:ascii="Arial" w:cs="Arial" w:eastAsia="Arial" w:hAnsi="Arial"/>
          <w:sz w:val="19"/>
          <w:szCs w:val="19"/>
          <w:color w:val="auto"/>
        </w:rPr>
        <w:t>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approximately</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630,000</w:t>
      </w:r>
      <w:r>
        <w:rPr>
          <w:rFonts w:ascii="Arial" w:cs="Arial" w:eastAsia="Arial" w:hAnsi="Arial"/>
          <w:sz w:val="19"/>
          <w:szCs w:val="19"/>
          <w:b w:val="1"/>
          <w:bCs w:val="1"/>
          <w:color w:val="auto"/>
        </w:rPr>
        <w:t xml:space="preserve"> </w:t>
      </w:r>
      <w:r>
        <w:rPr>
          <w:rFonts w:ascii="Arial" w:cs="Arial" w:eastAsia="Arial" w:hAnsi="Arial"/>
          <w:sz w:val="19"/>
          <w:szCs w:val="19"/>
          <w:color w:val="auto"/>
        </w:rPr>
        <w:t>divided by the Issue Price,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68" w:lineRule="exact"/>
        <w:rPr>
          <w:rFonts w:ascii="Arial" w:cs="Arial" w:eastAsia="Arial" w:hAnsi="Arial"/>
          <w:sz w:val="19"/>
          <w:szCs w:val="19"/>
          <w:color w:val="auto"/>
        </w:rPr>
      </w:pPr>
    </w:p>
    <w:p>
      <w:pPr>
        <w:ind w:firstLine="635"/>
        <w:spacing w:after="0" w:line="266" w:lineRule="auto"/>
        <w:tabs>
          <w:tab w:leader="none" w:pos="1046"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14" w:lineRule="exact"/>
        <w:rPr>
          <w:rFonts w:ascii="Arial" w:cs="Arial" w:eastAsia="Arial" w:hAnsi="Arial"/>
          <w:sz w:val="19"/>
          <w:szCs w:val="19"/>
          <w:color w:val="auto"/>
        </w:rPr>
      </w:pPr>
    </w:p>
    <w:p>
      <w:pPr>
        <w:ind w:right="300" w:firstLine="635"/>
        <w:spacing w:after="0" w:line="274" w:lineRule="auto"/>
        <w:tabs>
          <w:tab w:leader="none" w:pos="1047" w:val="left"/>
        </w:tabs>
        <w:numPr>
          <w:ilvl w:val="1"/>
          <w:numId w:val="179"/>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20"/>
          </w:cols>
          <w:pgMar w:left="240" w:top="576" w:right="239" w:bottom="1440" w:gutter="0" w:footer="0" w:header="0"/>
        </w:sectPr>
      </w:pPr>
    </w:p>
    <w:bookmarkStart w:id="182" w:name="page183"/>
    <w:bookmarkEnd w:id="182"/>
    <w:p>
      <w:pPr>
        <w:ind w:right="140"/>
        <w:spacing w:after="0" w:line="254" w:lineRule="auto"/>
        <w:rPr>
          <w:sz w:val="20"/>
          <w:szCs w:val="20"/>
          <w:color w:val="auto"/>
        </w:rPr>
      </w:pPr>
      <w:r>
        <w:rPr>
          <w:rFonts w:ascii="Arial" w:cs="Arial" w:eastAsia="Arial" w:hAnsi="Arial"/>
          <w:sz w:val="19"/>
          <w:szCs w:val="19"/>
          <w:color w:val="auto"/>
        </w:rPr>
        <w:t>each of the first three (3) anniversaries of the Date of Grant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8" w:lineRule="exact"/>
        <w:rPr>
          <w:sz w:val="20"/>
          <w:szCs w:val="20"/>
          <w:color w:val="auto"/>
        </w:rPr>
      </w:pPr>
    </w:p>
    <w:p>
      <w:pPr>
        <w:ind w:right="200" w:firstLine="635"/>
        <w:spacing w:after="0" w:line="274" w:lineRule="auto"/>
        <w:tabs>
          <w:tab w:leader="none" w:pos="1032" w:val="left"/>
        </w:tabs>
        <w:numPr>
          <w:ilvl w:val="1"/>
          <w:numId w:val="180"/>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20" w:firstLine="5"/>
        <w:spacing w:after="0" w:line="308" w:lineRule="auto"/>
        <w:tabs>
          <w:tab w:leader="none" w:pos="337"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280" w:firstLine="5"/>
        <w:spacing w:after="0" w:line="342" w:lineRule="auto"/>
        <w:tabs>
          <w:tab w:leader="none" w:pos="333"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all unvested RSUs shall be cancelled immediately and the Participant shall not be entitled to receive any payments with respect thereto.</w:t>
      </w:r>
    </w:p>
    <w:p>
      <w:pPr>
        <w:spacing w:after="0" w:line="99" w:lineRule="exact"/>
        <w:rPr>
          <w:rFonts w:ascii="Arial" w:cs="Arial" w:eastAsia="Arial" w:hAnsi="Arial"/>
          <w:sz w:val="17"/>
          <w:szCs w:val="17"/>
          <w:b w:val="1"/>
          <w:bCs w:val="1"/>
          <w:color w:val="auto"/>
        </w:rPr>
      </w:pPr>
    </w:p>
    <w:p>
      <w:pPr>
        <w:ind w:right="20" w:firstLine="5"/>
        <w:spacing w:after="0" w:line="252" w:lineRule="auto"/>
        <w:tabs>
          <w:tab w:leader="none" w:pos="337"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2" w:lineRule="exact"/>
        <w:rPr>
          <w:rFonts w:ascii="Arial" w:cs="Arial" w:eastAsia="Arial" w:hAnsi="Arial"/>
          <w:sz w:val="19"/>
          <w:szCs w:val="19"/>
          <w:b w:val="1"/>
          <w:bCs w:val="1"/>
          <w:color w:val="auto"/>
        </w:rPr>
      </w:pPr>
    </w:p>
    <w:p>
      <w:pPr>
        <w:ind w:left="640" w:hanging="635"/>
        <w:spacing w:after="0"/>
        <w:tabs>
          <w:tab w:leader="none" w:pos="640"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200" w:firstLine="635"/>
        <w:spacing w:after="0" w:line="269" w:lineRule="auto"/>
        <w:tabs>
          <w:tab w:leader="none" w:pos="1036"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65" w:lineRule="exact"/>
        <w:rPr>
          <w:rFonts w:ascii="Arial" w:cs="Arial" w:eastAsia="Arial" w:hAnsi="Arial"/>
          <w:sz w:val="18"/>
          <w:szCs w:val="18"/>
          <w:color w:val="auto"/>
        </w:rPr>
      </w:pPr>
    </w:p>
    <w:p>
      <w:pPr>
        <w:ind w:firstLine="635"/>
        <w:spacing w:after="0" w:line="264" w:lineRule="auto"/>
        <w:tabs>
          <w:tab w:leader="none" w:pos="1046"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00"/>
          </w:cols>
          <w:pgMar w:left="240" w:top="582" w:right="2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would otherwise be deliverable to the Participant upon settlement of the RSUs with a Fair Market Value equal to such withholding liability.</w:t>
      </w:r>
    </w:p>
    <w:p>
      <w:pPr>
        <w:spacing w:after="0" w:line="220" w:lineRule="exact"/>
        <w:rPr>
          <w:sz w:val="20"/>
          <w:szCs w:val="20"/>
          <w:color w:val="auto"/>
        </w:rPr>
      </w:pPr>
    </w:p>
    <w:p>
      <w:pPr>
        <w:ind w:firstLine="5"/>
        <w:spacing w:after="0" w:line="262" w:lineRule="auto"/>
        <w:tabs>
          <w:tab w:leader="none" w:pos="337"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Shares and RSU award if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0" w:lineRule="exact"/>
        <w:rPr>
          <w:rFonts w:ascii="Arial" w:cs="Arial" w:eastAsia="Arial" w:hAnsi="Arial"/>
          <w:sz w:val="18"/>
          <w:szCs w:val="18"/>
          <w:b w:val="1"/>
          <w:bCs w:val="1"/>
          <w:color w:val="auto"/>
        </w:rPr>
      </w:pPr>
    </w:p>
    <w:p>
      <w:pPr>
        <w:ind w:left="640" w:hanging="635"/>
        <w:spacing w:after="0"/>
        <w:tabs>
          <w:tab w:leader="none" w:pos="640"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60" w:firstLine="635"/>
        <w:spacing w:after="0" w:line="259" w:lineRule="auto"/>
        <w:tabs>
          <w:tab w:leader="none" w:pos="103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right="20" w:firstLine="635"/>
        <w:spacing w:after="0" w:line="252" w:lineRule="auto"/>
        <w:tabs>
          <w:tab w:leader="none" w:pos="104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4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160" w:firstLine="635"/>
        <w:spacing w:after="0" w:line="259" w:lineRule="auto"/>
        <w:tabs>
          <w:tab w:leader="none" w:pos="1046"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20"/>
          </w:cols>
          <w:pgMar w:left="240" w:top="582" w:right="239" w:bottom="1440" w:gutter="0" w:footer="0" w:header="0"/>
        </w:sectPr>
      </w:pPr>
    </w:p>
    <w:bookmarkStart w:id="184" w:name="page185"/>
    <w:bookmarkEnd w:id="184"/>
    <w:p>
      <w:pPr>
        <w:ind w:right="160"/>
        <w:spacing w:after="0" w:line="274" w:lineRule="auto"/>
        <w:rPr>
          <w:sz w:val="20"/>
          <w:szCs w:val="20"/>
          <w:color w:val="auto"/>
        </w:rPr>
      </w:pPr>
      <w:r>
        <w:rPr>
          <w:rFonts w:ascii="Arial" w:cs="Arial" w:eastAsia="Arial" w:hAnsi="Arial"/>
          <w:sz w:val="19"/>
          <w:szCs w:val="19"/>
          <w:color w:val="auto"/>
        </w:rPr>
        <w:t>a waiver of any right to damages. No waiver by any party of any breach of this Agreement shall be held to constitute a waiver of any other breach or a waiver of the continuation of the same breach.</w:t>
      </w:r>
    </w:p>
    <w:p>
      <w:pPr>
        <w:spacing w:after="0" w:line="157" w:lineRule="exact"/>
        <w:rPr>
          <w:sz w:val="20"/>
          <w:szCs w:val="20"/>
          <w:color w:val="auto"/>
        </w:rPr>
      </w:pPr>
    </w:p>
    <w:p>
      <w:pPr>
        <w:ind w:right="20" w:firstLine="635"/>
        <w:spacing w:after="0" w:line="282" w:lineRule="auto"/>
        <w:tabs>
          <w:tab w:leader="none" w:pos="1036"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57" w:lineRule="exact"/>
        <w:rPr>
          <w:rFonts w:ascii="Arial" w:cs="Arial" w:eastAsia="Arial" w:hAnsi="Arial"/>
          <w:sz w:val="17"/>
          <w:szCs w:val="17"/>
          <w:color w:val="auto"/>
        </w:rPr>
      </w:pPr>
    </w:p>
    <w:p>
      <w:pPr>
        <w:ind w:right="320" w:firstLine="635"/>
        <w:spacing w:after="0" w:line="259" w:lineRule="auto"/>
        <w:tabs>
          <w:tab w:leader="none" w:pos="104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80" w:firstLine="635"/>
        <w:spacing w:after="0" w:line="252" w:lineRule="auto"/>
        <w:tabs>
          <w:tab w:leader="none" w:pos="103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ind w:right="20" w:firstLine="635"/>
        <w:spacing w:after="0" w:line="335" w:lineRule="auto"/>
        <w:tabs>
          <w:tab w:leader="none" w:pos="1014"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firstLine="635"/>
        <w:spacing w:after="0" w:line="254" w:lineRule="auto"/>
        <w:tabs>
          <w:tab w:leader="none" w:pos="104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right="240" w:firstLine="635"/>
        <w:spacing w:after="0" w:line="259" w:lineRule="auto"/>
        <w:tabs>
          <w:tab w:leader="none" w:pos="1046"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60" w:firstLine="635"/>
        <w:spacing w:after="0" w:line="274" w:lineRule="auto"/>
        <w:tabs>
          <w:tab w:leader="none" w:pos="1004"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firstLine="635"/>
        <w:spacing w:after="0" w:line="274" w:lineRule="auto"/>
        <w:tabs>
          <w:tab w:leader="none" w:pos="1004"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380"/>
          </w:cols>
          <w:pgMar w:left="240" w:top="582" w:right="279" w:bottom="1440" w:gutter="0" w:footer="0" w:header="0"/>
        </w:sectPr>
      </w:pPr>
    </w:p>
    <w:bookmarkStart w:id="185" w:name="page186"/>
    <w:bookmarkEnd w:id="185"/>
    <w:p>
      <w:pPr>
        <w:jc w:val="both"/>
        <w:ind w:left="-20" w:right="160" w:firstLine="635"/>
        <w:spacing w:after="0" w:line="273" w:lineRule="auto"/>
        <w:tabs>
          <w:tab w:leader="none" w:pos="102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left="-20" w:firstLine="635"/>
        <w:spacing w:after="0" w:line="259" w:lineRule="auto"/>
        <w:tabs>
          <w:tab w:leader="none" w:pos="984"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20" w:right="120" w:firstLine="625"/>
        <w:spacing w:after="0" w:line="264" w:lineRule="auto"/>
        <w:tabs>
          <w:tab w:leader="none" w:pos="1624"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20" w:right="20" w:firstLine="625"/>
        <w:spacing w:after="0" w:line="250" w:lineRule="auto"/>
        <w:tabs>
          <w:tab w:leader="none" w:pos="1677"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left="-20" w:right="340" w:firstLine="635"/>
        <w:spacing w:after="0" w:line="259" w:lineRule="auto"/>
        <w:tabs>
          <w:tab w:leader="none" w:pos="1080"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left="-20" w:right="40" w:firstLine="635"/>
        <w:spacing w:after="0" w:line="259" w:lineRule="auto"/>
        <w:tabs>
          <w:tab w:leader="none" w:pos="102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left="-20" w:right="40" w:firstLine="635"/>
        <w:spacing w:after="0" w:line="280" w:lineRule="auto"/>
        <w:tabs>
          <w:tab w:leader="none" w:pos="102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380"/>
          </w:cols>
          <w:pgMar w:left="260" w:top="582" w:right="259" w:bottom="1440" w:gutter="0" w:footer="0" w:header="0"/>
        </w:sectPr>
      </w:pPr>
    </w:p>
    <w:bookmarkStart w:id="186" w:name="page187"/>
    <w:bookmarkEnd w:id="186"/>
    <w:p>
      <w:pPr>
        <w:ind w:right="20"/>
        <w:spacing w:after="0" w:line="274" w:lineRule="auto"/>
        <w:rPr>
          <w:sz w:val="20"/>
          <w:szCs w:val="20"/>
          <w:color w:val="auto"/>
        </w:rPr>
      </w:pPr>
      <w:r>
        <w:rPr>
          <w:rFonts w:ascii="Arial" w:cs="Arial" w:eastAsia="Arial" w:hAnsi="Arial"/>
          <w:sz w:val="19"/>
          <w:szCs w:val="19"/>
          <w:color w:val="auto"/>
        </w:rPr>
        <w:t>upon three business days’ notice to the Company, in which case subsequent prospectuses, annual reports and other information will be delivered in hard copy to the Participant).</w:t>
      </w:r>
    </w:p>
    <w:p>
      <w:pPr>
        <w:spacing w:after="0" w:line="157" w:lineRule="exact"/>
        <w:rPr>
          <w:sz w:val="20"/>
          <w:szCs w:val="20"/>
          <w:color w:val="auto"/>
        </w:rPr>
      </w:pPr>
    </w:p>
    <w:p>
      <w:pPr>
        <w:ind w:firstLine="635"/>
        <w:spacing w:after="0" w:line="254" w:lineRule="auto"/>
        <w:tabs>
          <w:tab w:leader="none" w:pos="1046"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320"/>
          </w:cols>
          <w:pgMar w:left="240" w:top="582" w:right="33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t>IN WITNESS WHEREOF, this Agreement has been executed by the Company and the Participant as of the day first written above.</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3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138430</wp:posOffset>
            </wp:positionV>
            <wp:extent cx="111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Name: Douglas A. Cifu</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Joseph Molluso</w:t>
      </w: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20"/>
          </w:cols>
          <w:pgMar w:left="1100" w:top="582" w:right="679" w:bottom="1440" w:gutter="0" w:footer="0" w:header="0"/>
        </w:sectPr>
      </w:pPr>
    </w:p>
    <w:bookmarkStart w:id="188" w:name="page189"/>
    <w:bookmarkEnd w:id="188"/>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9"/>
          <w:szCs w:val="19"/>
          <w:b w:val="1"/>
          <w:bCs w:val="1"/>
          <w:u w:val="single" w:color="auto"/>
          <w:color w:val="auto"/>
        </w:rPr>
        <w:t>RESTRICTED STOCK UNIT AND COMMON STOCK AWARD AGREEMENT</w:t>
      </w:r>
    </w:p>
    <w:p>
      <w:pPr>
        <w:spacing w:after="0" w:line="146" w:lineRule="exact"/>
        <w:rPr>
          <w:sz w:val="20"/>
          <w:szCs w:val="20"/>
          <w:color w:val="auto"/>
        </w:rPr>
      </w:pPr>
    </w:p>
    <w:p>
      <w:pPr>
        <w:ind w:right="180" w:firstLine="630"/>
        <w:spacing w:after="0" w:line="259"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23, 2019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Stephen Cavoli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19"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2018 through December 31, 2018, and RSUs provided for herein to the Participant subject to the terms set forth herein.</w:t>
      </w:r>
    </w:p>
    <w:p>
      <w:pPr>
        <w:spacing w:after="0" w:line="84"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33" w:lineRule="exact"/>
        <w:rPr>
          <w:rFonts w:ascii="Arial" w:cs="Arial" w:eastAsia="Arial" w:hAnsi="Arial"/>
          <w:sz w:val="19"/>
          <w:szCs w:val="19"/>
          <w:b w:val="1"/>
          <w:bCs w:val="1"/>
          <w:color w:val="auto"/>
        </w:rPr>
      </w:pPr>
    </w:p>
    <w:p>
      <w:pPr>
        <w:ind w:right="120" w:firstLine="635"/>
        <w:spacing w:after="0" w:line="279" w:lineRule="auto"/>
        <w:tabs>
          <w:tab w:leader="none" w:pos="1036" w:val="left"/>
        </w:tabs>
        <w:numPr>
          <w:ilvl w:val="1"/>
          <w:numId w:val="187"/>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xml:space="preserve">. The Company hereby grants to the Participant a total number of shares of Class A Common Stock equal to approximately </w:t>
      </w:r>
      <w:r>
        <w:rPr>
          <w:rFonts w:ascii="Arial" w:cs="Arial" w:eastAsia="Arial" w:hAnsi="Arial"/>
          <w:sz w:val="19"/>
          <w:szCs w:val="19"/>
          <w:b w:val="1"/>
          <w:bCs w:val="1"/>
          <w:color w:val="auto"/>
        </w:rPr>
        <w:t>$</w:t>
      </w:r>
      <w:r>
        <w:rPr>
          <w:rFonts w:ascii="Arial" w:cs="Arial" w:eastAsia="Arial" w:hAnsi="Arial"/>
          <w:sz w:val="20"/>
          <w:szCs w:val="20"/>
          <w:b w:val="1"/>
          <w:bCs w:val="1"/>
          <w:color w:val="auto"/>
        </w:rPr>
        <w:t>128,000</w:t>
      </w:r>
      <w:r>
        <w:rPr>
          <w:rFonts w:ascii="Arial" w:cs="Arial" w:eastAsia="Arial" w:hAnsi="Arial"/>
          <w:sz w:val="19"/>
          <w:szCs w:val="19"/>
          <w:b w:val="1"/>
          <w:bCs w:val="1"/>
          <w:color w:val="auto"/>
        </w:rPr>
        <w:t xml:space="preserve"> </w:t>
      </w:r>
      <w:r>
        <w:rPr>
          <w:rFonts w:ascii="Arial" w:cs="Arial" w:eastAsia="Arial" w:hAnsi="Arial"/>
          <w:sz w:val="19"/>
          <w:szCs w:val="19"/>
          <w:color w:val="auto"/>
        </w:rPr>
        <w:t>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approximately</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192,000</w:t>
      </w:r>
      <w:r>
        <w:rPr>
          <w:rFonts w:ascii="Arial" w:cs="Arial" w:eastAsia="Arial" w:hAnsi="Arial"/>
          <w:sz w:val="19"/>
          <w:szCs w:val="19"/>
          <w:b w:val="1"/>
          <w:bCs w:val="1"/>
          <w:color w:val="auto"/>
        </w:rPr>
        <w:t xml:space="preserve"> </w:t>
      </w:r>
      <w:r>
        <w:rPr>
          <w:rFonts w:ascii="Arial" w:cs="Arial" w:eastAsia="Arial" w:hAnsi="Arial"/>
          <w:sz w:val="19"/>
          <w:szCs w:val="19"/>
          <w:color w:val="auto"/>
        </w:rPr>
        <w:t>divided by the Issue Price,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68" w:lineRule="exact"/>
        <w:rPr>
          <w:rFonts w:ascii="Arial" w:cs="Arial" w:eastAsia="Arial" w:hAnsi="Arial"/>
          <w:sz w:val="19"/>
          <w:szCs w:val="19"/>
          <w:color w:val="auto"/>
        </w:rPr>
      </w:pPr>
    </w:p>
    <w:p>
      <w:pPr>
        <w:ind w:firstLine="635"/>
        <w:spacing w:after="0" w:line="266" w:lineRule="auto"/>
        <w:tabs>
          <w:tab w:leader="none" w:pos="1046"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14" w:lineRule="exact"/>
        <w:rPr>
          <w:rFonts w:ascii="Arial" w:cs="Arial" w:eastAsia="Arial" w:hAnsi="Arial"/>
          <w:sz w:val="19"/>
          <w:szCs w:val="19"/>
          <w:color w:val="auto"/>
        </w:rPr>
      </w:pPr>
    </w:p>
    <w:p>
      <w:pPr>
        <w:ind w:right="300" w:firstLine="635"/>
        <w:spacing w:after="0" w:line="274" w:lineRule="auto"/>
        <w:tabs>
          <w:tab w:leader="none" w:pos="1047" w:val="left"/>
        </w:tabs>
        <w:numPr>
          <w:ilvl w:val="1"/>
          <w:numId w:val="187"/>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20"/>
          </w:cols>
          <w:pgMar w:left="240" w:top="576" w:right="239" w:bottom="1440" w:gutter="0" w:footer="0" w:header="0"/>
        </w:sectPr>
      </w:pPr>
    </w:p>
    <w:bookmarkStart w:id="189" w:name="page190"/>
    <w:bookmarkEnd w:id="189"/>
    <w:p>
      <w:pPr>
        <w:ind w:right="140"/>
        <w:spacing w:after="0" w:line="254" w:lineRule="auto"/>
        <w:rPr>
          <w:sz w:val="20"/>
          <w:szCs w:val="20"/>
          <w:color w:val="auto"/>
        </w:rPr>
      </w:pPr>
      <w:r>
        <w:rPr>
          <w:rFonts w:ascii="Arial" w:cs="Arial" w:eastAsia="Arial" w:hAnsi="Arial"/>
          <w:sz w:val="19"/>
          <w:szCs w:val="19"/>
          <w:color w:val="auto"/>
        </w:rPr>
        <w:t>each of the first three (3) anniversaries of the Date of Grant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8" w:lineRule="exact"/>
        <w:rPr>
          <w:sz w:val="20"/>
          <w:szCs w:val="20"/>
          <w:color w:val="auto"/>
        </w:rPr>
      </w:pPr>
    </w:p>
    <w:p>
      <w:pPr>
        <w:ind w:right="200" w:firstLine="635"/>
        <w:spacing w:after="0" w:line="274" w:lineRule="auto"/>
        <w:tabs>
          <w:tab w:leader="none" w:pos="1032" w:val="left"/>
        </w:tabs>
        <w:numPr>
          <w:ilvl w:val="1"/>
          <w:numId w:val="188"/>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20" w:firstLine="5"/>
        <w:spacing w:after="0" w:line="308" w:lineRule="auto"/>
        <w:tabs>
          <w:tab w:leader="none" w:pos="337"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280" w:firstLine="5"/>
        <w:spacing w:after="0" w:line="342" w:lineRule="auto"/>
        <w:tabs>
          <w:tab w:leader="none" w:pos="333"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all unvested RSUs shall be cancelled immediately and the Participant shall not be entitled to receive any payments with respect thereto.</w:t>
      </w:r>
    </w:p>
    <w:p>
      <w:pPr>
        <w:spacing w:after="0" w:line="99" w:lineRule="exact"/>
        <w:rPr>
          <w:rFonts w:ascii="Arial" w:cs="Arial" w:eastAsia="Arial" w:hAnsi="Arial"/>
          <w:sz w:val="17"/>
          <w:szCs w:val="17"/>
          <w:b w:val="1"/>
          <w:bCs w:val="1"/>
          <w:color w:val="auto"/>
        </w:rPr>
      </w:pPr>
    </w:p>
    <w:p>
      <w:pPr>
        <w:ind w:right="20" w:firstLine="5"/>
        <w:spacing w:after="0" w:line="252" w:lineRule="auto"/>
        <w:tabs>
          <w:tab w:leader="none" w:pos="337" w:val="left"/>
        </w:tabs>
        <w:numPr>
          <w:ilvl w:val="0"/>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2" w:lineRule="exact"/>
        <w:rPr>
          <w:rFonts w:ascii="Arial" w:cs="Arial" w:eastAsia="Arial" w:hAnsi="Arial"/>
          <w:sz w:val="19"/>
          <w:szCs w:val="19"/>
          <w:b w:val="1"/>
          <w:bCs w:val="1"/>
          <w:color w:val="auto"/>
        </w:rPr>
      </w:pPr>
    </w:p>
    <w:p>
      <w:pPr>
        <w:ind w:left="640" w:hanging="635"/>
        <w:spacing w:after="0"/>
        <w:tabs>
          <w:tab w:leader="none" w:pos="640" w:val="left"/>
        </w:tabs>
        <w:numPr>
          <w:ilvl w:val="0"/>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200" w:firstLine="635"/>
        <w:spacing w:after="0" w:line="269" w:lineRule="auto"/>
        <w:tabs>
          <w:tab w:leader="none" w:pos="1036"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65" w:lineRule="exact"/>
        <w:rPr>
          <w:rFonts w:ascii="Arial" w:cs="Arial" w:eastAsia="Arial" w:hAnsi="Arial"/>
          <w:sz w:val="18"/>
          <w:szCs w:val="18"/>
          <w:color w:val="auto"/>
        </w:rPr>
      </w:pPr>
    </w:p>
    <w:p>
      <w:pPr>
        <w:ind w:firstLine="635"/>
        <w:spacing w:after="0" w:line="264" w:lineRule="auto"/>
        <w:tabs>
          <w:tab w:leader="none" w:pos="1046"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00"/>
          </w:cols>
          <w:pgMar w:left="240" w:top="582"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would otherwise be deliverable to the Participant upon settlement of the RSUs with a Fair Market Value equal to such withholding liability.</w:t>
      </w:r>
    </w:p>
    <w:p>
      <w:pPr>
        <w:spacing w:after="0" w:line="220" w:lineRule="exact"/>
        <w:rPr>
          <w:sz w:val="20"/>
          <w:szCs w:val="20"/>
          <w:color w:val="auto"/>
        </w:rPr>
      </w:pPr>
    </w:p>
    <w:p>
      <w:pPr>
        <w:ind w:firstLine="5"/>
        <w:spacing w:after="0" w:line="262" w:lineRule="auto"/>
        <w:tabs>
          <w:tab w:leader="none" w:pos="337"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Shares and RSU award if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0" w:lineRule="exact"/>
        <w:rPr>
          <w:rFonts w:ascii="Arial" w:cs="Arial" w:eastAsia="Arial" w:hAnsi="Arial"/>
          <w:sz w:val="18"/>
          <w:szCs w:val="18"/>
          <w:b w:val="1"/>
          <w:bCs w:val="1"/>
          <w:color w:val="auto"/>
        </w:rPr>
      </w:pPr>
    </w:p>
    <w:p>
      <w:pPr>
        <w:ind w:left="640" w:hanging="635"/>
        <w:spacing w:after="0"/>
        <w:tabs>
          <w:tab w:leader="none" w:pos="640" w:val="left"/>
        </w:tabs>
        <w:numPr>
          <w:ilvl w:val="0"/>
          <w:numId w:val="190"/>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60" w:firstLine="635"/>
        <w:spacing w:after="0" w:line="259" w:lineRule="auto"/>
        <w:tabs>
          <w:tab w:leader="none" w:pos="103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right="20" w:firstLine="635"/>
        <w:spacing w:after="0" w:line="252" w:lineRule="auto"/>
        <w:tabs>
          <w:tab w:leader="none" w:pos="1047"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190"/>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4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160" w:firstLine="635"/>
        <w:spacing w:after="0" w:line="259" w:lineRule="auto"/>
        <w:tabs>
          <w:tab w:leader="none" w:pos="1046"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20"/>
          </w:cols>
          <w:pgMar w:left="240" w:top="582" w:right="239" w:bottom="1440" w:gutter="0" w:footer="0" w:header="0"/>
        </w:sectPr>
      </w:pPr>
    </w:p>
    <w:bookmarkStart w:id="191" w:name="page192"/>
    <w:bookmarkEnd w:id="191"/>
    <w:p>
      <w:pPr>
        <w:ind w:right="160"/>
        <w:spacing w:after="0" w:line="274" w:lineRule="auto"/>
        <w:rPr>
          <w:sz w:val="20"/>
          <w:szCs w:val="20"/>
          <w:color w:val="auto"/>
        </w:rPr>
      </w:pPr>
      <w:r>
        <w:rPr>
          <w:rFonts w:ascii="Arial" w:cs="Arial" w:eastAsia="Arial" w:hAnsi="Arial"/>
          <w:sz w:val="19"/>
          <w:szCs w:val="19"/>
          <w:color w:val="auto"/>
        </w:rPr>
        <w:t>a waiver of any right to damages. No waiver by any party of any breach of this Agreement shall be held to constitute a waiver of any other breach or a waiver of the continuation of the same breach.</w:t>
      </w:r>
    </w:p>
    <w:p>
      <w:pPr>
        <w:spacing w:after="0" w:line="157" w:lineRule="exact"/>
        <w:rPr>
          <w:sz w:val="20"/>
          <w:szCs w:val="20"/>
          <w:color w:val="auto"/>
        </w:rPr>
      </w:pPr>
    </w:p>
    <w:p>
      <w:pPr>
        <w:ind w:right="20" w:firstLine="635"/>
        <w:spacing w:after="0" w:line="282" w:lineRule="auto"/>
        <w:tabs>
          <w:tab w:leader="none" w:pos="103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57" w:lineRule="exact"/>
        <w:rPr>
          <w:rFonts w:ascii="Arial" w:cs="Arial" w:eastAsia="Arial" w:hAnsi="Arial"/>
          <w:sz w:val="17"/>
          <w:szCs w:val="17"/>
          <w:color w:val="auto"/>
        </w:rPr>
      </w:pPr>
    </w:p>
    <w:p>
      <w:pPr>
        <w:ind w:right="320" w:firstLine="635"/>
        <w:spacing w:after="0" w:line="259" w:lineRule="auto"/>
        <w:tabs>
          <w:tab w:leader="none" w:pos="104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80" w:firstLine="635"/>
        <w:spacing w:after="0" w:line="252" w:lineRule="auto"/>
        <w:tabs>
          <w:tab w:leader="none" w:pos="103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ind w:right="20" w:firstLine="635"/>
        <w:spacing w:after="0" w:line="335" w:lineRule="auto"/>
        <w:tabs>
          <w:tab w:leader="none" w:pos="101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firstLine="635"/>
        <w:spacing w:after="0" w:line="254" w:lineRule="auto"/>
        <w:tabs>
          <w:tab w:leader="none" w:pos="104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right="240" w:firstLine="635"/>
        <w:spacing w:after="0" w:line="259" w:lineRule="auto"/>
        <w:tabs>
          <w:tab w:leader="none" w:pos="104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60" w:firstLine="635"/>
        <w:spacing w:after="0" w:line="274" w:lineRule="auto"/>
        <w:tabs>
          <w:tab w:leader="none" w:pos="1004"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firstLine="635"/>
        <w:spacing w:after="0" w:line="274" w:lineRule="auto"/>
        <w:tabs>
          <w:tab w:leader="none" w:pos="1004"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380"/>
          </w:cols>
          <w:pgMar w:left="240" w:top="582" w:right="279" w:bottom="1440" w:gutter="0" w:footer="0" w:header="0"/>
        </w:sectPr>
      </w:pPr>
    </w:p>
    <w:bookmarkStart w:id="192" w:name="page193"/>
    <w:bookmarkEnd w:id="192"/>
    <w:p>
      <w:pPr>
        <w:jc w:val="both"/>
        <w:ind w:left="-20" w:right="160" w:firstLine="635"/>
        <w:spacing w:after="0" w:line="273" w:lineRule="auto"/>
        <w:tabs>
          <w:tab w:leader="none" w:pos="102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left="-20" w:firstLine="635"/>
        <w:spacing w:after="0" w:line="259" w:lineRule="auto"/>
        <w:tabs>
          <w:tab w:leader="none" w:pos="984"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20" w:right="120" w:firstLine="625"/>
        <w:spacing w:after="0" w:line="264" w:lineRule="auto"/>
        <w:tabs>
          <w:tab w:leader="none" w:pos="1624"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20" w:right="20" w:firstLine="625"/>
        <w:spacing w:after="0" w:line="250" w:lineRule="auto"/>
        <w:tabs>
          <w:tab w:leader="none" w:pos="1677"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left="-20" w:right="340" w:firstLine="635"/>
        <w:spacing w:after="0" w:line="259" w:lineRule="auto"/>
        <w:tabs>
          <w:tab w:leader="none" w:pos="108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left="-20" w:right="40" w:firstLine="635"/>
        <w:spacing w:after="0" w:line="259" w:lineRule="auto"/>
        <w:tabs>
          <w:tab w:leader="none" w:pos="1026"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left="-20" w:right="40" w:firstLine="635"/>
        <w:spacing w:after="0" w:line="280" w:lineRule="auto"/>
        <w:tabs>
          <w:tab w:leader="none" w:pos="102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380"/>
          </w:cols>
          <w:pgMar w:left="260" w:top="582" w:right="259" w:bottom="1440" w:gutter="0" w:footer="0" w:header="0"/>
        </w:sectPr>
      </w:pPr>
    </w:p>
    <w:bookmarkStart w:id="193" w:name="page194"/>
    <w:bookmarkEnd w:id="193"/>
    <w:p>
      <w:pPr>
        <w:ind w:right="20"/>
        <w:spacing w:after="0" w:line="274" w:lineRule="auto"/>
        <w:rPr>
          <w:sz w:val="20"/>
          <w:szCs w:val="20"/>
          <w:color w:val="auto"/>
        </w:rPr>
      </w:pPr>
      <w:r>
        <w:rPr>
          <w:rFonts w:ascii="Arial" w:cs="Arial" w:eastAsia="Arial" w:hAnsi="Arial"/>
          <w:sz w:val="19"/>
          <w:szCs w:val="19"/>
          <w:color w:val="auto"/>
        </w:rPr>
        <w:t>upon three business days’ notice to the Company, in which case subsequent prospectuses, annual reports and other information will be delivered in hard copy to the Participant).</w:t>
      </w:r>
    </w:p>
    <w:p>
      <w:pPr>
        <w:spacing w:after="0" w:line="157" w:lineRule="exact"/>
        <w:rPr>
          <w:sz w:val="20"/>
          <w:szCs w:val="20"/>
          <w:color w:val="auto"/>
        </w:rPr>
      </w:pPr>
    </w:p>
    <w:p>
      <w:pPr>
        <w:ind w:firstLine="635"/>
        <w:spacing w:after="0" w:line="254" w:lineRule="auto"/>
        <w:tabs>
          <w:tab w:leader="none" w:pos="1046"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320"/>
          </w:cols>
          <w:pgMar w:left="240" w:top="582" w:right="33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color w:val="auto"/>
        </w:rPr>
        <w:t>IN WITNESS WHEREOF, this Agreement has been executed by the Company and the Participant as of the day first written above.</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Name: Douglas A. Cifu</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/s/ Stephen Cavoli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Stephen Cavoli</w:t>
      </w: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20"/>
          </w:cols>
          <w:pgMar w:left="1100" w:top="582" w:right="67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2015 MANAGEMENT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46" w:lineRule="exact"/>
        <w:rPr>
          <w:sz w:val="20"/>
          <w:szCs w:val="20"/>
          <w:color w:val="auto"/>
        </w:rPr>
      </w:pPr>
    </w:p>
    <w:p>
      <w:pPr>
        <w:ind w:right="220" w:firstLine="630"/>
        <w:spacing w:after="0" w:line="274" w:lineRule="auto"/>
        <w:rPr>
          <w:sz w:val="20"/>
          <w:szCs w:val="20"/>
          <w:color w:val="auto"/>
        </w:rPr>
      </w:pPr>
      <w:r>
        <w:rPr>
          <w:rFonts w:ascii="Arial" w:cs="Arial" w:eastAsia="Arial" w:hAnsi="Arial"/>
          <w:sz w:val="19"/>
          <w:szCs w:val="19"/>
          <w:color w:val="auto"/>
        </w:rPr>
        <w:t>THIS RESTRICTED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February 27, 2019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Douglas A. Cifu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05" w:lineRule="exact"/>
        <w:rPr>
          <w:sz w:val="20"/>
          <w:szCs w:val="20"/>
          <w:color w:val="auto"/>
        </w:rPr>
      </w:pPr>
    </w:p>
    <w:p>
      <w:pPr>
        <w:ind w:right="340" w:firstLine="630"/>
        <w:spacing w:after="0" w:line="259" w:lineRule="auto"/>
        <w:rPr>
          <w:sz w:val="20"/>
          <w:szCs w:val="20"/>
          <w:color w:val="auto"/>
        </w:rPr>
      </w:pPr>
      <w:r>
        <w:rPr>
          <w:rFonts w:ascii="Arial" w:cs="Arial" w:eastAsia="Arial" w:hAnsi="Arial"/>
          <w:sz w:val="19"/>
          <w:szCs w:val="19"/>
          <w:color w:val="auto"/>
        </w:rPr>
        <w:t>WHEREAS, the Company and the Participant entered into that certain Amended and Restated Employment Agreement, dated as of November 15, 2017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which the Participant is eligible to receive an equity award at the beginning of each calendar year during the Term (as defined in the Employment Agreement); and</w:t>
      </w:r>
    </w:p>
    <w:p>
      <w:pPr>
        <w:spacing w:after="0" w:line="119"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46" w:lineRule="exact"/>
        <w:rPr>
          <w:rFonts w:ascii="Arial" w:cs="Arial" w:eastAsia="Arial" w:hAnsi="Arial"/>
          <w:sz w:val="19"/>
          <w:szCs w:val="19"/>
          <w:b w:val="1"/>
          <w:bCs w:val="1"/>
          <w:color w:val="auto"/>
        </w:rPr>
      </w:pPr>
    </w:p>
    <w:p>
      <w:pPr>
        <w:ind w:right="80" w:firstLine="635"/>
        <w:spacing w:after="0" w:line="307" w:lineRule="auto"/>
        <w:tabs>
          <w:tab w:leader="none" w:pos="1038" w:val="left"/>
        </w:tabs>
        <w:numPr>
          <w:ilvl w:val="1"/>
          <w:numId w:val="195"/>
        </w:numPr>
        <w:rPr>
          <w:rFonts w:ascii="Arial" w:cs="Arial" w:eastAsia="Arial" w:hAnsi="Arial"/>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62" w:lineRule="exact"/>
        <w:rPr>
          <w:rFonts w:ascii="Arial" w:cs="Arial" w:eastAsia="Arial" w:hAnsi="Arial"/>
          <w:sz w:val="20"/>
          <w:szCs w:val="20"/>
          <w:color w:val="auto"/>
        </w:rPr>
      </w:pPr>
    </w:p>
    <w:p>
      <w:pPr>
        <w:ind w:firstLine="635"/>
        <w:spacing w:after="0" w:line="291" w:lineRule="auto"/>
        <w:tabs>
          <w:tab w:leader="none" w:pos="1050" w:val="left"/>
        </w:tabs>
        <w:numPr>
          <w:ilvl w:val="1"/>
          <w:numId w:val="195"/>
        </w:numPr>
        <w:rPr>
          <w:rFonts w:ascii="Arial" w:cs="Arial" w:eastAsia="Arial" w:hAnsi="Arial"/>
          <w:sz w:val="20"/>
          <w:szCs w:val="20"/>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4" w:lineRule="exact"/>
        <w:rPr>
          <w:rFonts w:ascii="Arial" w:cs="Arial" w:eastAsia="Arial" w:hAnsi="Arial"/>
          <w:sz w:val="20"/>
          <w:szCs w:val="20"/>
          <w:color w:val="auto"/>
        </w:rPr>
      </w:pPr>
    </w:p>
    <w:p>
      <w:pPr>
        <w:ind w:left="780" w:hanging="775"/>
        <w:spacing w:after="0"/>
        <w:tabs>
          <w:tab w:leader="none" w:pos="780"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59" w:lineRule="exact"/>
        <w:rPr>
          <w:rFonts w:ascii="Arial" w:cs="Arial" w:eastAsia="Arial" w:hAnsi="Arial"/>
          <w:sz w:val="19"/>
          <w:szCs w:val="19"/>
          <w:b w:val="1"/>
          <w:bCs w:val="1"/>
          <w:color w:val="auto"/>
        </w:rPr>
      </w:pPr>
    </w:p>
    <w:p>
      <w:pPr>
        <w:ind w:firstLine="635"/>
        <w:spacing w:after="0" w:line="274" w:lineRule="auto"/>
        <w:tabs>
          <w:tab w:leader="none" w:pos="1038" w:val="left"/>
        </w:tabs>
        <w:numPr>
          <w:ilvl w:val="1"/>
          <w:numId w:val="195"/>
        </w:numPr>
        <w:rPr>
          <w:rFonts w:ascii="Arial" w:cs="Arial" w:eastAsia="Arial" w:hAnsi="Arial"/>
          <w:sz w:val="21"/>
          <w:szCs w:val="21"/>
          <w:color w:val="auto"/>
        </w:rPr>
      </w:pPr>
      <w:r>
        <w:rPr>
          <w:rFonts w:ascii="Arial" w:cs="Arial" w:eastAsia="Arial" w:hAnsi="Arial"/>
          <w:sz w:val="19"/>
          <w:szCs w:val="19"/>
          <w:color w:val="auto"/>
        </w:rPr>
        <w:t>Subject to the Participant’s continued employment or service with the Company or an Affiliate, except as may otherwise be provided herein or in the Employment Agreement, the number of Restricted Shares earned pursuant to Section 2(b) hereof shall vest in two (2) equal installments on each of December 31, 2019 and December 31, 2020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Restricted Shares that vest on such date shall no longer be subject to the transfer restrictions pursuant to Section 8(a) hereof or cancellation pursuant to Section 4 hereof. Any fractional</w:t>
      </w:r>
    </w:p>
    <w:p>
      <w:pPr>
        <w:sectPr>
          <w:pgSz w:w="11900" w:h="16838" w:orient="portrait"/>
          <w:cols w:equalWidth="0" w:num="1">
            <w:col w:w="11420"/>
          </w:cols>
          <w:pgMar w:left="240" w:top="603" w:right="239" w:bottom="1440" w:gutter="0" w:footer="0" w:header="0"/>
        </w:sectPr>
      </w:pPr>
    </w:p>
    <w:bookmarkStart w:id="196" w:name="page197"/>
    <w:bookmarkEnd w:id="196"/>
    <w:p>
      <w:pPr>
        <w:ind w:right="820"/>
        <w:spacing w:after="0" w:line="274" w:lineRule="auto"/>
        <w:rPr>
          <w:sz w:val="20"/>
          <w:szCs w:val="20"/>
          <w:color w:val="auto"/>
        </w:rPr>
      </w:pPr>
      <w:r>
        <w:rPr>
          <w:rFonts w:ascii="Arial" w:cs="Arial" w:eastAsia="Arial" w:hAnsi="Arial"/>
          <w:sz w:val="19"/>
          <w:szCs w:val="19"/>
          <w:color w:val="auto"/>
        </w:rPr>
        <w:t>Restricted Shares resulting from the application of the vesting schedule shall be aggregated and the Restricted Shares resulting from such aggregation shall vest on the final Vesting Date.</w:t>
      </w:r>
    </w:p>
    <w:p>
      <w:pPr>
        <w:spacing w:after="0" w:line="184" w:lineRule="exact"/>
        <w:rPr>
          <w:sz w:val="20"/>
          <w:szCs w:val="20"/>
          <w:color w:val="auto"/>
        </w:rPr>
      </w:pPr>
    </w:p>
    <w:p>
      <w:pPr>
        <w:ind w:right="140" w:firstLine="635"/>
        <w:spacing w:after="0" w:line="274" w:lineRule="auto"/>
        <w:tabs>
          <w:tab w:leader="none" w:pos="1050" w:val="left"/>
        </w:tabs>
        <w:numPr>
          <w:ilvl w:val="0"/>
          <w:numId w:val="196"/>
        </w:numPr>
        <w:rPr>
          <w:rFonts w:ascii="Arial" w:cs="Arial" w:eastAsia="Arial" w:hAnsi="Arial"/>
          <w:sz w:val="21"/>
          <w:szCs w:val="21"/>
          <w:color w:val="auto"/>
        </w:rPr>
      </w:pPr>
      <w:r>
        <w:rPr>
          <w:rFonts w:ascii="Arial" w:cs="Arial" w:eastAsia="Arial" w:hAnsi="Arial"/>
          <w:sz w:val="19"/>
          <w:szCs w:val="19"/>
          <w:color w:val="auto"/>
        </w:rPr>
        <w:t>The number of Restricted Shares earned under this Agreement shall be determined based on the percentage of the Company’s Adjusted EBITDA target as set forth in the Company’s approved budget of $607,000,000 plus a prorated amount of the full year EBITA target for the legacy business of Investment Technology Group, Inc. (“</w:t>
      </w:r>
      <w:r>
        <w:rPr>
          <w:rFonts w:ascii="Arial" w:cs="Arial" w:eastAsia="Arial" w:hAnsi="Arial"/>
          <w:sz w:val="19"/>
          <w:szCs w:val="19"/>
          <w:u w:val="single" w:color="auto"/>
          <w:color w:val="auto"/>
        </w:rPr>
        <w:t>Budgeted EBITDA</w:t>
      </w:r>
      <w:r>
        <w:rPr>
          <w:rFonts w:ascii="Arial" w:cs="Arial" w:eastAsia="Arial" w:hAnsi="Arial"/>
          <w:sz w:val="19"/>
          <w:szCs w:val="19"/>
          <w:color w:val="auto"/>
        </w:rPr>
        <w:t>”) achieved in calendar year 2019 in accordance with the table below. The Budgeted EBITDA shall be determined in a manner consistent with the methodology utilized by the Company in the ordinary course consistent with past practice.</w:t>
      </w:r>
    </w:p>
    <w:p>
      <w:pPr>
        <w:spacing w:after="0" w:line="298" w:lineRule="exact"/>
        <w:rPr>
          <w:sz w:val="20"/>
          <w:szCs w:val="20"/>
          <w:color w:val="auto"/>
        </w:rPr>
      </w:pPr>
    </w:p>
    <w:tbl>
      <w:tblPr>
        <w:tblLayout w:type="fixed"/>
        <w:tblInd w:w="1830" w:type="dxa"/>
        <w:tblCellMar>
          <w:top w:w="0" w:type="dxa"/>
          <w:left w:w="0" w:type="dxa"/>
          <w:bottom w:w="0" w:type="dxa"/>
          <w:right w:w="0" w:type="dxa"/>
        </w:tblCellMar>
      </w:tblPr>
      <w:tr>
        <w:trPr>
          <w:trHeight w:val="240"/>
        </w:trPr>
        <w:tc>
          <w:tcPr>
            <w:tcW w:w="32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3"/>
              </w:rPr>
              <w:t>Percentage of Budgeted EBITDA</w:t>
            </w:r>
          </w:p>
        </w:tc>
        <w:tc>
          <w:tcPr>
            <w:tcW w:w="2900" w:type="dxa"/>
            <w:vAlign w:val="bottom"/>
            <w:tcBorders>
              <w:top w:val="single" w:sz="8" w:color="00000A"/>
              <w:right w:val="single" w:sz="8" w:color="00000A"/>
            </w:tcBorders>
          </w:tcPr>
          <w:p>
            <w:pPr>
              <w:ind w:left="360"/>
              <w:spacing w:after="0"/>
              <w:rPr>
                <w:sz w:val="20"/>
                <w:szCs w:val="20"/>
                <w:color w:val="auto"/>
              </w:rPr>
            </w:pPr>
            <w:r>
              <w:rPr>
                <w:rFonts w:ascii="Arial" w:cs="Arial" w:eastAsia="Arial" w:hAnsi="Arial"/>
                <w:sz w:val="19"/>
                <w:szCs w:val="19"/>
                <w:b w:val="1"/>
                <w:bCs w:val="1"/>
                <w:color w:val="auto"/>
              </w:rPr>
              <w:t>Number of Shares Earned</w:t>
            </w:r>
          </w:p>
        </w:tc>
      </w:tr>
      <w:tr>
        <w:trPr>
          <w:trHeight w:val="251"/>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89"/>
              </w:rPr>
              <w:t>Achieved</w:t>
            </w:r>
          </w:p>
        </w:tc>
        <w:tc>
          <w:tcPr>
            <w:tcW w:w="2900" w:type="dxa"/>
            <w:vAlign w:val="bottom"/>
            <w:tcBorders>
              <w:right w:val="single" w:sz="8" w:color="00000A"/>
            </w:tcBorders>
          </w:tcPr>
          <w:p>
            <w:pPr>
              <w:spacing w:after="0"/>
              <w:rPr>
                <w:sz w:val="21"/>
                <w:szCs w:val="21"/>
                <w:color w:val="auto"/>
              </w:rPr>
            </w:pPr>
          </w:p>
        </w:tc>
      </w:tr>
      <w:tr>
        <w:trPr>
          <w:trHeight w:val="414"/>
        </w:trPr>
        <w:tc>
          <w:tcPr>
            <w:tcW w:w="3200" w:type="dxa"/>
            <w:vAlign w:val="bottom"/>
            <w:tcBorders>
              <w:left w:val="single" w:sz="8" w:color="00000A"/>
              <w:bottom w:val="single" w:sz="8" w:color="00000A"/>
              <w:right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3"/>
              </w:rPr>
              <w:t>75% or more</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150,000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74%</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135,000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73%</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120,000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72%</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105,000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71%</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90,000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75,000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0"/>
              </w:rPr>
              <w:t>Less than 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4"/>
              </w:rPr>
              <w:t>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bl>
    <w:p>
      <w:pPr>
        <w:spacing w:after="0" w:line="200" w:lineRule="exact"/>
        <w:rPr>
          <w:sz w:val="20"/>
          <w:szCs w:val="20"/>
          <w:color w:val="auto"/>
        </w:rPr>
      </w:pPr>
    </w:p>
    <w:p>
      <w:pPr>
        <w:spacing w:after="0" w:line="216" w:lineRule="exact"/>
        <w:rPr>
          <w:sz w:val="20"/>
          <w:szCs w:val="20"/>
          <w:color w:val="auto"/>
        </w:rPr>
      </w:pPr>
    </w:p>
    <w:p>
      <w:pPr>
        <w:ind w:right="80" w:firstLine="1260"/>
        <w:spacing w:after="0" w:line="274"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64" w:lineRule="exact"/>
        <w:rPr>
          <w:sz w:val="20"/>
          <w:szCs w:val="20"/>
          <w:color w:val="auto"/>
        </w:rPr>
      </w:pPr>
    </w:p>
    <w:p>
      <w:pPr>
        <w:ind w:right="100" w:firstLine="5"/>
        <w:spacing w:after="0" w:line="285" w:lineRule="auto"/>
        <w:tabs>
          <w:tab w:leader="none" w:pos="774"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69" w:lineRule="exact"/>
        <w:rPr>
          <w:rFonts w:ascii="Arial" w:cs="Arial" w:eastAsia="Arial" w:hAnsi="Arial"/>
          <w:sz w:val="19"/>
          <w:szCs w:val="19"/>
          <w:b w:val="1"/>
          <w:bCs w:val="1"/>
          <w:color w:val="auto"/>
        </w:rPr>
      </w:pPr>
    </w:p>
    <w:p>
      <w:pPr>
        <w:ind w:right="140" w:firstLine="5"/>
        <w:spacing w:after="0" w:line="292" w:lineRule="auto"/>
        <w:tabs>
          <w:tab w:leader="none" w:pos="774"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any unearned and unvested Restricted Shares shall be accelerated, remain eligible to be earned or cancelled in accordance with the terms of the Employment Agreement.</w:t>
      </w:r>
    </w:p>
    <w:p>
      <w:pPr>
        <w:spacing w:after="0" w:line="160" w:lineRule="exact"/>
        <w:rPr>
          <w:rFonts w:ascii="Arial" w:cs="Arial" w:eastAsia="Arial" w:hAnsi="Arial"/>
          <w:sz w:val="19"/>
          <w:szCs w:val="19"/>
          <w:b w:val="1"/>
          <w:bCs w:val="1"/>
          <w:color w:val="auto"/>
        </w:rPr>
      </w:pPr>
    </w:p>
    <w:p>
      <w:pPr>
        <w:ind w:firstLine="5"/>
        <w:spacing w:after="0" w:line="282" w:lineRule="auto"/>
        <w:tabs>
          <w:tab w:leader="none" w:pos="774"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Issuance</w:t>
      </w:r>
      <w:r>
        <w:rPr>
          <w:rFonts w:ascii="Arial" w:cs="Arial" w:eastAsia="Arial" w:hAnsi="Arial"/>
          <w:sz w:val="19"/>
          <w:szCs w:val="19"/>
          <w:color w:val="auto"/>
        </w:rPr>
        <w:t>. The Restricted Shares shall be issued by the Company and shall be registered in the Participant’s name on the stock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380"/>
          </w:cols>
          <w:pgMar w:left="240" w:top="608" w:right="279" w:bottom="1440" w:gutter="0" w:footer="0" w:header="0"/>
        </w:sectPr>
      </w:pPr>
    </w:p>
    <w:bookmarkStart w:id="197" w:name="page198"/>
    <w:bookmarkEnd w:id="197"/>
    <w:p>
      <w:pPr>
        <w:spacing w:after="0" w:line="288" w:lineRule="auto"/>
        <w:rPr>
          <w:sz w:val="20"/>
          <w:szCs w:val="20"/>
          <w:color w:val="auto"/>
        </w:rPr>
      </w:pPr>
      <w:r>
        <w:rPr>
          <w:rFonts w:ascii="Arial" w:cs="Arial" w:eastAsia="Arial" w:hAnsi="Arial"/>
          <w:sz w:val="19"/>
          <w:szCs w:val="19"/>
          <w:color w:val="auto"/>
        </w:rPr>
        <w:t>quoted, and any applicable federal, state or local laws. To the extent allowable by applicable law, neither the Committee, the Company, nor their respective designees, as applicable, shall be liable for any act it or they may do or omit to do with respect to holding the Restricted Shares in escrow and while acting in good faith in the exercise of its or their judgment.</w:t>
      </w:r>
    </w:p>
    <w:p>
      <w:pPr>
        <w:spacing w:after="0" w:line="166" w:lineRule="exact"/>
        <w:rPr>
          <w:sz w:val="20"/>
          <w:szCs w:val="20"/>
          <w:color w:val="auto"/>
        </w:rPr>
      </w:pPr>
    </w:p>
    <w:p>
      <w:pPr>
        <w:ind w:right="320" w:firstLine="5"/>
        <w:spacing w:after="0" w:line="310" w:lineRule="auto"/>
        <w:tabs>
          <w:tab w:leader="none" w:pos="774"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voting rights, in respect of the Restricted Shares.</w:t>
      </w:r>
    </w:p>
    <w:p>
      <w:pPr>
        <w:spacing w:after="0" w:line="144" w:lineRule="exact"/>
        <w:rPr>
          <w:rFonts w:ascii="Arial" w:cs="Arial" w:eastAsia="Arial" w:hAnsi="Arial"/>
          <w:sz w:val="19"/>
          <w:szCs w:val="19"/>
          <w:b w:val="1"/>
          <w:bCs w:val="1"/>
          <w:color w:val="auto"/>
        </w:rPr>
      </w:pPr>
    </w:p>
    <w:p>
      <w:pPr>
        <w:ind w:left="780" w:hanging="775"/>
        <w:spacing w:after="0"/>
        <w:tabs>
          <w:tab w:leader="none" w:pos="780"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59" w:lineRule="exact"/>
        <w:rPr>
          <w:rFonts w:ascii="Arial" w:cs="Arial" w:eastAsia="Arial" w:hAnsi="Arial"/>
          <w:sz w:val="19"/>
          <w:szCs w:val="19"/>
          <w:b w:val="1"/>
          <w:bCs w:val="1"/>
          <w:color w:val="auto"/>
        </w:rPr>
      </w:pPr>
    </w:p>
    <w:p>
      <w:pPr>
        <w:ind w:right="180" w:firstLine="635"/>
        <w:spacing w:after="0" w:line="274" w:lineRule="auto"/>
        <w:tabs>
          <w:tab w:leader="none" w:pos="1038" w:val="left"/>
        </w:tabs>
        <w:numPr>
          <w:ilvl w:val="1"/>
          <w:numId w:val="198"/>
        </w:numPr>
        <w:rPr>
          <w:rFonts w:ascii="Arial" w:cs="Arial" w:eastAsia="Arial" w:hAnsi="Arial"/>
          <w:sz w:val="21"/>
          <w:szCs w:val="21"/>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1"/>
          <w:numId w:val="198"/>
        </w:numPr>
        <w:rPr>
          <w:rFonts w:ascii="Arial" w:cs="Arial" w:eastAsia="Arial" w:hAnsi="Arial"/>
          <w:sz w:val="21"/>
          <w:szCs w:val="21"/>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63" w:lineRule="exact"/>
        <w:rPr>
          <w:rFonts w:ascii="Arial" w:cs="Arial" w:eastAsia="Arial" w:hAnsi="Arial"/>
          <w:sz w:val="21"/>
          <w:szCs w:val="21"/>
          <w:color w:val="auto"/>
        </w:rPr>
      </w:pPr>
    </w:p>
    <w:p>
      <w:pPr>
        <w:ind w:left="640" w:hanging="635"/>
        <w:spacing w:after="0"/>
        <w:tabs>
          <w:tab w:leader="none" w:pos="640"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46" w:lineRule="exact"/>
        <w:rPr>
          <w:rFonts w:ascii="Arial" w:cs="Arial" w:eastAsia="Arial" w:hAnsi="Arial"/>
          <w:sz w:val="19"/>
          <w:szCs w:val="19"/>
          <w:b w:val="1"/>
          <w:bCs w:val="1"/>
          <w:color w:val="auto"/>
        </w:rPr>
      </w:pPr>
    </w:p>
    <w:p>
      <w:pPr>
        <w:jc w:val="both"/>
        <w:ind w:firstLine="635"/>
        <w:spacing w:after="0" w:line="274" w:lineRule="auto"/>
        <w:tabs>
          <w:tab w:leader="none" w:pos="1038" w:val="left"/>
        </w:tabs>
        <w:numPr>
          <w:ilvl w:val="1"/>
          <w:numId w:val="198"/>
        </w:numPr>
        <w:rPr>
          <w:rFonts w:ascii="Arial" w:cs="Arial" w:eastAsia="Arial" w:hAnsi="Arial"/>
          <w:sz w:val="21"/>
          <w:szCs w:val="21"/>
          <w:color w:val="auto"/>
        </w:rPr>
      </w:pPr>
      <w:r>
        <w:rPr>
          <w:rFonts w:ascii="Arial" w:cs="Arial" w:eastAsia="Arial" w:hAnsi="Arial"/>
          <w:sz w:val="19"/>
          <w:szCs w:val="19"/>
          <w:color w:val="auto"/>
        </w:rPr>
        <w:t>The Participant acknowledges and agrees that the Participant remains bound by the confidentiality and restrictive covenant provisions set forth in Sections 9.04 and 12.11 of the Third Amended and Restated Limited Liability Company Agreement of Virtu Financial, LLC, dated as of the Date of Grant (or any successor provisions) as a “Member” thereof.</w:t>
      </w:r>
    </w:p>
    <w:p>
      <w:pPr>
        <w:spacing w:after="0" w:line="196" w:lineRule="exact"/>
        <w:rPr>
          <w:rFonts w:ascii="Arial" w:cs="Arial" w:eastAsia="Arial" w:hAnsi="Arial"/>
          <w:sz w:val="21"/>
          <w:szCs w:val="21"/>
          <w:color w:val="auto"/>
        </w:rPr>
      </w:pPr>
    </w:p>
    <w:p>
      <w:pPr>
        <w:ind w:firstLine="635"/>
        <w:spacing w:after="0" w:line="292" w:lineRule="auto"/>
        <w:tabs>
          <w:tab w:leader="none" w:pos="105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In the event that the Participant violates any of the restrictive covenants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0" w:lineRule="exact"/>
        <w:rPr>
          <w:rFonts w:ascii="Arial" w:cs="Arial" w:eastAsia="Arial" w:hAnsi="Arial"/>
          <w:sz w:val="20"/>
          <w:szCs w:val="20"/>
          <w:color w:val="auto"/>
        </w:rPr>
      </w:pPr>
    </w:p>
    <w:p>
      <w:pPr>
        <w:ind w:left="640" w:hanging="635"/>
        <w:spacing w:after="0"/>
        <w:tabs>
          <w:tab w:leader="none" w:pos="640" w:val="left"/>
        </w:tabs>
        <w:numPr>
          <w:ilvl w:val="0"/>
          <w:numId w:val="198"/>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622" w:right="259" w:bottom="1440" w:gutter="0" w:footer="0" w:header="0"/>
        </w:sectPr>
      </w:pPr>
    </w:p>
    <w:bookmarkStart w:id="198" w:name="page199"/>
    <w:bookmarkEnd w:id="198"/>
    <w:p>
      <w:pPr>
        <w:jc w:val="both"/>
        <w:ind w:left="-40" w:firstLine="635"/>
        <w:spacing w:after="0" w:line="314" w:lineRule="auto"/>
        <w:tabs>
          <w:tab w:leader="none" w:pos="998" w:val="left"/>
        </w:tabs>
        <w:numPr>
          <w:ilvl w:val="0"/>
          <w:numId w:val="199"/>
        </w:numPr>
        <w:rPr>
          <w:rFonts w:ascii="Arial" w:cs="Arial" w:eastAsia="Arial" w:hAnsi="Arial"/>
          <w:sz w:val="19"/>
          <w:szCs w:val="19"/>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Restricted Shares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67" w:lineRule="exact"/>
        <w:rPr>
          <w:rFonts w:ascii="Arial" w:cs="Arial" w:eastAsia="Arial" w:hAnsi="Arial"/>
          <w:sz w:val="19"/>
          <w:szCs w:val="19"/>
          <w:color w:val="auto"/>
        </w:rPr>
      </w:pPr>
    </w:p>
    <w:p>
      <w:pPr>
        <w:jc w:val="both"/>
        <w:ind w:left="-40" w:right="40" w:firstLine="635"/>
        <w:spacing w:after="0" w:line="274" w:lineRule="auto"/>
        <w:tabs>
          <w:tab w:leader="none" w:pos="1010" w:val="left"/>
        </w:tabs>
        <w:numPr>
          <w:ilvl w:val="0"/>
          <w:numId w:val="199"/>
        </w:numPr>
        <w:rPr>
          <w:rFonts w:ascii="Arial" w:cs="Arial" w:eastAsia="Arial" w:hAnsi="Arial"/>
          <w:sz w:val="21"/>
          <w:szCs w:val="21"/>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6" w:lineRule="exact"/>
        <w:rPr>
          <w:rFonts w:ascii="Arial" w:cs="Arial" w:eastAsia="Arial" w:hAnsi="Arial"/>
          <w:sz w:val="21"/>
          <w:szCs w:val="21"/>
          <w:color w:val="auto"/>
        </w:rPr>
      </w:pPr>
    </w:p>
    <w:p>
      <w:pPr>
        <w:ind w:left="-40" w:right="20" w:firstLine="635"/>
        <w:spacing w:after="0" w:line="309" w:lineRule="auto"/>
        <w:tabs>
          <w:tab w:leader="none" w:pos="998" w:val="left"/>
        </w:tabs>
        <w:numPr>
          <w:ilvl w:val="0"/>
          <w:numId w:val="199"/>
        </w:numPr>
        <w:rPr>
          <w:rFonts w:ascii="Arial" w:cs="Arial" w:eastAsia="Arial" w:hAnsi="Arial"/>
          <w:sz w:val="19"/>
          <w:szCs w:val="19"/>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74" w:lineRule="exact"/>
        <w:rPr>
          <w:rFonts w:ascii="Arial" w:cs="Arial" w:eastAsia="Arial" w:hAnsi="Arial"/>
          <w:sz w:val="19"/>
          <w:szCs w:val="19"/>
          <w:color w:val="auto"/>
        </w:rPr>
      </w:pPr>
    </w:p>
    <w:p>
      <w:pPr>
        <w:ind w:left="-40" w:right="100" w:firstLine="635"/>
        <w:spacing w:after="0" w:line="274" w:lineRule="auto"/>
        <w:tabs>
          <w:tab w:leader="none" w:pos="1010" w:val="left"/>
        </w:tabs>
        <w:numPr>
          <w:ilvl w:val="0"/>
          <w:numId w:val="199"/>
        </w:numPr>
        <w:rPr>
          <w:rFonts w:ascii="Arial" w:cs="Arial" w:eastAsia="Arial" w:hAnsi="Arial"/>
          <w:sz w:val="21"/>
          <w:szCs w:val="21"/>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6" w:lineRule="exact"/>
        <w:rPr>
          <w:rFonts w:ascii="Arial" w:cs="Arial" w:eastAsia="Arial" w:hAnsi="Arial"/>
          <w:sz w:val="21"/>
          <w:szCs w:val="21"/>
          <w:color w:val="auto"/>
        </w:rPr>
      </w:pPr>
    </w:p>
    <w:p>
      <w:pPr>
        <w:ind w:left="-40" w:right="20" w:firstLine="635"/>
        <w:spacing w:after="0" w:line="339" w:lineRule="auto"/>
        <w:tabs>
          <w:tab w:leader="none" w:pos="998" w:val="left"/>
        </w:tabs>
        <w:numPr>
          <w:ilvl w:val="0"/>
          <w:numId w:val="199"/>
        </w:numPr>
        <w:rPr>
          <w:rFonts w:ascii="Arial" w:cs="Arial" w:eastAsia="Arial" w:hAnsi="Arial"/>
          <w:sz w:val="19"/>
          <w:szCs w:val="19"/>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7" w:lineRule="exact"/>
        <w:rPr>
          <w:rFonts w:ascii="Arial" w:cs="Arial" w:eastAsia="Arial" w:hAnsi="Arial"/>
          <w:sz w:val="19"/>
          <w:szCs w:val="19"/>
          <w:color w:val="auto"/>
        </w:rPr>
      </w:pPr>
    </w:p>
    <w:p>
      <w:pPr>
        <w:ind w:left="-40" w:right="60" w:firstLine="635"/>
        <w:spacing w:after="0" w:line="274" w:lineRule="auto"/>
        <w:tabs>
          <w:tab w:leader="none" w:pos="975" w:val="left"/>
        </w:tabs>
        <w:numPr>
          <w:ilvl w:val="0"/>
          <w:numId w:val="199"/>
        </w:numPr>
        <w:rPr>
          <w:rFonts w:ascii="Arial" w:cs="Arial" w:eastAsia="Arial" w:hAnsi="Arial"/>
          <w:sz w:val="21"/>
          <w:szCs w:val="21"/>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21"/>
          <w:szCs w:val="21"/>
          <w:color w:val="auto"/>
        </w:rPr>
      </w:pPr>
    </w:p>
    <w:p>
      <w:pPr>
        <w:ind w:left="-40" w:firstLine="635"/>
        <w:spacing w:after="0" w:line="274" w:lineRule="auto"/>
        <w:tabs>
          <w:tab w:leader="none" w:pos="1010" w:val="left"/>
        </w:tabs>
        <w:numPr>
          <w:ilvl w:val="0"/>
          <w:numId w:val="199"/>
        </w:numPr>
        <w:rPr>
          <w:rFonts w:ascii="Arial" w:cs="Arial" w:eastAsia="Arial" w:hAnsi="Arial"/>
          <w:sz w:val="21"/>
          <w:szCs w:val="21"/>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360"/>
          </w:cols>
          <w:pgMar w:left="280" w:top="635" w:right="259" w:bottom="1440" w:gutter="0" w:footer="0" w:header="0"/>
        </w:sectPr>
      </w:pPr>
    </w:p>
    <w:bookmarkStart w:id="199" w:name="page200"/>
    <w:bookmarkEnd w:id="199"/>
    <w:p>
      <w:pPr>
        <w:ind w:right="40" w:firstLine="635"/>
        <w:spacing w:after="0" w:line="278" w:lineRule="auto"/>
        <w:tabs>
          <w:tab w:leader="none" w:pos="1050"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89" w:lineRule="exact"/>
        <w:rPr>
          <w:rFonts w:ascii="Arial" w:cs="Arial" w:eastAsia="Arial" w:hAnsi="Arial"/>
          <w:sz w:val="21"/>
          <w:szCs w:val="21"/>
          <w:color w:val="auto"/>
        </w:rPr>
      </w:pPr>
    </w:p>
    <w:p>
      <w:pPr>
        <w:ind w:right="40" w:firstLine="635"/>
        <w:spacing w:after="0" w:line="278" w:lineRule="auto"/>
        <w:tabs>
          <w:tab w:leader="none" w:pos="1003"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9" w:lineRule="exact"/>
        <w:rPr>
          <w:rFonts w:ascii="Arial" w:cs="Arial" w:eastAsia="Arial" w:hAnsi="Arial"/>
          <w:sz w:val="21"/>
          <w:szCs w:val="21"/>
          <w:color w:val="auto"/>
        </w:rPr>
      </w:pPr>
    </w:p>
    <w:p>
      <w:pPr>
        <w:ind w:right="180" w:firstLine="635"/>
        <w:spacing w:after="0" w:line="274" w:lineRule="auto"/>
        <w:tabs>
          <w:tab w:leader="none" w:pos="1003"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96" w:lineRule="exact"/>
        <w:rPr>
          <w:rFonts w:ascii="Arial" w:cs="Arial" w:eastAsia="Arial" w:hAnsi="Arial"/>
          <w:sz w:val="21"/>
          <w:szCs w:val="21"/>
          <w:color w:val="auto"/>
        </w:rPr>
      </w:pPr>
    </w:p>
    <w:p>
      <w:pPr>
        <w:ind w:left="640" w:right="20" w:firstLine="625"/>
        <w:spacing w:after="0" w:line="290" w:lineRule="auto"/>
        <w:tabs>
          <w:tab w:leader="none" w:pos="1643" w:val="left"/>
        </w:tabs>
        <w:numPr>
          <w:ilvl w:val="1"/>
          <w:numId w:val="200"/>
        </w:numPr>
        <w:rPr>
          <w:rFonts w:ascii="Arial" w:cs="Arial" w:eastAsia="Arial" w:hAnsi="Arial"/>
          <w:sz w:val="20"/>
          <w:szCs w:val="20"/>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8" w:lineRule="exact"/>
        <w:rPr>
          <w:rFonts w:ascii="Arial" w:cs="Arial" w:eastAsia="Arial" w:hAnsi="Arial"/>
          <w:sz w:val="20"/>
          <w:szCs w:val="20"/>
          <w:color w:val="auto"/>
        </w:rPr>
      </w:pPr>
    </w:p>
    <w:p>
      <w:pPr>
        <w:ind w:left="640" w:right="40" w:firstLine="625"/>
        <w:spacing w:after="0" w:line="274" w:lineRule="auto"/>
        <w:tabs>
          <w:tab w:leader="none" w:pos="1701" w:val="left"/>
        </w:tabs>
        <w:numPr>
          <w:ilvl w:val="1"/>
          <w:numId w:val="200"/>
        </w:numPr>
        <w:rPr>
          <w:rFonts w:ascii="Arial" w:cs="Arial" w:eastAsia="Arial" w:hAnsi="Arial"/>
          <w:sz w:val="21"/>
          <w:szCs w:val="21"/>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21"/>
          <w:szCs w:val="21"/>
          <w:color w:val="auto"/>
        </w:rPr>
      </w:pPr>
    </w:p>
    <w:p>
      <w:pPr>
        <w:ind w:right="360" w:firstLine="635"/>
        <w:spacing w:after="0" w:line="274" w:lineRule="auto"/>
        <w:tabs>
          <w:tab w:leader="none" w:pos="1003"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96" w:lineRule="exact"/>
        <w:rPr>
          <w:rFonts w:ascii="Arial" w:cs="Arial" w:eastAsia="Arial" w:hAnsi="Arial"/>
          <w:sz w:val="21"/>
          <w:szCs w:val="21"/>
          <w:color w:val="auto"/>
        </w:rPr>
      </w:pPr>
    </w:p>
    <w:p>
      <w:pPr>
        <w:ind w:firstLine="635"/>
        <w:spacing w:after="0" w:line="278" w:lineRule="auto"/>
        <w:tabs>
          <w:tab w:leader="none" w:pos="1108" w:val="left"/>
        </w:tabs>
        <w:numPr>
          <w:ilvl w:val="0"/>
          <w:numId w:val="200"/>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20"/>
          </w:cols>
          <w:pgMar w:left="240" w:top="635" w:right="239" w:bottom="1440" w:gutter="0" w:footer="0" w:header="0"/>
        </w:sectPr>
      </w:pPr>
    </w:p>
    <w:bookmarkStart w:id="200" w:name="page201"/>
    <w:bookmarkEnd w:id="200"/>
    <w:p>
      <w:pPr>
        <w:spacing w:after="0" w:line="274" w:lineRule="auto"/>
        <w:rPr>
          <w:sz w:val="20"/>
          <w:szCs w:val="20"/>
          <w:color w:val="auto"/>
        </w:rPr>
      </w:pPr>
      <w:r>
        <w:rPr>
          <w:rFonts w:ascii="Arial" w:cs="Arial" w:eastAsia="Arial" w:hAnsi="Arial"/>
          <w:sz w:val="19"/>
          <w:szCs w:val="19"/>
          <w:color w:val="auto"/>
        </w:rPr>
        <w:t>which together shall constitute one and the same instrument and shall become effective when one or more counterparts have been signed by each of the parties and delivered to the other parties.</w:t>
      </w:r>
    </w:p>
    <w:p>
      <w:pPr>
        <w:spacing w:after="0" w:line="184" w:lineRule="exact"/>
        <w:rPr>
          <w:sz w:val="20"/>
          <w:szCs w:val="20"/>
          <w:color w:val="auto"/>
        </w:rPr>
      </w:pPr>
    </w:p>
    <w:p>
      <w:pPr>
        <w:ind w:right="20" w:firstLine="635"/>
        <w:spacing w:after="0" w:line="274" w:lineRule="auto"/>
        <w:tabs>
          <w:tab w:leader="none" w:pos="1050" w:val="left"/>
        </w:tabs>
        <w:numPr>
          <w:ilvl w:val="0"/>
          <w:numId w:val="201"/>
        </w:numPr>
        <w:rPr>
          <w:rFonts w:ascii="Arial" w:cs="Arial" w:eastAsia="Arial" w:hAnsi="Arial"/>
          <w:sz w:val="21"/>
          <w:szCs w:val="21"/>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6" w:lineRule="exact"/>
        <w:rPr>
          <w:rFonts w:ascii="Arial" w:cs="Arial" w:eastAsia="Arial" w:hAnsi="Arial"/>
          <w:sz w:val="21"/>
          <w:szCs w:val="21"/>
          <w:color w:val="auto"/>
        </w:rPr>
      </w:pPr>
    </w:p>
    <w:p>
      <w:pPr>
        <w:ind w:right="60" w:firstLine="635"/>
        <w:spacing w:after="0" w:line="274" w:lineRule="auto"/>
        <w:tabs>
          <w:tab w:leader="none" w:pos="1050" w:val="left"/>
        </w:tabs>
        <w:numPr>
          <w:ilvl w:val="0"/>
          <w:numId w:val="201"/>
        </w:numPr>
        <w:rPr>
          <w:rFonts w:ascii="Arial" w:cs="Arial" w:eastAsia="Arial" w:hAnsi="Arial"/>
          <w:sz w:val="21"/>
          <w:szCs w:val="21"/>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380"/>
          </w:cols>
          <w:pgMar w:left="240" w:top="608" w:right="27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color w:val="auto"/>
        </w:rPr>
        <w:t>IN WITNESS WHEREOF, this Agreement has been executed by the Company and the Participant as of the day first written above.</w:t>
      </w:r>
    </w:p>
    <w:p>
      <w:pPr>
        <w:spacing w:after="0" w:line="25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By: /s/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Name: Robert Greifeld</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130175</wp:posOffset>
            </wp:positionV>
            <wp:extent cx="1117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8"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Douglas A. Cifu</w:t>
      </w:r>
    </w:p>
    <w:p>
      <w:pPr>
        <w:spacing w:after="0" w:line="200" w:lineRule="exact"/>
        <w:rPr>
          <w:sz w:val="20"/>
          <w:szCs w:val="20"/>
          <w:color w:val="auto"/>
        </w:rPr>
      </w:pPr>
    </w:p>
    <w:p>
      <w:pPr>
        <w:spacing w:after="0" w:line="268" w:lineRule="exact"/>
        <w:rPr>
          <w:sz w:val="20"/>
          <w:szCs w:val="20"/>
          <w:color w:val="auto"/>
        </w:rPr>
      </w:pPr>
    </w:p>
    <w:p>
      <w:pPr>
        <w:ind w:left="2920"/>
        <w:spacing w:after="0"/>
        <w:rPr>
          <w:sz w:val="20"/>
          <w:szCs w:val="20"/>
          <w:color w:val="auto"/>
        </w:rPr>
      </w:pPr>
      <w:r>
        <w:rPr>
          <w:rFonts w:ascii="Arial" w:cs="Arial" w:eastAsia="Arial" w:hAnsi="Arial"/>
          <w:sz w:val="17"/>
          <w:szCs w:val="17"/>
          <w:i w:val="1"/>
          <w:iCs w:val="1"/>
          <w:color w:val="auto"/>
        </w:rPr>
        <w:t>[Signature Page to Restricted Stock Award Agreement]</w:t>
      </w:r>
    </w:p>
    <w:p>
      <w:pPr>
        <w:sectPr>
          <w:pgSz w:w="11900" w:h="16838" w:orient="portrait"/>
          <w:cols w:equalWidth="0" w:num="1">
            <w:col w:w="10120"/>
          </w:cols>
          <w:pgMar w:left="1100" w:top="609" w:right="679" w:bottom="1440" w:gutter="0" w:footer="0" w:header="0"/>
        </w:sectPr>
      </w:pPr>
    </w:p>
    <w:bookmarkStart w:id="202" w:name="page203"/>
    <w:bookmarkEnd w:id="202"/>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24" w:lineRule="exact"/>
        <w:rPr>
          <w:sz w:val="20"/>
          <w:szCs w:val="20"/>
          <w:color w:val="auto"/>
        </w:rPr>
      </w:pPr>
    </w:p>
    <w:p>
      <w:pPr>
        <w:ind w:left="640" w:right="480" w:hanging="320"/>
        <w:spacing w:after="0" w:line="290" w:lineRule="auto"/>
        <w:tabs>
          <w:tab w:leader="none" w:pos="6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2019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65" w:lineRule="auto"/>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00" w:right="260" w:hanging="465"/>
        <w:spacing w:after="0" w:line="275" w:lineRule="auto"/>
        <w:tabs>
          <w:tab w:leader="none" w:pos="11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4300"/>
        <w:spacing w:after="0"/>
        <w:tabs>
          <w:tab w:leader="none" w:pos="6300" w:val="left"/>
        </w:tabs>
        <w:rPr>
          <w:sz w:val="20"/>
          <w:szCs w:val="20"/>
          <w:color w:val="auto"/>
        </w:rPr>
      </w:pPr>
      <w:r>
        <w:rPr>
          <w:rFonts w:ascii="Arial" w:cs="Arial" w:eastAsia="Arial" w:hAnsi="Arial"/>
          <w:sz w:val="17"/>
          <w:szCs w:val="17"/>
          <w:color w:val="auto"/>
        </w:rPr>
        <w:t>Date: May 10, 2019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33655</wp:posOffset>
            </wp:positionV>
            <wp:extent cx="3258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6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68"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Joseph Molluso, certify that:</w:t>
      </w:r>
    </w:p>
    <w:p>
      <w:pPr>
        <w:spacing w:after="0" w:line="224" w:lineRule="exact"/>
        <w:rPr>
          <w:sz w:val="20"/>
          <w:szCs w:val="20"/>
          <w:color w:val="auto"/>
        </w:rPr>
      </w:pPr>
    </w:p>
    <w:p>
      <w:pPr>
        <w:ind w:left="640" w:right="480" w:hanging="320"/>
        <w:spacing w:after="0" w:line="290" w:lineRule="auto"/>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2019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400"/>
        <w:spacing w:after="0"/>
        <w:tabs>
          <w:tab w:leader="none" w:pos="6420" w:val="left"/>
        </w:tabs>
        <w:rPr>
          <w:sz w:val="20"/>
          <w:szCs w:val="20"/>
          <w:color w:val="auto"/>
        </w:rPr>
      </w:pPr>
      <w:r>
        <w:rPr>
          <w:rFonts w:ascii="Arial" w:cs="Arial" w:eastAsia="Arial" w:hAnsi="Arial"/>
          <w:sz w:val="17"/>
          <w:szCs w:val="17"/>
          <w:color w:val="auto"/>
        </w:rPr>
        <w:t>Date: May 10, 2019 By:</w:t>
      </w:r>
      <w:r>
        <w:rPr>
          <w:sz w:val="20"/>
          <w:szCs w:val="20"/>
          <w:color w:val="auto"/>
        </w:rPr>
        <w:tab/>
      </w:r>
      <w:r>
        <w:rPr>
          <w:rFonts w:ascii="Arial" w:cs="Arial" w:eastAsia="Arial" w:hAnsi="Arial"/>
          <w:sz w:val="15"/>
          <w:szCs w:val="15"/>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33655</wp:posOffset>
            </wp:positionV>
            <wp:extent cx="3183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6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67"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March 31, 2019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Date: May 10, 2019</w:t>
      </w:r>
    </w:p>
    <w:p>
      <w:pPr>
        <w:sectPr>
          <w:pgSz w:w="11900" w:h="16838" w:orient="portrait"/>
          <w:cols w:equalWidth="0" w:num="1">
            <w:col w:w="11420"/>
          </w:cols>
          <w:pgMar w:left="240" w:top="567"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ind w:right="18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March 31, 2019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Financial Officer</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Date: May 10, 2019</w:t>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1)"/>
      <w:numFmt w:val="lowerRoman"/>
      <w:start w:val="3"/>
    </w:lvl>
  </w:abstractNum>
  <w:abstractNum w:abstractNumId="3">
    <w:nsid w:val="71C91298"/>
    <w:multiLevelType w:val="hybridMultilevel"/>
    <w:lvl w:ilvl="0">
      <w:lvlJc w:val="left"/>
      <w:lvlText w:val="(%1)"/>
      <w:numFmt w:val="decimal"/>
      <w:start w:val="1"/>
    </w:lvl>
  </w:abstractNum>
  <w:abstractNum w:abstractNumId="4">
    <w:nsid w:val="9DAF632"/>
    <w:multiLevelType w:val="hybridMultilevel"/>
    <w:lvl w:ilvl="0">
      <w:lvlJc w:val="left"/>
      <w:lvlText w:val="(%1)"/>
      <w:numFmt w:val="lowerRoman"/>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1)"/>
      <w:numFmt w:val="lowerRoman"/>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1)"/>
      <w:numFmt w:val="decimal"/>
      <w:start w:val="1"/>
    </w:lvl>
  </w:abstractNum>
  <w:abstractNum w:abstractNumId="12">
    <w:nsid w:val="1D9F6E5F"/>
    <w:multiLevelType w:val="hybridMultilevel"/>
    <w:lvl w:ilvl="0">
      <w:lvlJc w:val="left"/>
      <w:lvlText w:val="(%1)"/>
      <w:numFmt w:val="decimal"/>
      <w:start w:val="1"/>
    </w:lvl>
  </w:abstractNum>
  <w:abstractNum w:abstractNumId="13">
    <w:nsid w:val="97E1B4E"/>
    <w:multiLevelType w:val="hybridMultilevel"/>
    <w:lvl w:ilvl="0">
      <w:lvlJc w:val="left"/>
      <w:lvlText w:val="(%1)"/>
      <w:numFmt w:val="decimal"/>
      <w:start w:val="1"/>
    </w:lvl>
  </w:abstractNum>
  <w:abstractNum w:abstractNumId="14">
    <w:nsid w:val="51088277"/>
    <w:multiLevelType w:val="hybridMultilevel"/>
    <w:lvl w:ilvl="0">
      <w:lvlJc w:val="left"/>
      <w:lvlText w:val="(%1)"/>
      <w:numFmt w:val="lowerRoman"/>
      <w:start w:val="1"/>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1)"/>
      <w:numFmt w:val="decimal"/>
      <w:start w:val="1"/>
    </w:lvl>
  </w:abstractNum>
  <w:abstractNum w:abstractNumId="17">
    <w:nsid w:val="415E286C"/>
    <w:multiLevelType w:val="hybridMultilevel"/>
    <w:lvl w:ilvl="0">
      <w:lvlJc w:val="left"/>
      <w:lvlText w:val="(%1)"/>
      <w:numFmt w:val="lowerLetter"/>
      <w:start w:val="1"/>
    </w:lvl>
  </w:abstractNum>
  <w:abstractNum w:abstractNumId="18">
    <w:nsid w:val="7C58FD05"/>
    <w:multiLevelType w:val="hybridMultilevel"/>
    <w:lvl w:ilvl="0">
      <w:lvlJc w:val="left"/>
      <w:lvlText w:val="(%1)"/>
      <w:numFmt w:val="lowerLetter"/>
      <w:start w:val="5"/>
    </w:lvl>
  </w:abstractNum>
  <w:abstractNum w:abstractNumId="19">
    <w:nsid w:val="23D86AAC"/>
    <w:multiLevelType w:val="hybridMultilevel"/>
    <w:lvl w:ilvl="0">
      <w:lvlJc w:val="left"/>
      <w:lvlText w:val="(%1)"/>
      <w:numFmt w:val="lowerLetter"/>
      <w:start w:val="1"/>
    </w:lvl>
  </w:abstractNum>
  <w:abstractNum w:abstractNumId="20">
    <w:nsid w:val="45E6D486"/>
    <w:multiLevelType w:val="hybridMultilevel"/>
    <w:lvl w:ilvl="0">
      <w:lvlJc w:val="left"/>
      <w:lvlText w:val="(%1)"/>
      <w:numFmt w:val="lowerLetter"/>
      <w:start w:val="2"/>
    </w:lvl>
  </w:abstractNum>
  <w:abstractNum w:abstractNumId="21">
    <w:nsid w:val="5C10FE21"/>
    <w:multiLevelType w:val="hybridMultilevel"/>
    <w:lvl w:ilvl="0">
      <w:lvlJc w:val="left"/>
      <w:lvlText w:val="(%1)"/>
      <w:numFmt w:val="lowerLetter"/>
      <w:start w:val="1"/>
    </w:lvl>
    <w:lvl w:ilvl="1">
      <w:lvlJc w:val="left"/>
      <w:lvlText w:val="(%2)"/>
      <w:numFmt w:val="lowerRoman"/>
      <w:start w:val="1"/>
    </w:lvl>
  </w:abstractNum>
  <w:abstractNum w:abstractNumId="22">
    <w:nsid w:val="E7FFA2B"/>
    <w:multiLevelType w:val="hybridMultilevel"/>
    <w:lvl w:ilvl="0">
      <w:lvlJc w:val="left"/>
      <w:lvlText w:val="(%1)"/>
      <w:numFmt w:val="lowerRoman"/>
      <w:start w:val="14"/>
    </w:lvl>
  </w:abstractNum>
  <w:abstractNum w:abstractNumId="23">
    <w:nsid w:val="3C5991AA"/>
    <w:multiLevelType w:val="hybridMultilevel"/>
    <w:lvl w:ilvl="0">
      <w:lvlJc w:val="left"/>
      <w:lvlText w:val="(%1)"/>
      <w:numFmt w:val="lowerLetter"/>
      <w:start w:val="2"/>
    </w:lvl>
  </w:abstractNum>
  <w:abstractNum w:abstractNumId="24">
    <w:nsid w:val="4BD8591A"/>
    <w:multiLevelType w:val="hybridMultilevel"/>
    <w:lvl w:ilvl="0">
      <w:lvlJc w:val="left"/>
      <w:lvlText w:val="(%1)"/>
      <w:numFmt w:val="lowerRoman"/>
      <w:start w:val="1"/>
    </w:lvl>
  </w:abstractNum>
  <w:abstractNum w:abstractNumId="25">
    <w:nsid w:val="78DF6A55"/>
    <w:multiLevelType w:val="hybridMultilevel"/>
    <w:lvl w:ilvl="0">
      <w:lvlJc w:val="left"/>
      <w:lvlText w:val="(%1)"/>
      <w:numFmt w:val="upperLetter"/>
      <w:start w:val="9"/>
    </w:lvl>
  </w:abstractNum>
  <w:abstractNum w:abstractNumId="26">
    <w:nsid w:val="39B7AAA2"/>
    <w:multiLevelType w:val="hybridMultilevel"/>
    <w:lvl w:ilvl="0">
      <w:lvlJc w:val="left"/>
      <w:lvlText w:val="(%1)"/>
      <w:numFmt w:val="upperLetter"/>
      <w:start w:val="35"/>
    </w:lvl>
  </w:abstractNum>
  <w:abstractNum w:abstractNumId="27">
    <w:nsid w:val="2B0D8DBE"/>
    <w:multiLevelType w:val="hybridMultilevel"/>
    <w:lvl w:ilvl="0">
      <w:lvlJc w:val="left"/>
      <w:lvlText w:val="(%1)"/>
      <w:numFmt w:val="upperLetter"/>
      <w:start w:val="61"/>
    </w:lvl>
  </w:abstractNum>
  <w:abstractNum w:abstractNumId="28">
    <w:nsid w:val="6C80EC70"/>
    <w:multiLevelType w:val="hybridMultilevel"/>
    <w:lvl w:ilvl="0">
      <w:lvlJc w:val="left"/>
      <w:lvlText w:val="%1"/>
      <w:numFmt w:val="lowerLetter"/>
      <w:start w:val="1"/>
    </w:lvl>
    <w:lvl w:ilvl="1">
      <w:lvlJc w:val="left"/>
      <w:lvlText w:val="(%2)"/>
      <w:numFmt w:val="lowerLetter"/>
      <w:start w:val="1"/>
    </w:lvl>
  </w:abstractNum>
  <w:abstractNum w:abstractNumId="29">
    <w:nsid w:val="379E21B5"/>
    <w:multiLevelType w:val="hybridMultilevel"/>
    <w:lvl w:ilvl="0">
      <w:lvlJc w:val="left"/>
      <w:lvlText w:val="(%1)"/>
      <w:numFmt w:val="lowerLetter"/>
      <w:start w:val="35"/>
    </w:lvl>
    <w:lvl w:ilvl="1">
      <w:lvlJc w:val="left"/>
      <w:lvlText w:val="(%2)"/>
      <w:numFmt w:val="lowerLetter"/>
      <w:start w:val="7"/>
    </w:lvl>
  </w:abstractNum>
  <w:abstractNum w:abstractNumId="30">
    <w:nsid w:val="69E373"/>
    <w:multiLevelType w:val="hybridMultilevel"/>
    <w:lvl w:ilvl="0">
      <w:lvlJc w:val="left"/>
      <w:lvlText w:val="(%1)"/>
      <w:numFmt w:val="lowerRoman"/>
      <w:start w:val="1"/>
    </w:lvl>
  </w:abstractNum>
  <w:abstractNum w:abstractNumId="31">
    <w:nsid w:val="2C27173B"/>
    <w:multiLevelType w:val="hybridMultilevel"/>
    <w:lvl w:ilvl="0">
      <w:lvlJc w:val="left"/>
      <w:lvlText w:val="(%1)"/>
      <w:numFmt w:val="lowerLetter"/>
      <w:start w:val="1"/>
    </w:lvl>
  </w:abstractNum>
  <w:abstractNum w:abstractNumId="32">
    <w:nsid w:val="4C9B0904"/>
    <w:multiLevelType w:val="hybridMultilevel"/>
    <w:lvl w:ilvl="0">
      <w:lvlJc w:val="left"/>
      <w:lvlText w:val="(%1)"/>
      <w:numFmt w:val="lowerLetter"/>
      <w:start w:val="1"/>
    </w:lvl>
    <w:lvl w:ilvl="1">
      <w:lvlJc w:val="left"/>
      <w:lvlText w:val="(%2)"/>
      <w:numFmt w:val="lowerRoman"/>
      <w:start w:val="1"/>
    </w:lvl>
  </w:abstractNum>
  <w:abstractNum w:abstractNumId="33">
    <w:nsid w:val="6AA7B75C"/>
    <w:multiLevelType w:val="hybridMultilevel"/>
    <w:lvl w:ilvl="0">
      <w:lvlJc w:val="left"/>
      <w:lvlText w:val="(%1)"/>
      <w:numFmt w:val="lowerLetter"/>
      <w:start w:val="2"/>
    </w:lvl>
    <w:lvl w:ilvl="1">
      <w:lvlJc w:val="left"/>
      <w:lvlText w:val="(%2)"/>
      <w:numFmt w:val="lowerRoman"/>
      <w:start w:val="1"/>
    </w:lvl>
  </w:abstractNum>
  <w:abstractNum w:abstractNumId="34">
    <w:nsid w:val="1DF029D3"/>
    <w:multiLevelType w:val="hybridMultilevel"/>
    <w:lvl w:ilvl="0">
      <w:lvlJc w:val="left"/>
      <w:lvlText w:val="(%1)"/>
      <w:numFmt w:val="lowerRoman"/>
      <w:start w:val="7"/>
    </w:lvl>
  </w:abstractNum>
  <w:abstractNum w:abstractNumId="35">
    <w:nsid w:val="5675FF36"/>
    <w:multiLevelType w:val="hybridMultilevel"/>
    <w:lvl w:ilvl="0">
      <w:lvlJc w:val="left"/>
      <w:lvlText w:val="(%1)"/>
      <w:numFmt w:val="lowerLetter"/>
      <w:start w:val="2"/>
    </w:lvl>
  </w:abstractNum>
  <w:abstractNum w:abstractNumId="36">
    <w:nsid w:val="3DD15094"/>
    <w:multiLevelType w:val="hybridMultilevel"/>
    <w:lvl w:ilvl="0">
      <w:lvlJc w:val="left"/>
      <w:lvlText w:val="(%1)"/>
      <w:numFmt w:val="lowerLetter"/>
      <w:start w:val="2"/>
    </w:lvl>
  </w:abstractNum>
  <w:abstractNum w:abstractNumId="37">
    <w:nsid w:val="3DB012B3"/>
    <w:multiLevelType w:val="hybridMultilevel"/>
    <w:lvl w:ilvl="0">
      <w:lvlJc w:val="left"/>
      <w:lvlText w:val="(%1)"/>
      <w:numFmt w:val="upperLetter"/>
      <w:start w:val="1"/>
    </w:lvl>
  </w:abstractNum>
  <w:abstractNum w:abstractNumId="38">
    <w:nsid w:val="2708C9AF"/>
    <w:multiLevelType w:val="hybridMultilevel"/>
    <w:lvl w:ilvl="0">
      <w:lvlJc w:val="left"/>
      <w:lvlText w:val="(%1)"/>
      <w:numFmt w:val="lowerRoman"/>
      <w:start w:val="3"/>
    </w:lvl>
  </w:abstractNum>
  <w:abstractNum w:abstractNumId="39">
    <w:nsid w:val="5B25ACE2"/>
    <w:multiLevelType w:val="hybridMultilevel"/>
    <w:lvl w:ilvl="0">
      <w:lvlJc w:val="left"/>
      <w:lvlText w:val="(%1)"/>
      <w:numFmt w:val="lowerLetter"/>
      <w:start w:val="1"/>
    </w:lvl>
  </w:abstractNum>
  <w:abstractNum w:abstractNumId="40">
    <w:nsid w:val="175DFCF0"/>
    <w:multiLevelType w:val="hybridMultilevel"/>
    <w:lvl w:ilvl="0">
      <w:lvlJc w:val="left"/>
      <w:lvlText w:val="%1"/>
      <w:numFmt w:val="lowerLetter"/>
      <w:start w:val="1"/>
    </w:lvl>
    <w:lvl w:ilvl="1">
      <w:lvlJc w:val="left"/>
      <w:lvlText w:val="(%2)"/>
      <w:numFmt w:val="lowerLetter"/>
      <w:start w:val="6"/>
    </w:lvl>
  </w:abstractNum>
  <w:abstractNum w:abstractNumId="41">
    <w:nsid w:val="4F97E3E4"/>
    <w:multiLevelType w:val="hybridMultilevel"/>
    <w:lvl w:ilvl="0">
      <w:lvlJc w:val="left"/>
      <w:lvlText w:val="(%1)"/>
      <w:numFmt w:val="lowerLetter"/>
      <w:start w:val="7"/>
    </w:lvl>
    <w:lvl w:ilvl="1">
      <w:lvlJc w:val="left"/>
      <w:lvlText w:val="%2"/>
      <w:numFmt w:val="lowerLetter"/>
      <w:start w:val="1"/>
    </w:lvl>
  </w:abstractNum>
  <w:abstractNum w:abstractNumId="42">
    <w:nsid w:val="53B0A9E"/>
    <w:multiLevelType w:val="hybridMultilevel"/>
    <w:lvl w:ilvl="0">
      <w:lvlJc w:val="left"/>
      <w:lvlText w:val="(%1)"/>
      <w:numFmt w:val="lowerLetter"/>
      <w:start w:val="1"/>
    </w:lvl>
  </w:abstractNum>
  <w:abstractNum w:abstractNumId="43">
    <w:nsid w:val="34FD6B4F"/>
    <w:multiLevelType w:val="hybridMultilevel"/>
    <w:lvl w:ilvl="0">
      <w:lvlJc w:val="left"/>
      <w:lvlText w:val="(%1)"/>
      <w:numFmt w:val="lowerLetter"/>
      <w:start w:val="10"/>
    </w:lvl>
  </w:abstractNum>
  <w:abstractNum w:abstractNumId="44">
    <w:nsid w:val="5915FF32"/>
    <w:multiLevelType w:val="hybridMultilevel"/>
    <w:lvl w:ilvl="0">
      <w:lvlJc w:val="left"/>
      <w:lvlText w:val="(%1)"/>
      <w:numFmt w:val="lowerLetter"/>
      <w:start w:val="1"/>
    </w:lvl>
  </w:abstractNum>
  <w:abstractNum w:abstractNumId="45">
    <w:nsid w:val="56438D15"/>
    <w:multiLevelType w:val="hybridMultilevel"/>
    <w:lvl w:ilvl="0">
      <w:lvlJc w:val="left"/>
      <w:lvlText w:val="(%1)"/>
      <w:numFmt w:val="lowerLetter"/>
      <w:start w:val="2"/>
    </w:lvl>
  </w:abstractNum>
  <w:abstractNum w:abstractNumId="46">
    <w:nsid w:val="519E3149"/>
    <w:multiLevelType w:val="hybridMultilevel"/>
    <w:lvl w:ilvl="0">
      <w:lvlJc w:val="left"/>
      <w:lvlText w:val="(%1)"/>
      <w:numFmt w:val="lowerLetter"/>
      <w:start w:val="1"/>
    </w:lvl>
  </w:abstractNum>
  <w:abstractNum w:abstractNumId="47">
    <w:nsid w:val="2C6E4AFD"/>
    <w:multiLevelType w:val="hybridMultilevel"/>
    <w:lvl w:ilvl="0">
      <w:lvlJc w:val="left"/>
      <w:lvlText w:val="(%1)"/>
      <w:numFmt w:val="lowerLetter"/>
      <w:start w:val="2"/>
    </w:lvl>
  </w:abstractNum>
  <w:abstractNum w:abstractNumId="48">
    <w:nsid w:val="17A1B582"/>
    <w:multiLevelType w:val="hybridMultilevel"/>
    <w:lvl w:ilvl="0">
      <w:lvlJc w:val="left"/>
      <w:lvlText w:val="(%1)"/>
      <w:numFmt w:val="lowerLetter"/>
      <w:start w:val="1"/>
    </w:lvl>
  </w:abstractNum>
  <w:abstractNum w:abstractNumId="49">
    <w:nsid w:val="4DF72E4E"/>
    <w:multiLevelType w:val="hybridMultilevel"/>
    <w:lvl w:ilvl="0">
      <w:lvlJc w:val="left"/>
      <w:lvlText w:val="(%1)"/>
      <w:numFmt w:val="lowerRoman"/>
      <w:start w:val="1"/>
    </w:lvl>
  </w:abstractNum>
  <w:abstractNum w:abstractNumId="50">
    <w:nsid w:val="5046B5A9"/>
    <w:multiLevelType w:val="hybridMultilevel"/>
    <w:lvl w:ilvl="0">
      <w:lvlJc w:val="left"/>
      <w:lvlText w:val="(%1)"/>
      <w:numFmt w:val="lowerLetter"/>
      <w:start w:val="1"/>
    </w:lvl>
  </w:abstractNum>
  <w:abstractNum w:abstractNumId="51">
    <w:nsid w:val="5D888A08"/>
    <w:multiLevelType w:val="hybridMultilevel"/>
    <w:lvl w:ilvl="0">
      <w:lvlJc w:val="left"/>
      <w:lvlText w:val="(%1)"/>
      <w:numFmt w:val="lowerLetter"/>
      <w:start w:val="1"/>
    </w:lvl>
    <w:lvl w:ilvl="1">
      <w:lvlJc w:val="left"/>
      <w:lvlText w:val="(%2)"/>
      <w:numFmt w:val="lowerRoman"/>
      <w:start w:val="1"/>
    </w:lvl>
  </w:abstractNum>
  <w:abstractNum w:abstractNumId="52">
    <w:nsid w:val="2A082C70"/>
    <w:multiLevelType w:val="hybridMultilevel"/>
    <w:lvl w:ilvl="0">
      <w:lvlJc w:val="left"/>
      <w:lvlText w:val="(%1)"/>
      <w:numFmt w:val="lowerLetter"/>
      <w:start w:val="4"/>
    </w:lvl>
  </w:abstractNum>
  <w:abstractNum w:abstractNumId="53">
    <w:nsid w:val="5EC6AFD4"/>
    <w:multiLevelType w:val="hybridMultilevel"/>
    <w:lvl w:ilvl="0">
      <w:lvlJc w:val="left"/>
      <w:lvlText w:val="(%1)"/>
      <w:numFmt w:val="lowerLetter"/>
      <w:start w:val="1"/>
    </w:lvl>
  </w:abstractNum>
  <w:abstractNum w:abstractNumId="54">
    <w:nsid w:val="19E21BB2"/>
    <w:multiLevelType w:val="hybridMultilevel"/>
    <w:lvl w:ilvl="0">
      <w:lvlJc w:val="left"/>
      <w:lvlText w:val="(%1)"/>
      <w:numFmt w:val="lowerLetter"/>
      <w:start w:val="1"/>
    </w:lvl>
  </w:abstractNum>
  <w:abstractNum w:abstractNumId="55">
    <w:nsid w:val="75E0858A"/>
    <w:multiLevelType w:val="hybridMultilevel"/>
    <w:lvl w:ilvl="0">
      <w:lvlJc w:val="left"/>
      <w:lvlText w:val="(%1)"/>
      <w:numFmt w:val="lowerLetter"/>
      <w:start w:val="1"/>
    </w:lvl>
  </w:abstractNum>
  <w:abstractNum w:abstractNumId="56">
    <w:nsid w:val="57A61A29"/>
    <w:multiLevelType w:val="hybridMultilevel"/>
    <w:lvl w:ilvl="0">
      <w:lvlJc w:val="left"/>
      <w:lvlText w:val="(%1)"/>
      <w:numFmt w:val="lowerLetter"/>
      <w:start w:val="1"/>
    </w:lvl>
  </w:abstractNum>
  <w:abstractNum w:abstractNumId="57">
    <w:nsid w:val="5399C65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8">
    <w:nsid w:val="20EE1348"/>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3"/>
    </w:lvl>
  </w:abstractNum>
  <w:abstractNum w:abstractNumId="59">
    <w:nsid w:val="4427069A"/>
    <w:multiLevelType w:val="hybridMultilevel"/>
    <w:lvl w:ilvl="0">
      <w:lvlJc w:val="left"/>
      <w:lvlText w:val="(%1)"/>
      <w:numFmt w:val="decimal"/>
      <w:start w:val="2"/>
    </w:lvl>
    <w:lvl w:ilvl="1">
      <w:lvlJc w:val="left"/>
      <w:lvlText w:val="(%2)"/>
      <w:numFmt w:val="upperLetter"/>
      <w:start w:val="4"/>
    </w:lvl>
  </w:abstractNum>
  <w:abstractNum w:abstractNumId="60">
    <w:nsid w:val="B37E80A"/>
    <w:multiLevelType w:val="hybridMultilevel"/>
    <w:lvl w:ilvl="0">
      <w:lvlJc w:val="left"/>
      <w:lvlText w:val="(%1)"/>
      <w:numFmt w:val="decimal"/>
      <w:start w:val="2"/>
    </w:lvl>
  </w:abstractNum>
  <w:abstractNum w:abstractNumId="61">
    <w:nsid w:val="2157F6BC"/>
    <w:multiLevelType w:val="hybridMultilevel"/>
    <w:lvl w:ilvl="0">
      <w:lvlJc w:val="left"/>
      <w:lvlText w:val="%1"/>
      <w:numFmt w:val="lowerLetter"/>
      <w:start w:val="1"/>
    </w:lvl>
    <w:lvl w:ilvl="1">
      <w:lvlJc w:val="left"/>
      <w:lvlText w:val="(%2)"/>
      <w:numFmt w:val="upperLetter"/>
      <w:start w:val="5"/>
    </w:lvl>
  </w:abstractNum>
  <w:abstractNum w:abstractNumId="62">
    <w:nsid w:val="704E1DD5"/>
    <w:multiLevelType w:val="hybridMultilevel"/>
    <w:lvl w:ilvl="0">
      <w:lvlJc w:val="left"/>
      <w:lvlText w:val="(%1)"/>
      <w:numFmt w:val="lowerLetter"/>
      <w:start w:val="2"/>
    </w:lvl>
    <w:lvl w:ilvl="1">
      <w:lvlJc w:val="left"/>
      <w:lvlText w:val="%2"/>
      <w:numFmt w:val="upperLetter"/>
      <w:start w:val="1"/>
    </w:lvl>
  </w:abstractNum>
  <w:abstractNum w:abstractNumId="63">
    <w:nsid w:val="57D2F10E"/>
    <w:multiLevelType w:val="hybridMultilevel"/>
    <w:lvl w:ilvl="0">
      <w:lvlJc w:val="left"/>
      <w:lvlText w:val="(%1)"/>
      <w:numFmt w:val="lowerLetter"/>
      <w:start w:val="3"/>
    </w:lvl>
  </w:abstractNum>
  <w:abstractNum w:abstractNumId="64">
    <w:nsid w:val="BFFAE18"/>
    <w:multiLevelType w:val="hybridMultilevel"/>
    <w:lvl w:ilvl="0">
      <w:lvlJc w:val="left"/>
      <w:lvlText w:val="(%1)"/>
      <w:numFmt w:val="lowerLetter"/>
      <w:start w:val="1"/>
    </w:lvl>
  </w:abstractNum>
  <w:abstractNum w:abstractNumId="65">
    <w:nsid w:val="E3E47A8"/>
    <w:multiLevelType w:val="hybridMultilevel"/>
    <w:lvl w:ilvl="0">
      <w:lvlJc w:val="left"/>
      <w:lvlText w:val="(%1)"/>
      <w:numFmt w:val="lowerLetter"/>
      <w:start w:val="1"/>
    </w:lvl>
  </w:abstractNum>
  <w:abstractNum w:abstractNumId="66">
    <w:nsid w:val="2E48F044"/>
    <w:multiLevelType w:val="hybridMultilevel"/>
    <w:lvl w:ilvl="0">
      <w:lvlJc w:val="left"/>
      <w:lvlText w:val="(%1)"/>
      <w:numFmt w:val="lowerRoman"/>
      <w:start w:val="1"/>
    </w:lvl>
  </w:abstractNum>
  <w:abstractNum w:abstractNumId="67">
    <w:nsid w:val="49D0FEAC"/>
    <w:multiLevelType w:val="hybridMultilevel"/>
    <w:lvl w:ilvl="0">
      <w:lvlJc w:val="left"/>
      <w:lvlText w:val="(%1)"/>
      <w:numFmt w:val="lowerLetter"/>
      <w:start w:val="2"/>
    </w:lvl>
  </w:abstractNum>
  <w:abstractNum w:abstractNumId="68">
    <w:nsid w:val="4BEE5A5B"/>
    <w:multiLevelType w:val="hybridMultilevel"/>
    <w:lvl w:ilvl="0">
      <w:lvlJc w:val="left"/>
      <w:lvlText w:val="(%1)"/>
      <w:numFmt w:val="lowerLetter"/>
      <w:start w:val="1"/>
    </w:lvl>
    <w:lvl w:ilvl="1">
      <w:lvlJc w:val="left"/>
      <w:lvlText w:val="(%2)"/>
      <w:numFmt w:val="lowerRoman"/>
      <w:start w:val="1"/>
    </w:lvl>
  </w:abstractNum>
  <w:abstractNum w:abstractNumId="69">
    <w:nsid w:val="5551B9F3"/>
    <w:multiLevelType w:val="hybridMultilevel"/>
    <w:lvl w:ilvl="0">
      <w:lvlJc w:val="left"/>
      <w:lvlText w:val="(%1)"/>
      <w:numFmt w:val="lowerLetter"/>
      <w:start w:val="2"/>
    </w:lvl>
  </w:abstractNum>
  <w:abstractNum w:abstractNumId="70">
    <w:nsid w:val="24F6AB8E"/>
    <w:multiLevelType w:val="hybridMultilevel"/>
    <w:lvl w:ilvl="0">
      <w:lvlJc w:val="left"/>
      <w:lvlText w:val="(%1)"/>
      <w:numFmt w:val="lowerRoman"/>
      <w:start w:val="2"/>
    </w:lvl>
  </w:abstractNum>
  <w:abstractNum w:abstractNumId="71">
    <w:nsid w:val="634C574C"/>
    <w:multiLevelType w:val="hybridMultilevel"/>
    <w:lvl w:ilvl="0">
      <w:lvlJc w:val="left"/>
      <w:lvlText w:val="(%1)"/>
      <w:numFmt w:val="lowerLetter"/>
      <w:start w:val="1"/>
    </w:lvl>
  </w:abstractNum>
  <w:abstractNum w:abstractNumId="72">
    <w:nsid w:val="24E99DD7"/>
    <w:multiLevelType w:val="hybridMultilevel"/>
    <w:lvl w:ilvl="0">
      <w:lvlJc w:val="left"/>
      <w:lvlText w:val="(%1)"/>
      <w:numFmt w:val="lowerRoman"/>
      <w:start w:val="1"/>
    </w:lvl>
    <w:lvl w:ilvl="1">
      <w:lvlJc w:val="left"/>
      <w:lvlText w:val="(%2)"/>
      <w:numFmt w:val="upperLetter"/>
      <w:start w:val="1"/>
    </w:lvl>
  </w:abstractNum>
  <w:abstractNum w:abstractNumId="73">
    <w:nsid w:val="2A31B62D"/>
    <w:multiLevelType w:val="hybridMultilevel"/>
    <w:lvl w:ilvl="0">
      <w:lvlJc w:val="left"/>
      <w:lvlText w:val="%1"/>
      <w:numFmt w:val="lowerRoman"/>
      <w:start w:val="1"/>
    </w:lvl>
    <w:lvl w:ilvl="1">
      <w:lvlJc w:val="left"/>
      <w:lvlText w:val="(%2)"/>
      <w:numFmt w:val="upperLetter"/>
      <w:start w:val="3"/>
    </w:lvl>
  </w:abstractNum>
  <w:abstractNum w:abstractNumId="74">
    <w:nsid w:val="1849C29B"/>
    <w:multiLevelType w:val="hybridMultilevel"/>
    <w:lvl w:ilvl="0">
      <w:lvlJc w:val="left"/>
      <w:lvlText w:val="(%1)"/>
      <w:numFmt w:val="lowerRoman"/>
      <w:start w:val="10"/>
    </w:lvl>
    <w:lvl w:ilvl="1">
      <w:lvlJc w:val="left"/>
      <w:lvlText w:val="(%2)"/>
      <w:numFmt w:val="upperLetter"/>
      <w:start w:val="4"/>
    </w:lvl>
  </w:abstractNum>
  <w:abstractNum w:abstractNumId="75">
    <w:nsid w:val="7DFF9D09"/>
    <w:multiLevelType w:val="hybridMultilevel"/>
    <w:lvl w:ilvl="0">
      <w:lvlJc w:val="left"/>
      <w:lvlText w:val="(%1)"/>
      <w:numFmt w:val="lowerLetter"/>
      <w:start w:val="6"/>
    </w:lvl>
  </w:abstractNum>
  <w:abstractNum w:abstractNumId="76">
    <w:nsid w:val="754342"/>
    <w:multiLevelType w:val="hybridMultilevel"/>
    <w:lvl w:ilvl="0">
      <w:lvlJc w:val="left"/>
      <w:lvlText w:val="(%1)"/>
      <w:numFmt w:val="lowerLetter"/>
      <w:start w:val="1"/>
    </w:lvl>
  </w:abstractNum>
  <w:abstractNum w:abstractNumId="77">
    <w:nsid w:val="69E7F3E5"/>
    <w:multiLevelType w:val="hybridMultilevel"/>
    <w:lvl w:ilvl="0">
      <w:lvlJc w:val="left"/>
      <w:lvlText w:val="%1"/>
      <w:numFmt w:val="upperLetter"/>
      <w:start w:val="1"/>
    </w:lvl>
    <w:lvl w:ilvl="1">
      <w:lvlJc w:val="left"/>
      <w:lvlText w:val="(%2)"/>
      <w:numFmt w:val="lowerLetter"/>
      <w:start w:val="2"/>
    </w:lvl>
  </w:abstractNum>
  <w:abstractNum w:abstractNumId="78">
    <w:nsid w:val="2A6DE806"/>
    <w:multiLevelType w:val="hybridMultilevel"/>
    <w:lvl w:ilvl="0">
      <w:lvlJc w:val="left"/>
      <w:lvlText w:val="(%1)"/>
      <w:numFmt w:val="upperLetter"/>
      <w:start w:val="1"/>
    </w:lvl>
    <w:lvl w:ilvl="1">
      <w:lvlJc w:val="left"/>
      <w:lvlText w:val="(%2)"/>
      <w:numFmt w:val="lowerLetter"/>
      <w:start w:val="4"/>
    </w:lvl>
  </w:abstractNum>
  <w:abstractNum w:abstractNumId="79">
    <w:nsid w:val="1816F8C4"/>
    <w:multiLevelType w:val="hybridMultilevel"/>
    <w:lvl w:ilvl="0">
      <w:lvlJc w:val="left"/>
      <w:lvlText w:val="(%1)"/>
      <w:numFmt w:val="lowerLetter"/>
      <w:start w:val="1"/>
    </w:lvl>
  </w:abstractNum>
  <w:abstractNum w:abstractNumId="80">
    <w:nsid w:val="37DF2233"/>
    <w:multiLevelType w:val="hybridMultilevel"/>
    <w:lvl w:ilvl="0">
      <w:lvlJc w:val="left"/>
      <w:lvlText w:val="(%1)"/>
      <w:numFmt w:val="lowerLetter"/>
      <w:start w:val="1"/>
    </w:lvl>
    <w:lvl w:ilvl="1">
      <w:lvlJc w:val="left"/>
      <w:lvlText w:val="(%2)"/>
      <w:numFmt w:val="lowerLetter"/>
      <w:start w:val="9"/>
    </w:lvl>
  </w:abstractNum>
  <w:abstractNum w:abstractNumId="81">
    <w:nsid w:val="7AB49DAF"/>
    <w:multiLevelType w:val="hybridMultilevel"/>
    <w:lvl w:ilvl="0">
      <w:lvlJc w:val="left"/>
      <w:lvlText w:val="%1"/>
      <w:numFmt w:val="lowerLetter"/>
      <w:start w:val="1"/>
    </w:lvl>
    <w:lvl w:ilvl="1">
      <w:lvlJc w:val="left"/>
      <w:lvlText w:val="(%2)"/>
      <w:numFmt w:val="lowerLetter"/>
      <w:start w:val="35"/>
    </w:lvl>
  </w:abstractNum>
  <w:abstractNum w:abstractNumId="82">
    <w:nsid w:val="759F82CD"/>
    <w:multiLevelType w:val="hybridMultilevel"/>
    <w:lvl w:ilvl="0">
      <w:lvlJc w:val="left"/>
      <w:lvlText w:val="(%1)"/>
      <w:numFmt w:val="lowerLetter"/>
      <w:start w:val="2"/>
    </w:lvl>
    <w:lvl w:ilvl="1">
      <w:lvlJc w:val="left"/>
      <w:lvlText w:val="(%2)"/>
      <w:numFmt w:val="lowerLetter"/>
      <w:start w:val="9"/>
    </w:lvl>
  </w:abstractNum>
  <w:abstractNum w:abstractNumId="83">
    <w:nsid w:val="61E74EA3"/>
    <w:multiLevelType w:val="hybridMultilevel"/>
    <w:lvl w:ilvl="0">
      <w:lvlJc w:val="left"/>
      <w:lvlText w:val="%1"/>
      <w:numFmt w:val="lowerLetter"/>
      <w:start w:val="1"/>
    </w:lvl>
    <w:lvl w:ilvl="1">
      <w:lvlJc w:val="left"/>
      <w:lvlText w:val="(%2)"/>
      <w:numFmt w:val="lowerLetter"/>
      <w:start w:val="35"/>
    </w:lvl>
  </w:abstractNum>
  <w:abstractNum w:abstractNumId="84">
    <w:nsid w:val="597B4D84"/>
    <w:multiLevelType w:val="hybridMultilevel"/>
    <w:lvl w:ilvl="0">
      <w:lvlJc w:val="left"/>
      <w:lvlText w:val="(%1)"/>
      <w:numFmt w:val="lowerLetter"/>
      <w:start w:val="3"/>
    </w:lvl>
    <w:lvl w:ilvl="1">
      <w:lvlJc w:val="left"/>
      <w:lvlText w:val="%2"/>
      <w:numFmt w:val="lowerLetter"/>
      <w:start w:val="1"/>
    </w:lvl>
  </w:abstractNum>
  <w:abstractNum w:abstractNumId="85">
    <w:nsid w:val="F819E7F"/>
    <w:multiLevelType w:val="hybridMultilevel"/>
    <w:lvl w:ilvl="0">
      <w:lvlJc w:val="left"/>
      <w:lvlText w:val="%1"/>
      <w:numFmt w:val="lowerLetter"/>
      <w:start w:val="1"/>
    </w:lvl>
    <w:lvl w:ilvl="1">
      <w:lvlJc w:val="left"/>
      <w:lvlText w:val="(%2)"/>
      <w:numFmt w:val="lowerLetter"/>
      <w:start w:val="1"/>
    </w:lvl>
  </w:abstractNum>
  <w:abstractNum w:abstractNumId="86">
    <w:nsid w:val="57C7D42D"/>
    <w:multiLevelType w:val="hybridMultilevel"/>
    <w:lvl w:ilvl="0">
      <w:lvlJc w:val="left"/>
      <w:lvlText w:val="(%1)"/>
      <w:numFmt w:val="lowerLetter"/>
      <w:start w:val="24"/>
    </w:lvl>
    <w:lvl w:ilvl="1">
      <w:lvlJc w:val="left"/>
      <w:lvlText w:val="(%2)"/>
      <w:numFmt w:val="lowerLetter"/>
      <w:start w:val="2"/>
    </w:lvl>
  </w:abstractNum>
  <w:abstractNum w:abstractNumId="87">
    <w:nsid w:val="312167AD"/>
    <w:multiLevelType w:val="hybridMultilevel"/>
    <w:lvl w:ilvl="0">
      <w:lvlJc w:val="left"/>
      <w:lvlText w:val="(%1)"/>
      <w:numFmt w:val="lowerLetter"/>
      <w:start w:val="1"/>
    </w:lvl>
    <w:lvl w:ilvl="1">
      <w:lvlJc w:val="left"/>
      <w:lvlText w:val="(%2)"/>
      <w:numFmt w:val="lowerRoman"/>
      <w:start w:val="1"/>
    </w:lvl>
  </w:abstractNum>
  <w:abstractNum w:abstractNumId="88">
    <w:nsid w:val="631B64D4"/>
    <w:multiLevelType w:val="hybridMultilevel"/>
    <w:lvl w:ilvl="0">
      <w:lvlJc w:val="left"/>
      <w:lvlText w:val="(%1)"/>
      <w:numFmt w:val="lowerLetter"/>
      <w:start w:val="1"/>
    </w:lvl>
    <w:lvl w:ilvl="1">
      <w:lvlJc w:val="left"/>
      <w:lvlText w:val="(%2)"/>
      <w:numFmt w:val="lowerRoman"/>
      <w:start w:val="1"/>
    </w:lvl>
  </w:abstractNum>
  <w:abstractNum w:abstractNumId="89">
    <w:nsid w:val="78B5E776"/>
    <w:multiLevelType w:val="hybridMultilevel"/>
    <w:lvl w:ilvl="0">
      <w:lvlJc w:val="left"/>
      <w:lvlText w:val="%1"/>
      <w:numFmt w:val="lowerLetter"/>
      <w:start w:val="1"/>
    </w:lvl>
    <w:lvl w:ilvl="1">
      <w:lvlJc w:val="left"/>
      <w:lvlText w:val="(%2)"/>
      <w:numFmt w:val="lowerLetter"/>
      <w:start w:val="35"/>
    </w:lvl>
  </w:abstractNum>
  <w:abstractNum w:abstractNumId="90">
    <w:nsid w:val="75486E47"/>
    <w:multiLevelType w:val="hybridMultilevel"/>
    <w:lvl w:ilvl="0">
      <w:lvlJc w:val="left"/>
      <w:lvlText w:val="(%1)"/>
      <w:numFmt w:val="lowerLetter"/>
      <w:start w:val="4"/>
    </w:lvl>
    <w:lvl w:ilvl="1">
      <w:lvlJc w:val="left"/>
      <w:lvlText w:val="(%2)"/>
      <w:numFmt w:val="lowerLetter"/>
      <w:start w:val="9"/>
    </w:lvl>
  </w:abstractNum>
  <w:abstractNum w:abstractNumId="91">
    <w:nsid w:val="6E534CDE"/>
    <w:multiLevelType w:val="hybridMultilevel"/>
    <w:lvl w:ilvl="0">
      <w:lvlJc w:val="left"/>
      <w:lvlText w:val="%1"/>
      <w:numFmt w:val="lowerLetter"/>
      <w:start w:val="1"/>
    </w:lvl>
    <w:lvl w:ilvl="1">
      <w:lvlJc w:val="left"/>
      <w:lvlText w:val="(%2)"/>
      <w:numFmt w:val="lowerLetter"/>
      <w:start w:val="35"/>
    </w:lvl>
  </w:abstractNum>
  <w:abstractNum w:abstractNumId="92">
    <w:nsid w:val="1A0DDE32"/>
    <w:multiLevelType w:val="hybridMultilevel"/>
    <w:lvl w:ilvl="0">
      <w:lvlJc w:val="left"/>
      <w:lvlText w:val="(%1)"/>
      <w:numFmt w:val="lowerLetter"/>
      <w:start w:val="9"/>
    </w:lvl>
    <w:lvl w:ilvl="1">
      <w:lvlJc w:val="left"/>
      <w:lvlText w:val="%2"/>
      <w:numFmt w:val="lowerLetter"/>
      <w:start w:val="1"/>
    </w:lvl>
  </w:abstractNum>
  <w:abstractNum w:abstractNumId="93">
    <w:nsid w:val="65968C1C"/>
    <w:multiLevelType w:val="hybridMultilevel"/>
    <w:lvl w:ilvl="0">
      <w:lvlJc w:val="left"/>
      <w:lvlText w:val="(%1)"/>
      <w:numFmt w:val="lowerLetter"/>
      <w:start w:val="11"/>
    </w:lvl>
  </w:abstractNum>
  <w:abstractNum w:abstractNumId="94">
    <w:nsid w:val="46263DEC"/>
    <w:multiLevelType w:val="hybridMultilevel"/>
    <w:lvl w:ilvl="0">
      <w:lvlJc w:val="left"/>
      <w:lvlText w:val="(%1)"/>
      <w:numFmt w:val="lowerLetter"/>
      <w:start w:val="1"/>
    </w:lvl>
    <w:lvl w:ilvl="1">
      <w:lvlJc w:val="left"/>
      <w:lvlText w:val="(%2)"/>
      <w:numFmt w:val="lowerRoman"/>
      <w:start w:val="1"/>
    </w:lvl>
  </w:abstractNum>
  <w:abstractNum w:abstractNumId="95">
    <w:nsid w:val="260D8C4A"/>
    <w:multiLevelType w:val="hybridMultilevel"/>
    <w:lvl w:ilvl="0">
      <w:lvlJc w:val="left"/>
      <w:lvlText w:val="(%1)"/>
      <w:numFmt w:val="lowerLetter"/>
      <w:start w:val="4"/>
    </w:lvl>
  </w:abstractNum>
  <w:abstractNum w:abstractNumId="96">
    <w:nsid w:val="73D4D3C4"/>
    <w:multiLevelType w:val="hybridMultilevel"/>
    <w:lvl w:ilvl="0">
      <w:lvlJc w:val="left"/>
      <w:lvlText w:val="(%1)"/>
      <w:numFmt w:val="lowerLetter"/>
      <w:start w:val="1"/>
    </w:lvl>
  </w:abstractNum>
  <w:abstractNum w:abstractNumId="97">
    <w:nsid w:val="746F2E30"/>
    <w:multiLevelType w:val="hybridMultilevel"/>
    <w:lvl w:ilvl="0">
      <w:lvlJc w:val="left"/>
      <w:lvlText w:val="(%1)"/>
      <w:numFmt w:val="lowerLetter"/>
      <w:start w:val="1"/>
    </w:lvl>
  </w:abstractNum>
  <w:abstractNum w:abstractNumId="98">
    <w:nsid w:val="6FDE8AF6"/>
    <w:multiLevelType w:val="hybridMultilevel"/>
    <w:lvl w:ilvl="0">
      <w:lvlJc w:val="left"/>
      <w:lvlText w:val="(%1)"/>
      <w:numFmt w:val="lowerLetter"/>
      <w:start w:val="1"/>
    </w:lvl>
  </w:abstractNum>
  <w:abstractNum w:abstractNumId="99">
    <w:nsid w:val="3FC32E20"/>
    <w:multiLevelType w:val="hybridMultilevel"/>
    <w:lvl w:ilvl="0">
      <w:lvlJc w:val="left"/>
      <w:lvlText w:val="(%1)"/>
      <w:numFmt w:val="lowerLetter"/>
      <w:start w:val="2"/>
    </w:lvl>
  </w:abstractNum>
  <w:abstractNum w:abstractNumId="100">
    <w:nsid w:val="49C0E823"/>
    <w:multiLevelType w:val="hybridMultilevel"/>
    <w:lvl w:ilvl="0">
      <w:lvlJc w:val="left"/>
      <w:lvlText w:val="%1"/>
      <w:numFmt w:val="lowerLetter"/>
      <w:start w:val="1"/>
    </w:lvl>
    <w:lvl w:ilvl="1">
      <w:lvlJc w:val="left"/>
      <w:lvlText w:val="(%2)"/>
      <w:numFmt w:val="lowerLetter"/>
      <w:start w:val="1"/>
    </w:lvl>
  </w:abstractNum>
  <w:abstractNum w:abstractNumId="101">
    <w:nsid w:val="14D53685"/>
    <w:multiLevelType w:val="hybridMultilevel"/>
    <w:lvl w:ilvl="0">
      <w:lvlJc w:val="left"/>
      <w:lvlText w:val="(%1)"/>
      <w:numFmt w:val="lowerLetter"/>
      <w:start w:val="61"/>
    </w:lvl>
    <w:lvl w:ilvl="1">
      <w:lvlJc w:val="left"/>
      <w:lvlText w:val="%2"/>
      <w:numFmt w:val="lowerLetter"/>
      <w:start w:val="1"/>
    </w:lvl>
  </w:abstractNum>
  <w:abstractNum w:abstractNumId="102">
    <w:nsid w:val="230F856C"/>
    <w:multiLevelType w:val="hybridMultilevel"/>
    <w:lvl w:ilvl="0">
      <w:lvlJc w:val="left"/>
      <w:lvlText w:val="(%1)"/>
      <w:numFmt w:val="lowerLetter"/>
      <w:start w:val="1"/>
    </w:lvl>
  </w:abstractNum>
  <w:abstractNum w:abstractNumId="103">
    <w:nsid w:val="6EAA85FB"/>
    <w:multiLevelType w:val="hybridMultilevel"/>
    <w:lvl w:ilvl="0">
      <w:lvlJc w:val="left"/>
      <w:lvlText w:val="(%1)"/>
      <w:numFmt w:val="lowerLetter"/>
      <w:start w:val="1"/>
    </w:lvl>
  </w:abstractNum>
  <w:abstractNum w:abstractNumId="104">
    <w:nsid w:val="3F06ECB2"/>
    <w:multiLevelType w:val="hybridMultilevel"/>
    <w:lvl w:ilvl="0">
      <w:lvlJc w:val="left"/>
      <w:lvlText w:val="(%1)"/>
      <w:numFmt w:val="lowerLetter"/>
      <w:start w:val="1"/>
    </w:lvl>
  </w:abstractNum>
  <w:abstractNum w:abstractNumId="105">
    <w:nsid w:val="3B594807"/>
    <w:multiLevelType w:val="hybridMultilevel"/>
    <w:lvl w:ilvl="0">
      <w:lvlJc w:val="left"/>
      <w:lvlText w:val="(%1)"/>
      <w:numFmt w:val="lowerLetter"/>
      <w:start w:val="1"/>
    </w:lvl>
  </w:abstractNum>
  <w:abstractNum w:abstractNumId="106">
    <w:nsid w:val="6CAA2304"/>
    <w:multiLevelType w:val="hybridMultilevel"/>
    <w:lvl w:ilvl="0">
      <w:lvlJc w:val="left"/>
      <w:lvlText w:val="(%1)"/>
      <w:numFmt w:val="lowerLetter"/>
      <w:start w:val="1"/>
    </w:lvl>
  </w:abstractNum>
  <w:abstractNum w:abstractNumId="107">
    <w:nsid w:val="3F7C2FF4"/>
    <w:multiLevelType w:val="hybridMultilevel"/>
    <w:lvl w:ilvl="0">
      <w:lvlJc w:val="left"/>
      <w:lvlText w:val="(%1)"/>
      <w:numFmt w:val="lowerLetter"/>
      <w:start w:val="5"/>
    </w:lvl>
  </w:abstractNum>
  <w:abstractNum w:abstractNumId="108">
    <w:nsid w:val="25413BEC"/>
    <w:multiLevelType w:val="hybridMultilevel"/>
    <w:lvl w:ilvl="0">
      <w:lvlJc w:val="left"/>
      <w:lvlText w:val="(%1)"/>
      <w:numFmt w:val="lowerLetter"/>
      <w:start w:val="1"/>
    </w:lvl>
  </w:abstractNum>
  <w:abstractNum w:abstractNumId="109">
    <w:nsid w:val="17180B0B"/>
    <w:multiLevelType w:val="hybridMultilevel"/>
    <w:lvl w:ilvl="0">
      <w:lvlJc w:val="left"/>
      <w:lvlText w:val="(%1)"/>
      <w:numFmt w:val="lowerLetter"/>
      <w:start w:val="1"/>
    </w:lvl>
  </w:abstractNum>
  <w:abstractNum w:abstractNumId="110">
    <w:nsid w:val="579328B9"/>
    <w:multiLevelType w:val="hybridMultilevel"/>
    <w:lvl w:ilvl="0">
      <w:lvlJc w:val="left"/>
      <w:lvlText w:val="(%1)"/>
      <w:numFmt w:val="lowerLetter"/>
      <w:start w:val="5"/>
    </w:lvl>
  </w:abstractNum>
  <w:abstractNum w:abstractNumId="111">
    <w:nsid w:val="5D205E20"/>
    <w:multiLevelType w:val="hybridMultilevel"/>
    <w:lvl w:ilvl="0">
      <w:lvlJc w:val="left"/>
      <w:lvlText w:val="(%1)"/>
      <w:numFmt w:val="lowerLetter"/>
      <w:start w:val="1"/>
    </w:lvl>
  </w:abstractNum>
  <w:abstractNum w:abstractNumId="112">
    <w:nsid w:val="11CCA8BA"/>
    <w:multiLevelType w:val="hybridMultilevel"/>
    <w:lvl w:ilvl="0">
      <w:lvlJc w:val="left"/>
      <w:lvlText w:val="(%1)"/>
      <w:numFmt w:val="lowerLetter"/>
      <w:start w:val="1"/>
    </w:lvl>
  </w:abstractNum>
  <w:abstractNum w:abstractNumId="113">
    <w:nsid w:val="4D32AB86"/>
    <w:multiLevelType w:val="hybridMultilevel"/>
    <w:lvl w:ilvl="0">
      <w:lvlJc w:val="left"/>
      <w:lvlText w:val="(%1)"/>
      <w:numFmt w:val="lowerLetter"/>
      <w:start w:val="1"/>
    </w:lvl>
  </w:abstractNum>
  <w:abstractNum w:abstractNumId="114">
    <w:nsid w:val="3F07ACC3"/>
    <w:multiLevelType w:val="hybridMultilevel"/>
    <w:lvl w:ilvl="0">
      <w:lvlJc w:val="left"/>
      <w:lvlText w:val="(%1)"/>
      <w:numFmt w:val="lowerLetter"/>
      <w:start w:val="1"/>
    </w:lvl>
  </w:abstractNum>
  <w:abstractNum w:abstractNumId="115">
    <w:nsid w:val="6B47F63E"/>
    <w:multiLevelType w:val="hybridMultilevel"/>
    <w:lvl w:ilvl="0">
      <w:lvlJc w:val="left"/>
      <w:lvlText w:val="(%1)"/>
      <w:numFmt w:val="lowerLetter"/>
      <w:start w:val="1"/>
    </w:lvl>
  </w:abstractNum>
  <w:abstractNum w:abstractNumId="116">
    <w:nsid w:val="5CB44A05"/>
    <w:multiLevelType w:val="hybridMultilevel"/>
    <w:lvl w:ilvl="0">
      <w:lvlJc w:val="left"/>
      <w:lvlText w:val="(%1)"/>
      <w:numFmt w:val="lowerLetter"/>
      <w:start w:val="1"/>
    </w:lvl>
  </w:abstractNum>
  <w:abstractNum w:abstractNumId="117">
    <w:nsid w:val="16CF80F1"/>
    <w:multiLevelType w:val="hybridMultilevel"/>
    <w:lvl w:ilvl="0">
      <w:lvlJc w:val="left"/>
      <w:lvlText w:val="(%1)"/>
      <w:numFmt w:val="lowerLetter"/>
      <w:start w:val="2"/>
    </w:lvl>
  </w:abstractNum>
  <w:abstractNum w:abstractNumId="118">
    <w:nsid w:val="1C695DEC"/>
    <w:multiLevelType w:val="hybridMultilevel"/>
    <w:lvl w:ilvl="0">
      <w:lvlJc w:val="left"/>
      <w:lvlText w:val="(%1)"/>
      <w:numFmt w:val="lowerLetter"/>
      <w:start w:val="1"/>
    </w:lvl>
    <w:lvl w:ilvl="1">
      <w:lvlJc w:val="left"/>
      <w:lvlText w:val="(%2)"/>
      <w:numFmt w:val="lowerRoman"/>
      <w:start w:val="1"/>
    </w:lvl>
  </w:abstractNum>
  <w:abstractNum w:abstractNumId="119">
    <w:nsid w:val="3FCFAED9"/>
    <w:multiLevelType w:val="hybridMultilevel"/>
    <w:lvl w:ilvl="0">
      <w:lvlJc w:val="left"/>
      <w:lvlText w:val="(%1)"/>
      <w:numFmt w:val="lowerRoman"/>
      <w:start w:val="6"/>
    </w:lvl>
  </w:abstractNum>
  <w:abstractNum w:abstractNumId="120">
    <w:nsid w:val="F856867"/>
    <w:multiLevelType w:val="hybridMultilevel"/>
    <w:lvl w:ilvl="0">
      <w:lvlJc w:val="left"/>
      <w:lvlText w:val="(%1)"/>
      <w:numFmt w:val="lowerRoman"/>
      <w:start w:val="10"/>
    </w:lvl>
  </w:abstractNum>
  <w:abstractNum w:abstractNumId="121">
    <w:nsid w:val="11B1CC33"/>
    <w:multiLevelType w:val="hybridMultilevel"/>
    <w:lvl w:ilvl="0">
      <w:lvlJc w:val="left"/>
      <w:lvlText w:val="(%1)"/>
      <w:numFmt w:val="lowerRoman"/>
      <w:start w:val="8"/>
    </w:lvl>
    <w:lvl w:ilvl="1">
      <w:lvlJc w:val="left"/>
      <w:lvlText w:val="(%2)"/>
      <w:numFmt w:val="lowerRoman"/>
      <w:start w:val="23"/>
    </w:lvl>
  </w:abstractNum>
  <w:abstractNum w:abstractNumId="122">
    <w:nsid w:val="2E22FBB7"/>
    <w:multiLevelType w:val="hybridMultilevel"/>
    <w:lvl w:ilvl="0">
      <w:lvlJc w:val="left"/>
      <w:lvlText w:val="(%1)"/>
      <w:numFmt w:val="lowerLetter"/>
      <w:start w:val="2"/>
    </w:lvl>
  </w:abstractNum>
  <w:abstractNum w:abstractNumId="123">
    <w:nsid w:val="29934699"/>
    <w:multiLevelType w:val="hybridMultilevel"/>
    <w:lvl w:ilvl="0">
      <w:lvlJc w:val="left"/>
      <w:lvlText w:val="%1"/>
      <w:numFmt w:val="upperLetter"/>
      <w:start w:val="1"/>
    </w:lvl>
    <w:lvl w:ilvl="1">
      <w:lvlJc w:val="left"/>
      <w:lvlText w:val="(%2)"/>
      <w:numFmt w:val="lowerRoman"/>
      <w:start w:val="1"/>
    </w:lvl>
  </w:abstractNum>
  <w:abstractNum w:abstractNumId="124">
    <w:nsid w:val="77485850"/>
    <w:multiLevelType w:val="hybridMultilevel"/>
    <w:lvl w:ilvl="0">
      <w:lvlJc w:val="left"/>
      <w:lvlText w:val="(%1)"/>
      <w:numFmt w:val="upperLetter"/>
      <w:start w:val="2"/>
    </w:lvl>
    <w:lvl w:ilvl="1">
      <w:lvlJc w:val="left"/>
      <w:lvlText w:val="(%2)"/>
      <w:numFmt w:val="lowerRoman"/>
      <w:start w:val="5"/>
    </w:lvl>
  </w:abstractNum>
  <w:abstractNum w:abstractNumId="125">
    <w:nsid w:val="744939A3"/>
    <w:multiLevelType w:val="hybridMultilevel"/>
    <w:lvl w:ilvl="0">
      <w:lvlJc w:val="left"/>
      <w:lvlText w:val="(%1)"/>
      <w:numFmt w:val="lowerRoman"/>
      <w:start w:val="7"/>
    </w:lvl>
  </w:abstractNum>
  <w:abstractNum w:abstractNumId="126">
    <w:nsid w:val="4FA0D2E3"/>
    <w:multiLevelType w:val="hybridMultilevel"/>
    <w:lvl w:ilvl="0">
      <w:lvlJc w:val="left"/>
      <w:lvlText w:val="(%1)"/>
      <w:numFmt w:val="lowerRoman"/>
      <w:start w:val="23"/>
    </w:lvl>
  </w:abstractNum>
  <w:abstractNum w:abstractNumId="127">
    <w:nsid w:val="6B1D2C14"/>
    <w:multiLevelType w:val="hybridMultilevel"/>
    <w:lvl w:ilvl="0">
      <w:lvlJc w:val="left"/>
      <w:lvlText w:val="(%1)"/>
      <w:numFmt w:val="lowerLetter"/>
      <w:start w:val="1"/>
    </w:lvl>
    <w:lvl w:ilvl="1">
      <w:lvlJc w:val="left"/>
      <w:lvlText w:val="(%2)"/>
      <w:numFmt w:val="lowerRoman"/>
      <w:start w:val="1"/>
    </w:lvl>
  </w:abstractNum>
  <w:abstractNum w:abstractNumId="128">
    <w:nsid w:val="68B867D3"/>
    <w:multiLevelType w:val="hybridMultilevel"/>
    <w:lvl w:ilvl="0">
      <w:lvlJc w:val="left"/>
      <w:lvlText w:val="(%1)"/>
      <w:numFmt w:val="lowerLetter"/>
      <w:start w:val="3"/>
    </w:lvl>
  </w:abstractNum>
  <w:abstractNum w:abstractNumId="129">
    <w:nsid w:val="3F7F5DD9"/>
    <w:multiLevelType w:val="hybridMultilevel"/>
    <w:lvl w:ilvl="0">
      <w:lvlJc w:val="left"/>
      <w:lvlText w:val="(%1)"/>
      <w:numFmt w:val="lowerLetter"/>
      <w:start w:val="1"/>
    </w:lvl>
  </w:abstractNum>
  <w:abstractNum w:abstractNumId="130">
    <w:nsid w:val="2AE05A34"/>
    <w:multiLevelType w:val="hybridMultilevel"/>
    <w:lvl w:ilvl="0">
      <w:lvlJc w:val="left"/>
      <w:lvlText w:val="(%1)"/>
      <w:numFmt w:val="lowerLetter"/>
      <w:start w:val="9"/>
    </w:lvl>
  </w:abstractNum>
  <w:abstractNum w:abstractNumId="131">
    <w:nsid w:val="32794FF7"/>
    <w:multiLevelType w:val="hybridMultilevel"/>
    <w:lvl w:ilvl="0">
      <w:lvlJc w:val="left"/>
      <w:lvlText w:val="(%1)"/>
      <w:numFmt w:val="lowerLetter"/>
      <w:start w:val="1"/>
    </w:lvl>
  </w:abstractNum>
  <w:abstractNum w:abstractNumId="132">
    <w:nsid w:val="5454945E"/>
    <w:multiLevelType w:val="hybridMultilevel"/>
    <w:lvl w:ilvl="0">
      <w:lvlJc w:val="left"/>
      <w:lvlText w:val="%1"/>
      <w:numFmt w:val="upperLetter"/>
      <w:start w:val="1"/>
    </w:lvl>
    <w:lvl w:ilvl="1">
      <w:lvlJc w:val="left"/>
      <w:lvlText w:val="(%2)"/>
      <w:numFmt w:val="lowerLetter"/>
      <w:start w:val="5"/>
    </w:lvl>
  </w:abstractNum>
  <w:abstractNum w:abstractNumId="133">
    <w:nsid w:val="4DEFDFA0"/>
    <w:multiLevelType w:val="hybridMultilevel"/>
    <w:lvl w:ilvl="0">
      <w:lvlJc w:val="left"/>
      <w:lvlText w:val="(%1)"/>
      <w:numFmt w:val="upperLetter"/>
      <w:start w:val="2"/>
    </w:lvl>
    <w:lvl w:ilvl="1">
      <w:lvlJc w:val="left"/>
      <w:lvlText w:val="(%2)"/>
      <w:numFmt w:val="lowerLetter"/>
      <w:start w:val="15"/>
    </w:lvl>
  </w:abstractNum>
  <w:abstractNum w:abstractNumId="134">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36">
    <w:nsid w:val="94927A8"/>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37">
    <w:nsid w:val="DCDF8F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8">
    <w:nsid w:val="52D7B105"/>
    <w:multiLevelType w:val="hybridMultilevel"/>
    <w:lvl w:ilvl="0">
      <w:lvlJc w:val="left"/>
      <w:lvlText w:val="(%1)"/>
      <w:numFmt w:val="lowerLetter"/>
      <w:start w:val="25"/>
    </w:lvl>
  </w:abstractNum>
  <w:abstractNum w:abstractNumId="139">
    <w:nsid w:val="2E8A6394"/>
    <w:multiLevelType w:val="hybridMultilevel"/>
    <w:lvl w:ilvl="0">
      <w:lvlJc w:val="left"/>
      <w:lvlText w:val="(%1)"/>
      <w:numFmt w:val="lowerLetter"/>
      <w:start w:val="1"/>
    </w:lvl>
  </w:abstractNum>
  <w:abstractNum w:abstractNumId="140">
    <w:nsid w:val="24E60401"/>
    <w:multiLevelType w:val="hybridMultilevel"/>
    <w:lvl w:ilvl="0">
      <w:lvlJc w:val="left"/>
      <w:lvlText w:val="(%1)"/>
      <w:numFmt w:val="lowerLetter"/>
      <w:start w:val="1"/>
    </w:lvl>
  </w:abstractNum>
  <w:abstractNum w:abstractNumId="141">
    <w:nsid w:val="2A6AD9BE"/>
    <w:multiLevelType w:val="hybridMultilevel"/>
    <w:lvl w:ilvl="0">
      <w:lvlJc w:val="left"/>
      <w:lvlText w:val="(%1)"/>
      <w:numFmt w:val="lowerLetter"/>
      <w:start w:val="13"/>
    </w:lvl>
  </w:abstractNum>
  <w:abstractNum w:abstractNumId="142">
    <w:nsid w:val="BAAC1B4"/>
    <w:multiLevelType w:val="hybridMultilevel"/>
    <w:lvl w:ilvl="0">
      <w:lvlJc w:val="left"/>
      <w:lvlText w:val="(%1)"/>
      <w:numFmt w:val="lowerLetter"/>
      <w:start w:val="1"/>
    </w:lvl>
    <w:lvl w:ilvl="1">
      <w:lvlJc w:val="left"/>
      <w:lvlText w:val="(%2)"/>
      <w:numFmt w:val="lowerLetter"/>
      <w:start w:val="9"/>
    </w:lvl>
  </w:abstractNum>
  <w:abstractNum w:abstractNumId="143">
    <w:nsid w:val="36B2ACBC"/>
    <w:multiLevelType w:val="hybridMultilevel"/>
    <w:lvl w:ilvl="0">
      <w:lvlJc w:val="left"/>
      <w:lvlText w:val="(%1)"/>
      <w:numFmt w:val="lowerRoman"/>
      <w:start w:val="2"/>
    </w:lvl>
  </w:abstractNum>
  <w:abstractNum w:abstractNumId="144">
    <w:nsid w:val="779D8544"/>
    <w:multiLevelType w:val="hybridMultilevel"/>
    <w:lvl w:ilvl="0">
      <w:lvlJc w:val="left"/>
      <w:lvlText w:val="%1"/>
      <w:numFmt w:val="lowerLetter"/>
      <w:start w:val="1"/>
    </w:lvl>
    <w:lvl w:ilvl="1">
      <w:lvlJc w:val="left"/>
      <w:lvlText w:val="(%2)"/>
      <w:numFmt w:val="lowerLetter"/>
      <w:start w:val="61"/>
    </w:lvl>
  </w:abstractNum>
  <w:abstractNum w:abstractNumId="145">
    <w:nsid w:val="4AB26E78"/>
    <w:multiLevelType w:val="hybridMultilevel"/>
    <w:lvl w:ilvl="0">
      <w:lvlJc w:val="left"/>
      <w:lvlText w:val="(%1)"/>
      <w:numFmt w:val="lowerLetter"/>
      <w:start w:val="2"/>
    </w:lvl>
    <w:lvl w:ilvl="1">
      <w:lvlJc w:val="left"/>
      <w:lvlText w:val="%2"/>
      <w:numFmt w:val="lowerLetter"/>
      <w:start w:val="1"/>
    </w:lvl>
  </w:abstractNum>
  <w:abstractNum w:abstractNumId="146">
    <w:nsid w:val="21FAA2FA"/>
    <w:multiLevelType w:val="hybridMultilevel"/>
    <w:lvl w:ilvl="0">
      <w:lvlJc w:val="left"/>
      <w:lvlText w:val="(%1)"/>
      <w:numFmt w:val="lowerLetter"/>
      <w:start w:val="1"/>
    </w:lvl>
  </w:abstractNum>
  <w:abstractNum w:abstractNumId="147">
    <w:nsid w:val="5451CF49"/>
    <w:multiLevelType w:val="hybridMultilevel"/>
    <w:lvl w:ilvl="0">
      <w:lvlJc w:val="left"/>
      <w:lvlText w:val="(%1)"/>
      <w:numFmt w:val="lowerLetter"/>
      <w:start w:val="1"/>
    </w:lvl>
    <w:lvl w:ilvl="1">
      <w:lvlJc w:val="left"/>
      <w:lvlText w:val="(%2)"/>
      <w:numFmt w:val="lowerRoman"/>
      <w:start w:val="1"/>
    </w:lvl>
  </w:abstractNum>
  <w:abstractNum w:abstractNumId="148">
    <w:nsid w:val="6181EF69"/>
    <w:multiLevelType w:val="hybridMultilevel"/>
    <w:lvl w:ilvl="0">
      <w:lvlJc w:val="left"/>
      <w:lvlText w:val="(%1)"/>
      <w:numFmt w:val="lowerLetter"/>
      <w:start w:val="1"/>
    </w:lvl>
  </w:abstractNum>
  <w:abstractNum w:abstractNumId="149">
    <w:nsid w:val="3E6400E6"/>
    <w:multiLevelType w:val="hybridMultilevel"/>
    <w:lvl w:ilvl="0">
      <w:lvlJc w:val="left"/>
      <w:lvlText w:val="(%1)"/>
      <w:numFmt w:val="lowerRoman"/>
      <w:start w:val="1"/>
    </w:lvl>
  </w:abstractNum>
  <w:abstractNum w:abstractNumId="150">
    <w:nsid w:val="14217E23"/>
    <w:multiLevelType w:val="hybridMultilevel"/>
    <w:lvl w:ilvl="0">
      <w:lvlJc w:val="left"/>
      <w:lvlText w:val="(%1)"/>
      <w:numFmt w:val="lowerLetter"/>
      <w:start w:val="2"/>
    </w:lvl>
  </w:abstractNum>
  <w:abstractNum w:abstractNumId="151">
    <w:nsid w:val="710757D0"/>
    <w:multiLevelType w:val="hybridMultilevel"/>
    <w:lvl w:ilvl="0">
      <w:lvlJc w:val="left"/>
      <w:lvlText w:val="(%1)"/>
      <w:numFmt w:val="lowerLetter"/>
      <w:start w:val="3"/>
    </w:lvl>
  </w:abstractNum>
  <w:abstractNum w:abstractNumId="152">
    <w:nsid w:val="5015CD1A"/>
    <w:multiLevelType w:val="hybridMultilevel"/>
    <w:lvl w:ilvl="0">
      <w:lvlJc w:val="left"/>
      <w:lvlText w:val="(%1)"/>
      <w:numFmt w:val="lowerLetter"/>
      <w:start w:val="1"/>
    </w:lvl>
  </w:abstractNum>
  <w:abstractNum w:abstractNumId="153">
    <w:nsid w:val="424479DA"/>
    <w:multiLevelType w:val="hybridMultilevel"/>
    <w:lvl w:ilvl="0">
      <w:lvlJc w:val="left"/>
      <w:lvlText w:val="%1"/>
      <w:numFmt w:val="lowerLetter"/>
      <w:start w:val="1"/>
    </w:lvl>
    <w:lvl w:ilvl="1">
      <w:lvlJc w:val="left"/>
      <w:lvlText w:val="(%2)"/>
      <w:numFmt w:val="lowerLetter"/>
      <w:start w:val="2"/>
    </w:lvl>
  </w:abstractNum>
  <w:abstractNum w:abstractNumId="154">
    <w:nsid w:val="1A9A9E69"/>
    <w:multiLevelType w:val="hybridMultilevel"/>
    <w:lvl w:ilvl="0">
      <w:lvlJc w:val="left"/>
      <w:lvlText w:val="(%1)"/>
      <w:numFmt w:val="lowerLetter"/>
      <w:start w:val="3"/>
    </w:lvl>
    <w:lvl w:ilvl="1">
      <w:lvlJc w:val="left"/>
      <w:lvlText w:val="(%2)"/>
      <w:numFmt w:val="lowerLetter"/>
      <w:start w:val="3"/>
    </w:lvl>
  </w:abstractNum>
  <w:abstractNum w:abstractNumId="155">
    <w:nsid w:val="475E256A"/>
    <w:multiLevelType w:val="hybridMultilevel"/>
    <w:lvl w:ilvl="0">
      <w:lvlJc w:val="left"/>
      <w:lvlText w:val="(%1)"/>
      <w:numFmt w:val="lowerLetter"/>
      <w:start w:val="4"/>
    </w:lvl>
  </w:abstractNum>
  <w:abstractNum w:abstractNumId="156">
    <w:nsid w:val="368DB37E"/>
    <w:multiLevelType w:val="hybridMultilevel"/>
    <w:lvl w:ilvl="0">
      <w:lvlJc w:val="left"/>
      <w:lvlText w:val="%1"/>
      <w:numFmt w:val="lowerRoman"/>
      <w:start w:val="1"/>
    </w:lvl>
    <w:lvl w:ilvl="1">
      <w:lvlJc w:val="left"/>
      <w:lvlText w:val="(%2)"/>
      <w:numFmt w:val="lowerLetter"/>
      <w:start w:val="1"/>
    </w:lvl>
  </w:abstractNum>
  <w:abstractNum w:abstractNumId="157">
    <w:nsid w:val="6A3B714C"/>
    <w:multiLevelType w:val="hybridMultilevel"/>
    <w:lvl w:ilvl="0">
      <w:lvlJc w:val="left"/>
      <w:lvlText w:val="(%1)"/>
      <w:numFmt w:val="lowerRoman"/>
      <w:start w:val="4"/>
    </w:lvl>
    <w:lvl w:ilvl="1">
      <w:lvlJc w:val="left"/>
      <w:lvlText w:val="(%2)"/>
      <w:numFmt w:val="lowerLetter"/>
      <w:start w:val="3"/>
    </w:lvl>
  </w:abstractNum>
  <w:abstractNum w:abstractNumId="158">
    <w:nsid w:val="327B517E"/>
    <w:multiLevelType w:val="hybridMultilevel"/>
    <w:lvl w:ilvl="0">
      <w:lvlJc w:val="left"/>
      <w:lvlText w:val="(%1)"/>
      <w:numFmt w:val="lowerLetter"/>
      <w:start w:val="5"/>
    </w:lvl>
  </w:abstractNum>
  <w:abstractNum w:abstractNumId="159">
    <w:nsid w:val="1F461B51"/>
    <w:multiLevelType w:val="hybridMultilevel"/>
    <w:lvl w:ilvl="0">
      <w:lvlJc w:val="left"/>
      <w:lvlText w:val="(%1)"/>
      <w:numFmt w:val="lowerLetter"/>
      <w:start w:val="1"/>
    </w:lvl>
    <w:lvl w:ilvl="1">
      <w:lvlJc w:val="left"/>
      <w:lvlText w:val="(%2)"/>
      <w:numFmt w:val="lowerRoman"/>
      <w:start w:val="1"/>
    </w:lvl>
  </w:abstractNum>
  <w:abstractNum w:abstractNumId="160">
    <w:nsid w:val="29BACF2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61">
    <w:nsid w:val="5D5BABB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62">
    <w:nsid w:val="51BF6B48"/>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63">
    <w:nsid w:val="7E0F6384"/>
    <w:multiLevelType w:val="hybridMultilevel"/>
    <w:lvl w:ilvl="0">
      <w:lvlJc w:val="left"/>
      <w:lvlText w:val="(%1)"/>
      <w:numFmt w:val="lowerLetter"/>
      <w:start w:val="6"/>
    </w:lvl>
  </w:abstractNum>
  <w:abstractNum w:abstractNumId="164">
    <w:nsid w:val="2B4B8B53"/>
    <w:multiLevelType w:val="hybridMultilevel"/>
    <w:lvl w:ilvl="0">
      <w:lvlJc w:val="left"/>
      <w:lvlText w:val="(%1)"/>
      <w:numFmt w:val="lowerLetter"/>
      <w:start w:val="1"/>
    </w:lvl>
  </w:abstractNum>
  <w:abstractNum w:abstractNumId="165">
    <w:nsid w:val="72E3413A"/>
    <w:multiLevelType w:val="hybridMultilevel"/>
    <w:lvl w:ilvl="0">
      <w:lvlJc w:val="left"/>
      <w:lvlText w:val="(%1)"/>
      <w:numFmt w:val="lowerLetter"/>
      <w:start w:val="2"/>
    </w:lvl>
  </w:abstractNum>
  <w:abstractNum w:abstractNumId="166">
    <w:nsid w:val="116AE494"/>
    <w:multiLevelType w:val="hybridMultilevel"/>
    <w:lvl w:ilvl="0">
      <w:lvlJc w:val="left"/>
      <w:lvlText w:val="(%1)"/>
      <w:numFmt w:val="lowerLetter"/>
      <w:start w:val="1"/>
    </w:lvl>
  </w:abstractNum>
  <w:abstractNum w:abstractNumId="167">
    <w:nsid w:val="3494B2FB"/>
    <w:multiLevelType w:val="hybridMultilevel"/>
    <w:lvl w:ilvl="0">
      <w:lvlJc w:val="left"/>
      <w:lvlText w:val="(%1)"/>
      <w:numFmt w:val="lowerLetter"/>
      <w:start w:val="1"/>
    </w:lvl>
  </w:abstractNum>
  <w:abstractNum w:abstractNumId="168">
    <w:nsid w:val="B13A31"/>
    <w:multiLevelType w:val="hybridMultilevel"/>
    <w:lvl w:ilvl="0">
      <w:lvlJc w:val="left"/>
      <w:lvlText w:val="(%1)"/>
      <w:numFmt w:val="lowerRoman"/>
      <w:start w:val="2"/>
    </w:lvl>
  </w:abstractNum>
  <w:abstractNum w:abstractNumId="169">
    <w:nsid w:val="64429599"/>
    <w:multiLevelType w:val="hybridMultilevel"/>
    <w:lvl w:ilvl="0">
      <w:lvlJc w:val="left"/>
      <w:lvlText w:val="(%1)"/>
      <w:numFmt w:val="lowerLetter"/>
      <w:start w:val="1"/>
    </w:lvl>
    <w:lvl w:ilvl="1">
      <w:lvlJc w:val="left"/>
      <w:lvlText w:val="(%2)"/>
      <w:numFmt w:val="lowerRoman"/>
      <w:start w:val="1"/>
    </w:lvl>
  </w:abstractNum>
  <w:abstractNum w:abstractNumId="170">
    <w:nsid w:val="631F1690"/>
    <w:multiLevelType w:val="hybridMultilevel"/>
    <w:lvl w:ilvl="0">
      <w:lvlJc w:val="left"/>
      <w:lvlText w:val="%1."/>
      <w:numFmt w:val="decimal"/>
      <w:start w:val="1"/>
    </w:lvl>
    <w:lvl w:ilvl="1">
      <w:lvlJc w:val="left"/>
      <w:lvlText w:val="(%2)"/>
      <w:numFmt w:val="lowerLetter"/>
      <w:start w:val="1"/>
    </w:lvl>
  </w:abstractNum>
  <w:abstractNum w:abstractNumId="171">
    <w:nsid w:val="25973E32"/>
    <w:multiLevelType w:val="hybridMultilevel"/>
    <w:lvl w:ilvl="0">
      <w:lvlJc w:val="left"/>
      <w:lvlText w:val="%1"/>
      <w:numFmt w:val="decimal"/>
      <w:start w:val="1"/>
    </w:lvl>
    <w:lvl w:ilvl="1">
      <w:lvlJc w:val="left"/>
      <w:lvlText w:val="(%2)"/>
      <w:numFmt w:val="lowerLetter"/>
      <w:start w:val="3"/>
    </w:lvl>
  </w:abstractNum>
  <w:abstractNum w:abstractNumId="172">
    <w:nsid w:val="EAD6F57"/>
    <w:multiLevelType w:val="hybridMultilevel"/>
    <w:lvl w:ilvl="0">
      <w:lvlJc w:val="left"/>
      <w:lvlText w:val="%1."/>
      <w:numFmt w:val="decimal"/>
      <w:start w:val="3"/>
    </w:lvl>
    <w:lvl w:ilvl="1">
      <w:lvlJc w:val="left"/>
      <w:lvlText w:val="(%2)"/>
      <w:numFmt w:val="lowerLetter"/>
      <w:start w:val="1"/>
    </w:lvl>
  </w:abstractNum>
  <w:abstractNum w:abstractNumId="173">
    <w:nsid w:val="6EC9D844"/>
    <w:multiLevelType w:val="hybridMultilevel"/>
    <w:lvl w:ilvl="0">
      <w:lvlJc w:val="left"/>
      <w:lvlText w:val="%1."/>
      <w:numFmt w:val="decimal"/>
      <w:start w:val="7"/>
    </w:lvl>
    <w:lvl w:ilvl="1">
      <w:lvlJc w:val="left"/>
      <w:lvlText w:val="(%2)"/>
      <w:numFmt w:val="lowerLetter"/>
      <w:start w:val="1"/>
    </w:lvl>
  </w:abstractNum>
  <w:abstractNum w:abstractNumId="174">
    <w:nsid w:val="5C49EAEE"/>
    <w:multiLevelType w:val="hybridMultilevel"/>
    <w:lvl w:ilvl="0">
      <w:lvlJc w:val="left"/>
      <w:lvlText w:val="(%1)"/>
      <w:numFmt w:val="lowerLetter"/>
      <w:start w:val="2"/>
    </w:lvl>
  </w:abstractNum>
  <w:abstractNum w:abstractNumId="175">
    <w:nsid w:val="64AF49B"/>
    <w:multiLevelType w:val="hybridMultilevel"/>
    <w:lvl w:ilvl="0">
      <w:lvlJc w:val="left"/>
      <w:lvlText w:val="(%1)"/>
      <w:numFmt w:val="lowerLetter"/>
      <w:start w:val="3"/>
    </w:lvl>
  </w:abstractNum>
  <w:abstractNum w:abstractNumId="176">
    <w:nsid w:val="397C46BC"/>
    <w:multiLevelType w:val="hybridMultilevel"/>
    <w:lvl w:ilvl="0">
      <w:lvlJc w:val="left"/>
      <w:lvlText w:val="(%1)"/>
      <w:numFmt w:val="lowerLetter"/>
      <w:start w:val="11"/>
    </w:lvl>
    <w:lvl w:ilvl="1">
      <w:lvlJc w:val="left"/>
      <w:lvlText w:val="(%2)"/>
      <w:numFmt w:val="lowerRoman"/>
      <w:start w:val="1"/>
    </w:lvl>
  </w:abstractNum>
  <w:abstractNum w:abstractNumId="177">
    <w:nsid w:val="7E448DE9"/>
    <w:multiLevelType w:val="hybridMultilevel"/>
    <w:lvl w:ilvl="0">
      <w:lvlJc w:val="left"/>
      <w:lvlText w:val="(%1)"/>
      <w:numFmt w:val="lowerLetter"/>
      <w:start w:val="16"/>
    </w:lvl>
  </w:abstractNum>
  <w:abstractNum w:abstractNumId="178">
    <w:nsid w:val="5A9CC3E5"/>
    <w:multiLevelType w:val="hybridMultilevel"/>
    <w:lvl w:ilvl="0">
      <w:lvlJc w:val="left"/>
      <w:lvlText w:val="%1."/>
      <w:numFmt w:val="decimal"/>
      <w:start w:val="1"/>
    </w:lvl>
    <w:lvl w:ilvl="1">
      <w:lvlJc w:val="left"/>
      <w:lvlText w:val="(%2)"/>
      <w:numFmt w:val="lowerLetter"/>
      <w:start w:val="1"/>
    </w:lvl>
  </w:abstractNum>
  <w:abstractNum w:abstractNumId="179">
    <w:nsid w:val="1AFE3625"/>
    <w:multiLevelType w:val="hybridMultilevel"/>
    <w:lvl w:ilvl="0">
      <w:lvlJc w:val="left"/>
      <w:lvlText w:val="%1"/>
      <w:numFmt w:val="decimal"/>
      <w:start w:val="1"/>
    </w:lvl>
    <w:lvl w:ilvl="1">
      <w:lvlJc w:val="left"/>
      <w:lvlText w:val="(%2)"/>
      <w:numFmt w:val="lowerLetter"/>
      <w:start w:val="3"/>
    </w:lvl>
  </w:abstractNum>
  <w:abstractNum w:abstractNumId="180">
    <w:nsid w:val="3CA88ECF"/>
    <w:multiLevelType w:val="hybridMultilevel"/>
    <w:lvl w:ilvl="0">
      <w:lvlJc w:val="left"/>
      <w:lvlText w:val="%1."/>
      <w:numFmt w:val="decimal"/>
      <w:start w:val="3"/>
    </w:lvl>
    <w:lvl w:ilvl="1">
      <w:lvlJc w:val="left"/>
      <w:lvlText w:val="(%2)"/>
      <w:numFmt w:val="lowerLetter"/>
      <w:start w:val="1"/>
    </w:lvl>
  </w:abstractNum>
  <w:abstractNum w:abstractNumId="181">
    <w:nsid w:val="6EBE4208"/>
    <w:multiLevelType w:val="hybridMultilevel"/>
    <w:lvl w:ilvl="0">
      <w:lvlJc w:val="left"/>
      <w:lvlText w:val="%1."/>
      <w:numFmt w:val="decimal"/>
      <w:start w:val="7"/>
    </w:lvl>
    <w:lvl w:ilvl="1">
      <w:lvlJc w:val="left"/>
      <w:lvlText w:val="(%2)"/>
      <w:numFmt w:val="lowerLetter"/>
      <w:start w:val="1"/>
    </w:lvl>
  </w:abstractNum>
  <w:abstractNum w:abstractNumId="182">
    <w:nsid w:val="C058DF5"/>
    <w:multiLevelType w:val="hybridMultilevel"/>
    <w:lvl w:ilvl="0">
      <w:lvlJc w:val="left"/>
      <w:lvlText w:val="(%1)"/>
      <w:numFmt w:val="lowerLetter"/>
      <w:start w:val="2"/>
    </w:lvl>
  </w:abstractNum>
  <w:abstractNum w:abstractNumId="183">
    <w:nsid w:val="CBE5BE9"/>
    <w:multiLevelType w:val="hybridMultilevel"/>
    <w:lvl w:ilvl="0">
      <w:lvlJc w:val="left"/>
      <w:lvlText w:val="(%1)"/>
      <w:numFmt w:val="lowerLetter"/>
      <w:start w:val="3"/>
    </w:lvl>
  </w:abstractNum>
  <w:abstractNum w:abstractNumId="184">
    <w:nsid w:val="3102BBE2"/>
    <w:multiLevelType w:val="hybridMultilevel"/>
    <w:lvl w:ilvl="0">
      <w:lvlJc w:val="left"/>
      <w:lvlText w:val="(%1)"/>
      <w:numFmt w:val="lowerLetter"/>
      <w:start w:val="11"/>
    </w:lvl>
    <w:lvl w:ilvl="1">
      <w:lvlJc w:val="left"/>
      <w:lvlText w:val="(%2)"/>
      <w:numFmt w:val="lowerRoman"/>
      <w:start w:val="1"/>
    </w:lvl>
  </w:abstractNum>
  <w:abstractNum w:abstractNumId="185">
    <w:nsid w:val="26A02C5E"/>
    <w:multiLevelType w:val="hybridMultilevel"/>
    <w:lvl w:ilvl="0">
      <w:lvlJc w:val="left"/>
      <w:lvlText w:val="(%1)"/>
      <w:numFmt w:val="lowerLetter"/>
      <w:start w:val="16"/>
    </w:lvl>
  </w:abstractNum>
  <w:abstractNum w:abstractNumId="186">
    <w:nsid w:val="541C8153"/>
    <w:multiLevelType w:val="hybridMultilevel"/>
    <w:lvl w:ilvl="0">
      <w:lvlJc w:val="left"/>
      <w:lvlText w:val="%1."/>
      <w:numFmt w:val="decimal"/>
      <w:start w:val="1"/>
    </w:lvl>
    <w:lvl w:ilvl="1">
      <w:lvlJc w:val="left"/>
      <w:lvlText w:val="(%2)"/>
      <w:numFmt w:val="lowerLetter"/>
      <w:start w:val="1"/>
    </w:lvl>
  </w:abstractNum>
  <w:abstractNum w:abstractNumId="187">
    <w:nsid w:val="67906F60"/>
    <w:multiLevelType w:val="hybridMultilevel"/>
    <w:lvl w:ilvl="0">
      <w:lvlJc w:val="left"/>
      <w:lvlText w:val="%1"/>
      <w:numFmt w:val="decimal"/>
      <w:start w:val="1"/>
    </w:lvl>
    <w:lvl w:ilvl="1">
      <w:lvlJc w:val="left"/>
      <w:lvlText w:val="(%2)"/>
      <w:numFmt w:val="lowerLetter"/>
      <w:start w:val="3"/>
    </w:lvl>
  </w:abstractNum>
  <w:abstractNum w:abstractNumId="188">
    <w:nsid w:val="10DB9DAA"/>
    <w:multiLevelType w:val="hybridMultilevel"/>
    <w:lvl w:ilvl="0">
      <w:lvlJc w:val="left"/>
      <w:lvlText w:val="%1."/>
      <w:numFmt w:val="decimal"/>
      <w:start w:val="3"/>
    </w:lvl>
    <w:lvl w:ilvl="1">
      <w:lvlJc w:val="left"/>
      <w:lvlText w:val="(%2)"/>
      <w:numFmt w:val="lowerLetter"/>
      <w:start w:val="1"/>
    </w:lvl>
  </w:abstractNum>
  <w:abstractNum w:abstractNumId="189">
    <w:nsid w:val="697D2D2"/>
    <w:multiLevelType w:val="hybridMultilevel"/>
    <w:lvl w:ilvl="0">
      <w:lvlJc w:val="left"/>
      <w:lvlText w:val="%1."/>
      <w:numFmt w:val="decimal"/>
      <w:start w:val="7"/>
    </w:lvl>
    <w:lvl w:ilvl="1">
      <w:lvlJc w:val="left"/>
      <w:lvlText w:val="(%2)"/>
      <w:numFmt w:val="lowerLetter"/>
      <w:start w:val="1"/>
    </w:lvl>
  </w:abstractNum>
  <w:abstractNum w:abstractNumId="190">
    <w:nsid w:val="6D68AB2"/>
    <w:multiLevelType w:val="hybridMultilevel"/>
    <w:lvl w:ilvl="0">
      <w:lvlJc w:val="left"/>
      <w:lvlText w:val="(%1)"/>
      <w:numFmt w:val="lowerLetter"/>
      <w:start w:val="2"/>
    </w:lvl>
  </w:abstractNum>
  <w:abstractNum w:abstractNumId="191">
    <w:nsid w:val="3A966CD0"/>
    <w:multiLevelType w:val="hybridMultilevel"/>
    <w:lvl w:ilvl="0">
      <w:lvlJc w:val="left"/>
      <w:lvlText w:val="(%1)"/>
      <w:numFmt w:val="lowerLetter"/>
      <w:start w:val="3"/>
    </w:lvl>
  </w:abstractNum>
  <w:abstractNum w:abstractNumId="192">
    <w:nsid w:val="63F37E85"/>
    <w:multiLevelType w:val="hybridMultilevel"/>
    <w:lvl w:ilvl="0">
      <w:lvlJc w:val="left"/>
      <w:lvlText w:val="(%1)"/>
      <w:numFmt w:val="lowerLetter"/>
      <w:start w:val="11"/>
    </w:lvl>
    <w:lvl w:ilvl="1">
      <w:lvlJc w:val="left"/>
      <w:lvlText w:val="(%2)"/>
      <w:numFmt w:val="lowerRoman"/>
      <w:start w:val="1"/>
    </w:lvl>
  </w:abstractNum>
  <w:abstractNum w:abstractNumId="193">
    <w:nsid w:val="5895F5FA"/>
    <w:multiLevelType w:val="hybridMultilevel"/>
    <w:lvl w:ilvl="0">
      <w:lvlJc w:val="left"/>
      <w:lvlText w:val="(%1)"/>
      <w:numFmt w:val="lowerLetter"/>
      <w:start w:val="16"/>
    </w:lvl>
  </w:abstractNum>
  <w:abstractNum w:abstractNumId="194">
    <w:nsid w:val="38A5D054"/>
    <w:multiLevelType w:val="hybridMultilevel"/>
    <w:lvl w:ilvl="0">
      <w:lvlJc w:val="left"/>
      <w:lvlText w:val="%1."/>
      <w:numFmt w:val="decimal"/>
      <w:start w:val="1"/>
    </w:lvl>
    <w:lvl w:ilvl="1">
      <w:lvlJc w:val="left"/>
      <w:lvlText w:val="(%2)"/>
      <w:numFmt w:val="lowerLetter"/>
      <w:start w:val="1"/>
    </w:lvl>
  </w:abstractNum>
  <w:abstractNum w:abstractNumId="195">
    <w:nsid w:val="F3F09D8"/>
    <w:multiLevelType w:val="hybridMultilevel"/>
    <w:lvl w:ilvl="0">
      <w:lvlJc w:val="left"/>
      <w:lvlText w:val="(%1)"/>
      <w:numFmt w:val="lowerLetter"/>
      <w:start w:val="2"/>
    </w:lvl>
  </w:abstractNum>
  <w:abstractNum w:abstractNumId="196">
    <w:nsid w:val="4B793735"/>
    <w:multiLevelType w:val="hybridMultilevel"/>
    <w:lvl w:ilvl="0">
      <w:lvlJc w:val="left"/>
      <w:lvlText w:val="%1."/>
      <w:numFmt w:val="decimal"/>
      <w:start w:val="3"/>
    </w:lvl>
  </w:abstractNum>
  <w:abstractNum w:abstractNumId="197">
    <w:nsid w:val="4A10B4E8"/>
    <w:multiLevelType w:val="hybridMultilevel"/>
    <w:lvl w:ilvl="0">
      <w:lvlJc w:val="left"/>
      <w:lvlText w:val="%1."/>
      <w:numFmt w:val="decimal"/>
      <w:start w:val="6"/>
    </w:lvl>
    <w:lvl w:ilvl="1">
      <w:lvlJc w:val="left"/>
      <w:lvlText w:val="(%2)"/>
      <w:numFmt w:val="lowerLetter"/>
      <w:start w:val="1"/>
    </w:lvl>
  </w:abstractNum>
  <w:abstractNum w:abstractNumId="198">
    <w:nsid w:val="43D3BCD4"/>
    <w:multiLevelType w:val="hybridMultilevel"/>
    <w:lvl w:ilvl="0">
      <w:lvlJc w:val="left"/>
      <w:lvlText w:val="(%1)"/>
      <w:numFmt w:val="lowerLetter"/>
      <w:start w:val="1"/>
    </w:lvl>
  </w:abstractNum>
  <w:abstractNum w:abstractNumId="199">
    <w:nsid w:val="4C2A7166"/>
    <w:multiLevelType w:val="hybridMultilevel"/>
    <w:lvl w:ilvl="0">
      <w:lvlJc w:val="left"/>
      <w:lvlText w:val="(%1)"/>
      <w:numFmt w:val="lowerLetter"/>
      <w:start w:val="8"/>
    </w:lvl>
    <w:lvl w:ilvl="1">
      <w:lvlJc w:val="left"/>
      <w:lvlText w:val="(%2)"/>
      <w:numFmt w:val="lowerRoman"/>
      <w:start w:val="1"/>
    </w:lvl>
  </w:abstractNum>
  <w:abstractNum w:abstractNumId="200">
    <w:nsid w:val="2E534A82"/>
    <w:multiLevelType w:val="hybridMultilevel"/>
    <w:lvl w:ilvl="0">
      <w:lvlJc w:val="left"/>
      <w:lvlText w:val="(%1)"/>
      <w:numFmt w:val="lowerLetter"/>
      <w:start w:val="14"/>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decimal"/>
      <w:start w:val="1"/>
    </w:lvl>
    <w:lvl w:ilvl="1">
      <w:lvlJc w:val="left"/>
      <w:lvlText w:val="(%2)"/>
      <w:numFmt w:val="lowerLetter"/>
      <w:start w:val="1"/>
    </w:lvl>
  </w:abstractNum>
  <w:abstractNum w:abstractNumId="203">
    <w:nsid w:val="3D00B9D9"/>
    <w:multiLevelType w:val="hybridMultilevel"/>
    <w:lvl w:ilvl="0">
      <w:lvlJc w:val="left"/>
      <w:lvlText w:val="%1."/>
      <w:numFmt w:val="decimal"/>
      <w:start w:val="1"/>
    </w:lvl>
  </w:abstractNum>
  <w:abstractNum w:abstractNumId="204">
    <w:nsid w:val="15BCAB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2019-12-28T12:27:54Z</dcterms:created>
  <dcterms:modified xsi:type="dcterms:W3CDTF">2019-12-28T12:27:54Z</dcterms:modified>
</cp:coreProperties>
</file>