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69810.xml.htm"/>
      <w:bookmarkStart w:id="1" w:name="kswkform4_178336981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Lee Cindy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1633 BROADWAY</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41ST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Virtu Financial, Inc.</w:t>
              </w:r>
            </w:hyperlink>
            <w:r>
              <w:rPr/>
              <w:t xml:space="preserve"> [ </w:t>
            </w:r>
            <w:r>
              <w:rPr>
                <w:rFonts w:ascii="Times;serif" w:hAnsi="Times;serif"/>
                <w:color w:val="0000FF"/>
                <w:sz w:val="24"/>
                <w:shd w:fill="FFFFFF" w:val="clear"/>
              </w:rPr>
              <w:t>VIRT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09"/>
        <w:gridCol w:w="903"/>
        <w:gridCol w:w="771"/>
        <w:gridCol w:w="600"/>
        <w:gridCol w:w="354"/>
        <w:gridCol w:w="826"/>
        <w:gridCol w:w="471"/>
        <w:gridCol w:w="633"/>
        <w:gridCol w:w="1191"/>
        <w:gridCol w:w="1018"/>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31,637</w:t>
            </w:r>
          </w:p>
        </w:tc>
        <w:tc>
          <w:tcPr>
            <w:tcW w:w="10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29" w:type="dxa"/>
        <w:jc w:val="left"/>
        <w:tblInd w:w="-7" w:type="dxa"/>
        <w:tblLayout w:type="fixed"/>
        <w:tblCellMar>
          <w:top w:w="60" w:type="dxa"/>
          <w:left w:w="60" w:type="dxa"/>
          <w:bottom w:w="60" w:type="dxa"/>
          <w:right w:w="60" w:type="dxa"/>
        </w:tblCellMar>
      </w:tblPr>
      <w:tblGrid>
        <w:gridCol w:w="1100"/>
        <w:gridCol w:w="861"/>
        <w:gridCol w:w="891"/>
        <w:gridCol w:w="771"/>
        <w:gridCol w:w="591"/>
        <w:gridCol w:w="300"/>
        <w:gridCol w:w="711"/>
        <w:gridCol w:w="276"/>
        <w:gridCol w:w="906"/>
        <w:gridCol w:w="801"/>
        <w:gridCol w:w="846"/>
        <w:gridCol w:w="801"/>
        <w:gridCol w:w="801"/>
        <w:gridCol w:w="936"/>
        <w:gridCol w:w="831"/>
        <w:gridCol w:w="906"/>
      </w:tblGrid>
      <w:tr>
        <w:trPr>
          <w:tblHeader w:val="true"/>
        </w:trPr>
        <w:tc>
          <w:tcPr>
            <w:tcW w:w="123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94,207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Non-voting common interest units of Virtu Financial LLC</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4,760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(4)</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RSU is granted under the Issuer's Second Amended and Restated 2015 Management Incentive Plan and represents a contingent right to receive one share of Class A common stock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RSUs vest in equal annual installments on June 30, 2027, 2028 and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the terms of the Exchange Agreement, effective as of April 15, 2015, by and among the Issuer, Virtu Financial LLC and the equityholders of Virtu Financial LLC (the "Exchange Agreement"), Virtu Financial Units, together with a corresponding number of shares of Class C Common Stock, may be exchanged for shares of Class A Common Stock, which have one vote per share and economic rights (including rights to dividends and distributions upon liquidation), on a one-for-one basis at the discretion of the holder. The exchange rights under the Exchange Agreement do not expire.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By Virtu Employee Holdco LLC, a holding vehicle through which employees and directors of the Issuer hold vested and unvested Virtu Financial Units and shares of Class C Common Stock. The reporting person disclaims beneficial ownership in such Virtu Financial Units and shares held by Virtu Employee Holdco LLC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Justin Waldie,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3153" TargetMode="External"/><Relationship Id="rId5" Type="http://schemas.openxmlformats.org/officeDocument/2006/relationships/hyperlink" Target="http://www.sec.gov/cgi-bin/browse-edgar?action=getcompany&amp;CIK=0001592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797</Words>
  <Characters>4242</Characters>
  <CharactersWithSpaces>4963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