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28"/>
        </w:rPr>
        <w:t>FORM 10-Q</w:t>
      </w: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QUARTERLY REPORT PURSUANT TO SECTION 13 OR 15 (d) OF THE SECURITIES EXCHANGE ACT OF 1934</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TRANSITION REPORT PURSUANT TO SECTION 13 OR 15 (d) OF THE SECURITIES EXCHANGE ACT OF 1934</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001-37352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Virtu Financial, Inc. </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(Exact name of registrant as specified in its charter)</w:t>
      </w:r>
    </w:p>
    <w:tbl>
      <w:tblPr>
        <w:tblW w:w="6959" w:type="dxa"/>
        <w:jc w:val="center"/>
        <w:tblInd w:w="0" w:type="dxa"/>
        <w:tblLayout w:type="fixed"/>
        <w:tblCellMar>
          <w:top w:w="28" w:type="dxa"/>
          <w:left w:w="28" w:type="dxa"/>
          <w:bottom w:w="28" w:type="dxa"/>
          <w:right w:w="28" w:type="dxa"/>
        </w:tblCellMar>
      </w:tblPr>
      <w:tblGrid>
        <w:gridCol w:w="1549"/>
        <w:gridCol w:w="1360"/>
        <w:gridCol w:w="138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32-0420206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tbl>
      <w:tblPr>
        <w:tblW w:w="3778" w:type="dxa"/>
        <w:jc w:val="center"/>
        <w:tblInd w:w="0" w:type="dxa"/>
        <w:tblLayout w:type="fixed"/>
        <w:tblCellMar>
          <w:top w:w="28" w:type="dxa"/>
          <w:left w:w="28" w:type="dxa"/>
          <w:bottom w:w="28" w:type="dxa"/>
          <w:right w:w="28" w:type="dxa"/>
        </w:tblCellMar>
      </w:tblPr>
      <w:tblGrid>
        <w:gridCol w:w="550"/>
        <w:gridCol w:w="483"/>
        <w:gridCol w:w="483"/>
        <w:gridCol w:w="444"/>
        <w:gridCol w:w="444"/>
        <w:gridCol w:w="459"/>
        <w:gridCol w:w="268"/>
        <w:gridCol w:w="268"/>
        <w:gridCol w:w="379"/>
      </w:tblGrid>
      <w:tr>
        <w:trPr/>
        <w:tc>
          <w:tcPr>
            <w:tcW w:w="5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10019</w:t>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1633 Broadway</w:t>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xml:space="preserve">New York, </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New York</w:t>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 xml:space="preserve">(212) 418-0100 </w:t>
      </w:r>
    </w:p>
    <w:p>
      <w:pPr>
        <w:pStyle w:val="TextBody"/>
        <w:bidi w:val="0"/>
        <w:spacing w:lineRule="auto" w:line="264" w:before="0" w:after="60"/>
        <w:jc w:val="center"/>
        <w:rPr/>
      </w:pPr>
      <w:r>
        <w:rPr>
          <w:rFonts w:ascii="Times New Roman;sans-serif" w:hAnsi="Times New Roman;sans-serif"/>
          <w:b w:val="false"/>
          <w:color w:val="000000"/>
          <w:sz w:val="18"/>
        </w:rPr>
        <w:t>(Registrant’s telephone number, including area code)</w:t>
      </w:r>
      <w:r>
        <w:rPr>
          <w:color w:val="000000"/>
        </w:rPr>
        <w:t> </w:t>
      </w:r>
    </w:p>
    <w:p>
      <w:pPr>
        <w:pStyle w:val="TextBody"/>
        <w:bidi w:val="0"/>
        <w:spacing w:lineRule="auto" w:line="264" w:before="0" w:after="0"/>
        <w:ind w:left="0" w:right="0" w:firstLine="36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306" w:type="dxa"/>
        <w:jc w:val="center"/>
        <w:tblInd w:w="0" w:type="dxa"/>
        <w:tblLayout w:type="fixed"/>
        <w:tblCellMar>
          <w:top w:w="28" w:type="dxa"/>
          <w:left w:w="28" w:type="dxa"/>
          <w:bottom w:w="28" w:type="dxa"/>
          <w:right w:w="28" w:type="dxa"/>
        </w:tblCellMar>
      </w:tblPr>
      <w:tblGrid>
        <w:gridCol w:w="1415"/>
        <w:gridCol w:w="1241"/>
        <w:gridCol w:w="1258"/>
        <w:gridCol w:w="109"/>
        <w:gridCol w:w="109"/>
        <w:gridCol w:w="109"/>
        <w:gridCol w:w="474"/>
        <w:gridCol w:w="474"/>
        <w:gridCol w:w="476"/>
        <w:gridCol w:w="109"/>
        <w:gridCol w:w="109"/>
        <w:gridCol w:w="109"/>
        <w:gridCol w:w="970"/>
        <w:gridCol w:w="970"/>
        <w:gridCol w:w="1374"/>
      </w:tblGrid>
      <w:tr>
        <w:trPr/>
        <w:tc>
          <w:tcPr>
            <w:tcW w:w="141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0" w:after="80"/>
        <w:ind w:left="0" w:right="0" w:firstLine="360"/>
        <w:jc w:val="left"/>
        <w:rPr/>
      </w:pPr>
      <w:r>
        <w:rPr>
          <w:rFonts w:ascii="Times New Roman;sans-serif" w:hAnsi="Times New Roman;sans-serif"/>
          <w:b w:val="false"/>
          <w:color w:val="000000"/>
          <w:sz w:val="18"/>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80"/>
        <w:ind w:left="0" w:right="0" w:firstLine="36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8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89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414"/>
        <w:gridCol w:w="414"/>
        <w:gridCol w:w="416"/>
        <w:gridCol w:w="109"/>
        <w:gridCol w:w="109"/>
        <w:gridCol w:w="109"/>
        <w:gridCol w:w="519"/>
        <w:gridCol w:w="519"/>
        <w:gridCol w:w="521"/>
        <w:gridCol w:w="109"/>
        <w:gridCol w:w="109"/>
        <w:gridCol w:w="109"/>
        <w:gridCol w:w="689"/>
        <w:gridCol w:w="689"/>
        <w:gridCol w:w="69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80"/>
              <w:jc w:val="left"/>
              <w:rPr>
                <w:color w:val="000000"/>
              </w:rPr>
            </w:pPr>
            <w:r>
              <w:rPr>
                <w:color w:val="000000"/>
              </w:rPr>
              <w:t>☒</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64" w:before="0" w:after="80"/>
        <w:ind w:left="0" w:right="0" w:firstLine="36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color w:val="000000"/>
        </w:rPr>
        <w:t>☐</w:t>
      </w:r>
    </w:p>
    <w:p>
      <w:pPr>
        <w:pStyle w:val="TextBody"/>
        <w:bidi w:val="0"/>
        <w:spacing w:lineRule="auto" w:line="264" w:before="0" w:after="80"/>
        <w:ind w:left="0" w:right="0" w:firstLine="36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 xml:space="preserve">No </w:t>
      </w:r>
      <w:r>
        <w:rPr>
          <w:color w:val="000000"/>
        </w:rPr>
        <w:t>☒</w:t>
      </w:r>
    </w:p>
    <w:tbl>
      <w:tblPr>
        <w:tblW w:w="7195" w:type="dxa"/>
        <w:jc w:val="center"/>
        <w:tblInd w:w="0" w:type="dxa"/>
        <w:tblLayout w:type="fixed"/>
        <w:tblCellMar>
          <w:top w:w="28" w:type="dxa"/>
          <w:left w:w="28" w:type="dxa"/>
          <w:bottom w:w="28" w:type="dxa"/>
          <w:right w:w="28" w:type="dxa"/>
        </w:tblCellMar>
      </w:tblPr>
      <w:tblGrid>
        <w:gridCol w:w="1417"/>
        <w:gridCol w:w="1245"/>
        <w:gridCol w:w="1252"/>
        <w:gridCol w:w="109"/>
        <w:gridCol w:w="109"/>
        <w:gridCol w:w="109"/>
        <w:gridCol w:w="863"/>
        <w:gridCol w:w="863"/>
        <w:gridCol w:w="1228"/>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outstanding as of July 28, 2023</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94,049,843</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8,817,088</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60,091,740</w:t>
            </w:r>
          </w:p>
        </w:tc>
      </w:tr>
    </w:tbl>
    <w:p>
      <w:pPr>
        <w:pStyle w:val="TextBody"/>
        <w:bidi w:val="0"/>
        <w:spacing w:lineRule="auto" w:line="288" w:before="0" w:after="0"/>
        <w:ind w:left="0" w:right="0" w:firstLine="54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46f92377ba44b8693b189f65eb6f485_13">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June 30, 2023 </w:t>
      </w:r>
    </w:p>
    <w:tbl>
      <w:tblPr>
        <w:tblW w:w="9493" w:type="dxa"/>
        <w:jc w:val="center"/>
        <w:tblInd w:w="0" w:type="dxa"/>
        <w:tblLayout w:type="fixed"/>
        <w:tblCellMar>
          <w:top w:w="28" w:type="dxa"/>
          <w:left w:w="28" w:type="dxa"/>
          <w:bottom w:w="28" w:type="dxa"/>
          <w:right w:w="28" w:type="dxa"/>
        </w:tblCellMar>
      </w:tblPr>
      <w:tblGrid>
        <w:gridCol w:w="337"/>
        <w:gridCol w:w="295"/>
        <w:gridCol w:w="298"/>
        <w:gridCol w:w="109"/>
        <w:gridCol w:w="109"/>
        <w:gridCol w:w="109"/>
        <w:gridCol w:w="2453"/>
        <w:gridCol w:w="2453"/>
        <w:gridCol w:w="2459"/>
        <w:gridCol w:w="255"/>
        <w:gridCol w:w="255"/>
        <w:gridCol w:w="361"/>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PART I -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41">
              <w:r>
                <w:rPr>
                  <w:rStyle w:val="InternetLink"/>
                  <w:rFonts w:ascii="Times New Roman;sans-serif" w:hAnsi="Times New Roman;sans-serif"/>
                  <w:b w:val="false"/>
                  <w:color w:val="0000FF"/>
                  <w:sz w:val="20"/>
                  <w:u w:val="single"/>
                </w:rPr>
                <w:t>FINANCIAL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37">
              <w:r>
                <w:rPr>
                  <w:rStyle w:val="InternetLink"/>
                  <w:rFonts w:ascii="Times New Roman;sans-serif" w:hAnsi="Times New Roman;sans-serif"/>
                  <w:b w:val="false"/>
                  <w:color w:val="0000FF"/>
                  <w:sz w:val="20"/>
                  <w:u w:val="single"/>
                </w:rPr>
                <w:t>Item 1.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37">
              <w:r>
                <w:rPr>
                  <w:rStyle w:val="InternetLink"/>
                  <w:rFonts w:ascii="Times New Roman;sans-serif" w:hAnsi="Times New Roman;sans-serif"/>
                  <w:b w:val="false"/>
                  <w:color w:val="0000FF"/>
                  <w:sz w:val="20"/>
                  <w:u w:val="single"/>
                </w:rPr>
                <w:t>Financial Statements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43">
              <w:r>
                <w:rPr>
                  <w:rStyle w:val="InternetLink"/>
                  <w:rFonts w:ascii="Times New Roman;sans-serif" w:hAnsi="Times New Roman;sans-serif"/>
                  <w:b w:val="false"/>
                  <w:color w:val="0000FF"/>
                  <w:sz w:val="20"/>
                  <w:u w:val="single"/>
                </w:rPr>
                <w:t>Condensed Consolidated Statements of Financial Condition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43">
              <w:r>
                <w:rPr>
                  <w:rStyle w:val="InternetLink"/>
                  <w:rFonts w:ascii="Times New Roman;sans-serif" w:hAnsi="Times New Roman;sans-serif"/>
                  <w:b w:val="false"/>
                  <w:strike w:val="false"/>
                  <w:dstrike w:val="false"/>
                  <w:color w:val="0000FF"/>
                  <w:sz w:val="20"/>
                  <w:u w:val="none"/>
                  <w:effect w:val="none"/>
                </w:rPr>
                <w:t>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46">
              <w:r>
                <w:rPr>
                  <w:rStyle w:val="InternetLink"/>
                  <w:rFonts w:ascii="Times New Roman;sans-serif" w:hAnsi="Times New Roman;sans-serif"/>
                  <w:b w:val="false"/>
                  <w:color w:val="0000FF"/>
                  <w:sz w:val="20"/>
                  <w:u w:val="single"/>
                </w:rPr>
                <w:t>Condensed Consolidated Statements of Comprehensive Income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46">
              <w:r>
                <w:rPr>
                  <w:rStyle w:val="InternetLink"/>
                  <w:rFonts w:ascii="Times New Roman;sans-serif" w:hAnsi="Times New Roman;sans-serif"/>
                  <w:b w:val="false"/>
                  <w:strike w:val="false"/>
                  <w:dstrike w:val="false"/>
                  <w:color w:val="0000FF"/>
                  <w:sz w:val="20"/>
                  <w:u w:val="none"/>
                  <w:effect w:val="none"/>
                </w:rPr>
                <w:t>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49">
              <w:r>
                <w:rPr>
                  <w:rStyle w:val="InternetLink"/>
                  <w:rFonts w:ascii="Times New Roman;sans-serif" w:hAnsi="Times New Roman;sans-serif"/>
                  <w:b w:val="false"/>
                  <w:color w:val="0000FF"/>
                  <w:sz w:val="20"/>
                  <w:u w:val="single"/>
                </w:rPr>
                <w:t>Condensed Consolidated Statements of Changes in Equity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49">
              <w:r>
                <w:rPr>
                  <w:rStyle w:val="InternetLink"/>
                  <w:rFonts w:ascii="Times New Roman;sans-serif" w:hAnsi="Times New Roman;sans-serif"/>
                  <w:b w:val="false"/>
                  <w:strike w:val="false"/>
                  <w:dstrike w:val="false"/>
                  <w:color w:val="0000FF"/>
                  <w:sz w:val="20"/>
                  <w:u w:val="none"/>
                  <w:effect w:val="none"/>
                </w:rPr>
                <w:t>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52">
              <w:r>
                <w:rPr>
                  <w:rStyle w:val="InternetLink"/>
                  <w:rFonts w:ascii="Times New Roman;sans-serif" w:hAnsi="Times New Roman;sans-serif"/>
                  <w:b w:val="false"/>
                  <w:color w:val="0000FF"/>
                  <w:sz w:val="20"/>
                  <w:u w:val="single"/>
                </w:rPr>
                <w:t>Condensed Consolidated Statements of Cash Flows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52">
              <w:r>
                <w:rPr>
                  <w:rStyle w:val="InternetLink"/>
                  <w:rFonts w:ascii="Times New Roman;sans-serif" w:hAnsi="Times New Roman;sans-serif"/>
                  <w:b w:val="false"/>
                  <w:strike w:val="false"/>
                  <w:dstrike w:val="false"/>
                  <w:color w:val="0000FF"/>
                  <w:sz w:val="20"/>
                  <w:u w:val="none"/>
                  <w:effect w:val="none"/>
                </w:rPr>
                <w:t>8</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55">
              <w:r>
                <w:rPr>
                  <w:rStyle w:val="InternetLink"/>
                  <w:rFonts w:ascii="Times New Roman;sans-serif" w:hAnsi="Times New Roman;sans-serif"/>
                  <w:b w:val="false"/>
                  <w:color w:val="0000FF"/>
                  <w:sz w:val="20"/>
                  <w:u w:val="single"/>
                </w:rPr>
                <w:t>Notes to Condensed Consolidated Financial Statements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55">
              <w:r>
                <w:rPr>
                  <w:rStyle w:val="InternetLink"/>
                  <w:rFonts w:ascii="Times New Roman;sans-serif" w:hAnsi="Times New Roman;sans-serif"/>
                  <w:b w:val="false"/>
                  <w:strike w:val="false"/>
                  <w:dstrike w:val="false"/>
                  <w:color w:val="0000FF"/>
                  <w:sz w:val="20"/>
                  <w:u w:val="none"/>
                  <w:effect w:val="none"/>
                </w:rPr>
                <w:t>10</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163">
              <w:r>
                <w:rPr>
                  <w:rStyle w:val="InternetLink"/>
                  <w:rFonts w:ascii="Times New Roman;sans-serif" w:hAnsi="Times New Roman;sans-serif"/>
                  <w:b w:val="false"/>
                  <w:color w:val="0000FF"/>
                  <w:sz w:val="20"/>
                  <w:u w:val="single"/>
                </w:rPr>
                <w:t>Item 2.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16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163">
              <w:r>
                <w:rPr>
                  <w:rStyle w:val="InternetLink"/>
                  <w:rFonts w:ascii="Times New Roman;sans-serif" w:hAnsi="Times New Roman;sans-serif"/>
                  <w:b w:val="false"/>
                  <w:strike w:val="false"/>
                  <w:dstrike w:val="false"/>
                  <w:color w:val="0000FF"/>
                  <w:sz w:val="20"/>
                  <w:u w:val="none"/>
                  <w:effect w:val="none"/>
                </w:rPr>
                <w:t>47</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11">
              <w:r>
                <w:rPr>
                  <w:rStyle w:val="InternetLink"/>
                  <w:rFonts w:ascii="Times New Roman;sans-serif" w:hAnsi="Times New Roman;sans-serif"/>
                  <w:b w:val="false"/>
                  <w:color w:val="0000FF"/>
                  <w:sz w:val="20"/>
                  <w:u w:val="single"/>
                </w:rPr>
                <w:t>Item 3.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11">
              <w:r>
                <w:rPr>
                  <w:rStyle w:val="InternetLink"/>
                  <w:rFonts w:ascii="Times New Roman;sans-serif" w:hAnsi="Times New Roman;sans-serif"/>
                  <w:b w:val="false"/>
                  <w:color w:val="0000FF"/>
                  <w:sz w:val="20"/>
                  <w:u w:val="single"/>
                </w:rPr>
                <w:t>Quantitative and Qualitative Disclosures About Market Risk</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211">
              <w:r>
                <w:rPr>
                  <w:rStyle w:val="InternetLink"/>
                  <w:rFonts w:ascii="Times New Roman;sans-serif" w:hAnsi="Times New Roman;sans-serif"/>
                  <w:b w:val="false"/>
                  <w:strike w:val="false"/>
                  <w:dstrike w:val="false"/>
                  <w:color w:val="0000FF"/>
                  <w:sz w:val="20"/>
                  <w:u w:val="none"/>
                  <w:effect w:val="none"/>
                </w:rPr>
                <w:t>76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26">
              <w:r>
                <w:rPr>
                  <w:rStyle w:val="InternetLink"/>
                  <w:rFonts w:ascii="Times New Roman;sans-serif" w:hAnsi="Times New Roman;sans-serif"/>
                  <w:b w:val="false"/>
                  <w:color w:val="0000FF"/>
                  <w:sz w:val="20"/>
                  <w:u w:val="single"/>
                </w:rPr>
                <w:t>Item 4.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26">
              <w:r>
                <w:rPr>
                  <w:rStyle w:val="InternetLink"/>
                  <w:rFonts w:ascii="Times New Roman;sans-serif" w:hAnsi="Times New Roman;sans-serif"/>
                  <w:b w:val="false"/>
                  <w:color w:val="0000FF"/>
                  <w:sz w:val="20"/>
                  <w:u w:val="single"/>
                </w:rPr>
                <w:t>Controls and Procedures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226">
              <w:r>
                <w:rPr>
                  <w:rStyle w:val="InternetLink"/>
                  <w:rFonts w:ascii="Times New Roman;sans-serif" w:hAnsi="Times New Roman;sans-serif"/>
                  <w:b w:val="false"/>
                  <w:strike w:val="false"/>
                  <w:dstrike w:val="false"/>
                  <w:color w:val="0000FF"/>
                  <w:sz w:val="20"/>
                  <w:u w:val="none"/>
                  <w:effect w:val="none"/>
                </w:rPr>
                <w:t>78</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16">
              <w:r>
                <w:rPr>
                  <w:rStyle w:val="InternetLink"/>
                  <w:rFonts w:ascii="Times New Roman;sans-serif" w:hAnsi="Times New Roman;sans-serif"/>
                  <w:b w:val="false"/>
                  <w:color w:val="0000FF"/>
                  <w:sz w:val="20"/>
                  <w:u w:val="single"/>
                </w:rPr>
                <w:t>PART II -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16">
              <w:r>
                <w:rPr>
                  <w:rStyle w:val="InternetLink"/>
                  <w:rFonts w:ascii="Times New Roman;sans-serif" w:hAnsi="Times New Roman;sans-serif"/>
                  <w:b w:val="false"/>
                  <w:color w:val="0000FF"/>
                  <w:sz w:val="20"/>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44">
              <w:r>
                <w:rPr>
                  <w:rStyle w:val="InternetLink"/>
                  <w:rFonts w:ascii="Times New Roman;sans-serif" w:hAnsi="Times New Roman;sans-serif"/>
                  <w:b w:val="false"/>
                  <w:color w:val="0000FF"/>
                  <w:sz w:val="20"/>
                  <w:u w:val="single"/>
                </w:rPr>
                <w:t>Item 1.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44">
              <w:r>
                <w:rPr>
                  <w:rStyle w:val="InternetLink"/>
                  <w:rFonts w:ascii="Times New Roman;sans-serif" w:hAnsi="Times New Roman;sans-serif"/>
                  <w:b w:val="false"/>
                  <w:color w:val="0000FF"/>
                  <w:sz w:val="20"/>
                  <w:u w:val="single"/>
                </w:rPr>
                <w:t>Legal Proceedings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244">
              <w:r>
                <w:rPr>
                  <w:rStyle w:val="InternetLink"/>
                  <w:rFonts w:ascii="Times New Roman;sans-serif" w:hAnsi="Times New Roman;sans-serif"/>
                  <w:b w:val="false"/>
                  <w:strike w:val="false"/>
                  <w:dstrike w:val="false"/>
                  <w:color w:val="0000FF"/>
                  <w:sz w:val="20"/>
                  <w:u w:val="none"/>
                  <w:effect w:val="none"/>
                </w:rPr>
                <w:t>79</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47">
              <w:r>
                <w:rPr>
                  <w:rStyle w:val="InternetLink"/>
                  <w:rFonts w:ascii="Times New Roman;sans-serif" w:hAnsi="Times New Roman;sans-serif"/>
                  <w:b w:val="false"/>
                  <w:color w:val="0000FF"/>
                  <w:sz w:val="20"/>
                  <w:u w:val="single"/>
                </w:rPr>
                <w:t>Item 1A.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47">
              <w:r>
                <w:rPr>
                  <w:rStyle w:val="InternetLink"/>
                  <w:rFonts w:ascii="Times New Roman;sans-serif" w:hAnsi="Times New Roman;sans-serif"/>
                  <w:b w:val="false"/>
                  <w:color w:val="0000FF"/>
                  <w:sz w:val="20"/>
                  <w:u w:val="single"/>
                </w:rPr>
                <w:t>Risk Factors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247">
              <w:r>
                <w:rPr>
                  <w:rStyle w:val="InternetLink"/>
                  <w:rFonts w:ascii="Times New Roman;sans-serif" w:hAnsi="Times New Roman;sans-serif"/>
                  <w:b w:val="false"/>
                  <w:strike w:val="false"/>
                  <w:dstrike w:val="false"/>
                  <w:color w:val="0000FF"/>
                  <w:sz w:val="20"/>
                  <w:u w:val="none"/>
                  <w:effect w:val="none"/>
                </w:rPr>
                <w:t>79</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50">
              <w:r>
                <w:rPr>
                  <w:rStyle w:val="InternetLink"/>
                  <w:rFonts w:ascii="Times New Roman;sans-serif" w:hAnsi="Times New Roman;sans-serif"/>
                  <w:b w:val="false"/>
                  <w:color w:val="0000FF"/>
                  <w:sz w:val="20"/>
                  <w:u w:val="single"/>
                </w:rPr>
                <w:t>Item 2.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50">
              <w:r>
                <w:rPr>
                  <w:rStyle w:val="InternetLink"/>
                  <w:rFonts w:ascii="Times New Roman;sans-serif" w:hAnsi="Times New Roman;sans-serif"/>
                  <w:b w:val="false"/>
                  <w:color w:val="0000FF"/>
                  <w:sz w:val="20"/>
                  <w:u w:val="single"/>
                </w:rPr>
                <w:t>Unregistered Sales of Equity Securities and Use of Proceeds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250">
              <w:r>
                <w:rPr>
                  <w:rStyle w:val="InternetLink"/>
                  <w:rFonts w:ascii="Times New Roman;sans-serif" w:hAnsi="Times New Roman;sans-serif"/>
                  <w:b w:val="false"/>
                  <w:strike w:val="false"/>
                  <w:dstrike w:val="false"/>
                  <w:color w:val="0000FF"/>
                  <w:sz w:val="20"/>
                  <w:u w:val="none"/>
                  <w:effect w:val="none"/>
                </w:rPr>
                <w:t>79</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53">
              <w:r>
                <w:rPr>
                  <w:rStyle w:val="InternetLink"/>
                  <w:rFonts w:ascii="Times New Roman;sans-serif" w:hAnsi="Times New Roman;sans-serif"/>
                  <w:b w:val="false"/>
                  <w:color w:val="0000FF"/>
                  <w:sz w:val="20"/>
                  <w:u w:val="single"/>
                </w:rPr>
                <w:t>Item 3.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53">
              <w:r>
                <w:rPr>
                  <w:rStyle w:val="InternetLink"/>
                  <w:rFonts w:ascii="Times New Roman;sans-serif" w:hAnsi="Times New Roman;sans-serif"/>
                  <w:b w:val="false"/>
                  <w:color w:val="0000FF"/>
                  <w:sz w:val="20"/>
                  <w:u w:val="single"/>
                </w:rPr>
                <w:t>Defaults Upon Senior Securities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253">
              <w:r>
                <w:rPr>
                  <w:rStyle w:val="InternetLink"/>
                  <w:rFonts w:ascii="Times New Roman;sans-serif" w:hAnsi="Times New Roman;sans-serif"/>
                  <w:b w:val="false"/>
                  <w:strike w:val="false"/>
                  <w:dstrike w:val="false"/>
                  <w:color w:val="0000FF"/>
                  <w:sz w:val="20"/>
                  <w:u w:val="none"/>
                  <w:effect w:val="none"/>
                </w:rPr>
                <w:t>80</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56">
              <w:r>
                <w:rPr>
                  <w:rStyle w:val="InternetLink"/>
                  <w:rFonts w:ascii="Times New Roman;sans-serif" w:hAnsi="Times New Roman;sans-serif"/>
                  <w:b w:val="false"/>
                  <w:color w:val="0000FF"/>
                  <w:sz w:val="20"/>
                  <w:u w:val="single"/>
                </w:rPr>
                <w:t>Item 4.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56">
              <w:r>
                <w:rPr>
                  <w:rStyle w:val="InternetLink"/>
                  <w:rFonts w:ascii="Times New Roman;sans-serif" w:hAnsi="Times New Roman;sans-serif"/>
                  <w:b w:val="false"/>
                  <w:color w:val="0000FF"/>
                  <w:sz w:val="20"/>
                  <w:u w:val="single"/>
                </w:rPr>
                <w:t>Mine Safety Disclosures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256">
              <w:r>
                <w:rPr>
                  <w:rStyle w:val="InternetLink"/>
                  <w:rFonts w:ascii="Times New Roman;sans-serif" w:hAnsi="Times New Roman;sans-serif"/>
                  <w:b w:val="false"/>
                  <w:strike w:val="false"/>
                  <w:dstrike w:val="false"/>
                  <w:color w:val="0000FF"/>
                  <w:sz w:val="20"/>
                  <w:u w:val="none"/>
                  <w:effect w:val="none"/>
                </w:rPr>
                <w:t>80</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59">
              <w:r>
                <w:rPr>
                  <w:rStyle w:val="InternetLink"/>
                  <w:rFonts w:ascii="Times New Roman;sans-serif" w:hAnsi="Times New Roman;sans-serif"/>
                  <w:b w:val="false"/>
                  <w:color w:val="0000FF"/>
                  <w:sz w:val="20"/>
                  <w:u w:val="single"/>
                </w:rPr>
                <w:t>Item 5.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259">
              <w:r>
                <w:rPr>
                  <w:rStyle w:val="InternetLink"/>
                  <w:rFonts w:ascii="Times New Roman;sans-serif" w:hAnsi="Times New Roman;sans-serif"/>
                  <w:b w:val="false"/>
                  <w:color w:val="0000FF"/>
                  <w:sz w:val="20"/>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259">
              <w:r>
                <w:rPr>
                  <w:rStyle w:val="InternetLink"/>
                  <w:rFonts w:ascii="Times New Roman;sans-serif" w:hAnsi="Times New Roman;sans-serif"/>
                  <w:b w:val="false"/>
                  <w:strike w:val="false"/>
                  <w:dstrike w:val="false"/>
                  <w:color w:val="0000FF"/>
                  <w:sz w:val="20"/>
                  <w:u w:val="none"/>
                  <w:effect w:val="none"/>
                </w:rPr>
                <w:t>80</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301">
              <w:r>
                <w:rPr>
                  <w:rStyle w:val="InternetLink"/>
                  <w:rFonts w:ascii="Times New Roman;sans-serif" w:hAnsi="Times New Roman;sans-serif"/>
                  <w:b w:val="false"/>
                  <w:color w:val="0000FF"/>
                  <w:sz w:val="20"/>
                  <w:u w:val="single"/>
                </w:rPr>
                <w:t>Item 6.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301">
              <w:r>
                <w:rPr>
                  <w:rStyle w:val="InternetLink"/>
                  <w:rFonts w:ascii="Times New Roman;sans-serif" w:hAnsi="Times New Roman;sans-serif"/>
                  <w:b w:val="false"/>
                  <w:color w:val="0000FF"/>
                  <w:sz w:val="20"/>
                  <w:u w:val="single"/>
                </w:rPr>
                <w:t>Exhibits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301">
              <w:r>
                <w:rPr>
                  <w:rStyle w:val="InternetLink"/>
                  <w:rFonts w:ascii="Times New Roman;sans-serif" w:hAnsi="Times New Roman;sans-serif"/>
                  <w:b w:val="false"/>
                  <w:strike w:val="false"/>
                  <w:dstrike w:val="false"/>
                  <w:color w:val="0000FF"/>
                  <w:sz w:val="20"/>
                  <w:u w:val="none"/>
                  <w:effect w:val="none"/>
                </w:rPr>
                <w:t>80</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307">
              <w:r>
                <w:rPr>
                  <w:rStyle w:val="InternetLink"/>
                  <w:rFonts w:ascii="Times New Roman;sans-serif" w:hAnsi="Times New Roman;sans-serif"/>
                  <w:b w:val="false"/>
                  <w:color w:val="0000FF"/>
                  <w:sz w:val="20"/>
                  <w:u w:val="single"/>
                </w:rPr>
                <w:t>SIGNATURES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307">
              <w:r>
                <w:rPr>
                  <w:rStyle w:val="InternetLink"/>
                  <w:rFonts w:ascii="Times New Roman;sans-serif" w:hAnsi="Times New Roman;sans-serif"/>
                  <w:b w:val="false"/>
                  <w:strike w:val="false"/>
                  <w:dstrike w:val="false"/>
                  <w:color w:val="0000FF"/>
                  <w:sz w:val="20"/>
                  <w:u w:val="none"/>
                  <w:effect w:val="none"/>
                </w:rPr>
                <w:t>82</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46f92377ba44b8693b189f65eb6f485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Index to Condensed Consolidated Financial Statements</w:t>
      </w:r>
    </w:p>
    <w:p>
      <w:pPr>
        <w:pStyle w:val="TextBody"/>
        <w:bidi w:val="0"/>
        <w:spacing w:lineRule="auto" w:line="288" w:before="0" w:after="0"/>
        <w:ind w:left="0" w:right="0" w:firstLine="360"/>
        <w:jc w:val="left"/>
        <w:rPr>
          <w:color w:val="000000"/>
        </w:rPr>
      </w:pPr>
      <w:r>
        <w:rPr>
          <w:color w:val="000000"/>
        </w:rPr>
        <w:t> </w:t>
      </w:r>
    </w:p>
    <w:tbl>
      <w:tblPr>
        <w:tblW w:w="7171" w:type="dxa"/>
        <w:jc w:val="center"/>
        <w:tblInd w:w="0" w:type="dxa"/>
        <w:tblLayout w:type="fixed"/>
        <w:tblCellMar>
          <w:top w:w="28" w:type="dxa"/>
          <w:left w:w="28" w:type="dxa"/>
          <w:bottom w:w="28" w:type="dxa"/>
          <w:right w:w="28" w:type="dxa"/>
        </w:tblCellMar>
      </w:tblPr>
      <w:tblGrid>
        <w:gridCol w:w="2280"/>
        <w:gridCol w:w="2005"/>
        <w:gridCol w:w="2015"/>
        <w:gridCol w:w="255"/>
        <w:gridCol w:w="255"/>
        <w:gridCol w:w="361"/>
      </w:tblGrid>
      <w:tr>
        <w:trPr/>
        <w:tc>
          <w:tcPr>
            <w:tcW w:w="2280"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43">
              <w:r>
                <w:rPr>
                  <w:rStyle w:val="InternetLink"/>
                  <w:rFonts w:ascii="Times New Roman;sans-serif" w:hAnsi="Times New Roman;sans-serif"/>
                  <w:b w:val="false"/>
                  <w:color w:val="0000FF"/>
                  <w:sz w:val="20"/>
                  <w:u w:val="single"/>
                </w:rPr>
                <w:t>Condensed Consolidated Statements of Financial Condition (Unaudited)</w:t>
              </w:r>
            </w:hyperlink>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846f92377ba44b8693b189f65eb6f485_43">
              <w:r>
                <w:rPr>
                  <w:rStyle w:val="InternetLink"/>
                  <w:rFonts w:ascii="Times New Roman;sans-serif" w:hAnsi="Times New Roman;sans-serif"/>
                  <w:b w:val="false"/>
                  <w:color w:val="0000FF"/>
                  <w:sz w:val="20"/>
                  <w:u w:val="single"/>
                </w:rPr>
                <w:t>3</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46">
              <w:r>
                <w:rPr>
                  <w:rStyle w:val="InternetLink"/>
                  <w:rFonts w:ascii="Times New Roman;sans-serif" w:hAnsi="Times New Roman;sans-serif"/>
                  <w:b w:val="false"/>
                  <w:color w:val="0000FF"/>
                  <w:sz w:val="20"/>
                  <w:u w:val="single"/>
                </w:rPr>
                <w:t>Condensed Consolidated Statements of Comprehensive Income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46">
              <w:r>
                <w:rPr>
                  <w:rStyle w:val="InternetLink"/>
                  <w:rFonts w:ascii="Times New Roman;sans-serif" w:hAnsi="Times New Roman;sans-serif"/>
                  <w:b w:val="false"/>
                  <w:color w:val="0000FF"/>
                  <w:sz w:val="20"/>
                  <w:u w:val="single"/>
                </w:rPr>
                <w:t>5</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49">
              <w:r>
                <w:rPr>
                  <w:rStyle w:val="InternetLink"/>
                  <w:rFonts w:ascii="Times New Roman;sans-serif" w:hAnsi="Times New Roman;sans-serif"/>
                  <w:b w:val="false"/>
                  <w:color w:val="0000FF"/>
                  <w:sz w:val="20"/>
                  <w:u w:val="single"/>
                </w:rPr>
                <w:t>Condensed Consolidated Statements of Changes in Equity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49">
              <w:r>
                <w:rPr>
                  <w:rStyle w:val="InternetLink"/>
                  <w:rFonts w:ascii="Times New Roman;sans-serif" w:hAnsi="Times New Roman;sans-serif"/>
                  <w:b w:val="false"/>
                  <w:color w:val="0000FF"/>
                  <w:sz w:val="20"/>
                  <w:u w:val="single"/>
                </w:rPr>
                <w:t>6</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52">
              <w:r>
                <w:rPr>
                  <w:rStyle w:val="InternetLink"/>
                  <w:rFonts w:ascii="Times New Roman;sans-serif" w:hAnsi="Times New Roman;sans-serif"/>
                  <w:b w:val="false"/>
                  <w:color w:val="0000FF"/>
                  <w:sz w:val="20"/>
                  <w:u w:val="single"/>
                </w:rPr>
                <w:t>Condensed Consolidated Statements of Cash Flows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52">
              <w:r>
                <w:rPr>
                  <w:rStyle w:val="InternetLink"/>
                  <w:rFonts w:ascii="Times New Roman;sans-serif" w:hAnsi="Times New Roman;sans-serif"/>
                  <w:b w:val="false"/>
                  <w:color w:val="0000FF"/>
                  <w:sz w:val="20"/>
                  <w:u w:val="single"/>
                </w:rPr>
                <w:t>8</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6f92377ba44b8693b189f65eb6f485_55">
              <w:r>
                <w:rPr>
                  <w:rStyle w:val="InternetLink"/>
                  <w:rFonts w:ascii="Times New Roman;sans-serif" w:hAnsi="Times New Roman;sans-serif"/>
                  <w:b w:val="false"/>
                  <w:color w:val="0000FF"/>
                  <w:sz w:val="20"/>
                  <w:u w:val="single"/>
                </w:rPr>
                <w:t>Notes to Condensed Consolidated Financial Statements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f92377ba44b8693b189f65eb6f485_55">
              <w:r>
                <w:rPr>
                  <w:rStyle w:val="InternetLink"/>
                  <w:rFonts w:ascii="Times New Roman;sans-serif" w:hAnsi="Times New Roman;sans-serif"/>
                  <w:b w:val="false"/>
                  <w:color w:val="0000FF"/>
                  <w:sz w:val="20"/>
                  <w:u w:val="single"/>
                </w:rPr>
                <w:t>10</w:t>
              </w:r>
            </w:hyperlink>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46f92377ba44b8693b189f65eb6f485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Financial Condition (Unaudited)</w:t>
      </w:r>
    </w:p>
    <w:tbl>
      <w:tblPr>
        <w:tblW w:w="10205" w:type="dxa"/>
        <w:jc w:val="center"/>
        <w:tblInd w:w="0" w:type="dxa"/>
        <w:tblLayout w:type="fixed"/>
        <w:tblCellMar>
          <w:top w:w="28" w:type="dxa"/>
          <w:left w:w="28" w:type="dxa"/>
          <w:bottom w:w="28" w:type="dxa"/>
          <w:right w:w="28" w:type="dxa"/>
        </w:tblCellMar>
      </w:tblPr>
      <w:tblGrid>
        <w:gridCol w:w="2525"/>
        <w:gridCol w:w="2222"/>
        <w:gridCol w:w="2225"/>
        <w:gridCol w:w="109"/>
        <w:gridCol w:w="109"/>
        <w:gridCol w:w="109"/>
        <w:gridCol w:w="196"/>
        <w:gridCol w:w="961"/>
        <w:gridCol w:w="109"/>
        <w:gridCol w:w="109"/>
        <w:gridCol w:w="109"/>
        <w:gridCol w:w="109"/>
        <w:gridCol w:w="196"/>
        <w:gridCol w:w="961"/>
        <w:gridCol w:w="156"/>
      </w:tblGrid>
      <w:tr>
        <w:trPr/>
        <w:tc>
          <w:tcPr>
            <w:tcW w:w="2525"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6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981,580 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1,187,674 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1,115,185 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3,667,481 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owned and pledged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963,071 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capitalized software (net of accumulated depreciation of $341,375 and $460,763 as of June 30,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1,148,926 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(net of accumulated amortization of $350,053 and $318,013 as of June 30,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($73,435 and $78,965, at fair value, as of June 30,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13,389,684 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10,583,241 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1,060,432 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627,549 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to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sold, not yet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4,196,974 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 agreement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448,635 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1,795,952 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11,837,383 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8,931,814 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Virtu Financial Inc.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$0.00001), Authorized — 1,000,000,000 and 1,000,000,000 shares, Issued — 134,725,247 and 133,071,754 shares, Outstanding — 94,004,647 and 98,549,464 shares at June 30,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(par value $0.00001), Authorized — 175,000,000 and 175,000,000 shares, Issued and Outstanding — 0 and 0 shares at June 30,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(par value $0.00001), Authorized — 90,000,000 and 90,000,000 shares, Issued and Outstanding — 8,856,531 and 9,030,066 shares at June 30,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(par value $0.00001), Authorized — 175,000,000 and 175,000,000 shares, Issued and Outstanding — 60,091,740 and 60,091,740 shares at June 30,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40,720,600 and 34,522,290 shares at June 30,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(954,637)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1,292,613 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 (accumulated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972,317 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Virtu Financial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1,341,899 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277,201 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309,528 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46f92377ba44b8693b189f65eb6f485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Financial Condition (Unaudited)</w:t>
      </w:r>
    </w:p>
    <w:tbl>
      <w:tblPr>
        <w:tblW w:w="5901" w:type="dxa"/>
        <w:jc w:val="center"/>
        <w:tblInd w:w="0" w:type="dxa"/>
        <w:tblLayout w:type="fixed"/>
        <w:tblCellMar>
          <w:top w:w="28" w:type="dxa"/>
          <w:left w:w="28" w:type="dxa"/>
          <w:bottom w:w="28" w:type="dxa"/>
          <w:right w:w="28" w:type="dxa"/>
        </w:tblCellMar>
      </w:tblPr>
      <w:tblGrid>
        <w:gridCol w:w="967"/>
        <w:gridCol w:w="851"/>
        <w:gridCol w:w="852"/>
        <w:gridCol w:w="109"/>
        <w:gridCol w:w="109"/>
        <w:gridCol w:w="109"/>
        <w:gridCol w:w="196"/>
        <w:gridCol w:w="961"/>
        <w:gridCol w:w="109"/>
        <w:gridCol w:w="109"/>
        <w:gridCol w:w="109"/>
        <w:gridCol w:w="109"/>
        <w:gridCol w:w="196"/>
        <w:gridCol w:w="96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1,651,427 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13,389,684 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10,583,241 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46f92377ba44b8693b189f65eb6f485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(Unaudited)</w:t>
      </w:r>
    </w:p>
    <w:tbl>
      <w:tblPr>
        <w:tblW w:w="10205" w:type="dxa"/>
        <w:jc w:val="center"/>
        <w:tblInd w:w="0" w:type="dxa"/>
        <w:tblLayout w:type="fixed"/>
        <w:tblCellMar>
          <w:top w:w="28" w:type="dxa"/>
          <w:left w:w="28" w:type="dxa"/>
          <w:bottom w:w="28" w:type="dxa"/>
          <w:right w:w="28" w:type="dxa"/>
        </w:tblCellMar>
      </w:tblPr>
      <w:tblGrid>
        <w:gridCol w:w="1514"/>
        <w:gridCol w:w="1328"/>
        <w:gridCol w:w="1331"/>
        <w:gridCol w:w="109"/>
        <w:gridCol w:w="109"/>
        <w:gridCol w:w="109"/>
        <w:gridCol w:w="202"/>
        <w:gridCol w:w="759"/>
        <w:gridCol w:w="109"/>
        <w:gridCol w:w="109"/>
        <w:gridCol w:w="109"/>
        <w:gridCol w:w="109"/>
        <w:gridCol w:w="221"/>
        <w:gridCol w:w="830"/>
        <w:gridCol w:w="109"/>
        <w:gridCol w:w="109"/>
        <w:gridCol w:w="109"/>
        <w:gridCol w:w="109"/>
        <w:gridCol w:w="202"/>
        <w:gridCol w:w="759"/>
        <w:gridCol w:w="109"/>
        <w:gridCol w:w="109"/>
        <w:gridCol w:w="109"/>
        <w:gridCol w:w="109"/>
        <w:gridCol w:w="221"/>
        <w:gridCol w:w="830"/>
        <w:gridCol w:w="109"/>
        <w:gridCol w:w="109"/>
        <w:gridCol w:w="155"/>
      </w:tblGrid>
      <w:tr>
        <w:trPr/>
        <w:tc>
          <w:tcPr>
            <w:tcW w:w="151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and 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compensation and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 and acquired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issue cost related to debt refinancing, prepayment and commitment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advisory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94,973,489 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104,960,826 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96,376,926 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107,133,079 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94,973,489 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105,478,278 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96,376,926 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107,759,784 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translation adjustment,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unrealized cash flow hedges gain (loss),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ind w:left="0" w:right="0" w:firstLine="405"/>
        <w:jc w:val="left"/>
        <w:rPr/>
      </w:pPr>
      <w:hyperlink w:anchor="i846f92377ba44b8693b189f65eb6f485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 (Unaudited)</w:t>
      </w:r>
    </w:p>
    <w:p>
      <w:pPr>
        <w:pStyle w:val="TextBody"/>
        <w:bidi w:val="0"/>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Three and Six Months Ended June 30, 2023, and 2022</w:t>
      </w:r>
    </w:p>
    <w:tbl>
      <w:tblPr>
        <w:tblW w:w="17282"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68"/>
        <w:gridCol w:w="368"/>
        <w:gridCol w:w="151"/>
        <w:gridCol w:w="109"/>
        <w:gridCol w:w="109"/>
        <w:gridCol w:w="109"/>
        <w:gridCol w:w="201"/>
        <w:gridCol w:w="237"/>
        <w:gridCol w:w="133"/>
        <w:gridCol w:w="109"/>
        <w:gridCol w:w="109"/>
        <w:gridCol w:w="109"/>
        <w:gridCol w:w="308"/>
        <w:gridCol w:w="308"/>
        <w:gridCol w:w="151"/>
        <w:gridCol w:w="109"/>
        <w:gridCol w:w="109"/>
        <w:gridCol w:w="109"/>
        <w:gridCol w:w="166"/>
        <w:gridCol w:w="406"/>
        <w:gridCol w:w="109"/>
        <w:gridCol w:w="109"/>
        <w:gridCol w:w="109"/>
        <w:gridCol w:w="109"/>
        <w:gridCol w:w="338"/>
        <w:gridCol w:w="338"/>
        <w:gridCol w:w="151"/>
        <w:gridCol w:w="109"/>
        <w:gridCol w:w="109"/>
        <w:gridCol w:w="109"/>
        <w:gridCol w:w="201"/>
        <w:gridCol w:w="237"/>
        <w:gridCol w:w="133"/>
        <w:gridCol w:w="109"/>
        <w:gridCol w:w="109"/>
        <w:gridCol w:w="109"/>
        <w:gridCol w:w="345"/>
        <w:gridCol w:w="346"/>
        <w:gridCol w:w="151"/>
        <w:gridCol w:w="109"/>
        <w:gridCol w:w="109"/>
        <w:gridCol w:w="109"/>
        <w:gridCol w:w="166"/>
        <w:gridCol w:w="631"/>
        <w:gridCol w:w="109"/>
        <w:gridCol w:w="109"/>
        <w:gridCol w:w="109"/>
        <w:gridCol w:w="109"/>
        <w:gridCol w:w="166"/>
        <w:gridCol w:w="616"/>
        <w:gridCol w:w="109"/>
        <w:gridCol w:w="109"/>
        <w:gridCol w:w="109"/>
        <w:gridCol w:w="109"/>
        <w:gridCol w:w="174"/>
        <w:gridCol w:w="552"/>
        <w:gridCol w:w="115"/>
        <w:gridCol w:w="327"/>
        <w:gridCol w:w="205"/>
        <w:gridCol w:w="576"/>
        <w:gridCol w:w="135"/>
        <w:gridCol w:w="327"/>
        <w:gridCol w:w="166"/>
        <w:gridCol w:w="616"/>
        <w:gridCol w:w="109"/>
        <w:gridCol w:w="327"/>
        <w:gridCol w:w="180"/>
        <w:gridCol w:w="571"/>
        <w:gridCol w:w="120"/>
        <w:gridCol w:w="327"/>
        <w:gridCol w:w="166"/>
        <w:gridCol w:w="61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D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Virtu Financial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Equity</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(in thousands, except share and interest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133,071,754 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9,030,066 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(34,522,290)</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(954,637)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1,292,613 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972,317 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31,604 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1,341,899 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309,528 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1,651,427 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2,393,550 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Class C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(21,498)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(902,947)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(3,932,499)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(75,568)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(17,650)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57,881 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52,202 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110,083 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exchange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change in unrealized cash flow hedges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(7,834)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(5,334)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($0.24 per share of Class A common stock and participating Restricted Stock Unit and Restricted Stock Awards) and distributions from Virtu Financial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(24,696)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(27,308)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in connection with employee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152,037 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Virtu Financial Units and corresponding number of Class C common stock in connection with employee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(152,037)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134,714,394 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8,856,531 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(38,454,789)</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(1,030,205)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1,323,219 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987,852 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24,750 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1,305,618 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329,756 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1,635,374 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(9,147)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(2,265,811)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(41,744)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16,702 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change in unrealized cash flow hedges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4,879 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($0.24 per share of Class A and Class B common stock and participating Restricted Stock Unit and Restricted Stock Awards)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(23,908)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(69,744)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(93,652)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134,725,247 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8,856,531 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(40,720,600)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(1,071,784)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1,335,269 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980,481 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31,132 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1,275,100 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277,201 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1,552,301 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46f92377ba44b8693b189f65eb6f485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 (Unaudited)</w:t>
      </w:r>
    </w:p>
    <w:p>
      <w:pPr>
        <w:pStyle w:val="TextBody"/>
        <w:bidi w:val="0"/>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Three and Six Months Ended June 30, 2023, and 2022</w:t>
      </w:r>
    </w:p>
    <w:tbl>
      <w:tblPr>
        <w:tblW w:w="17412"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68"/>
        <w:gridCol w:w="368"/>
        <w:gridCol w:w="151"/>
        <w:gridCol w:w="109"/>
        <w:gridCol w:w="109"/>
        <w:gridCol w:w="109"/>
        <w:gridCol w:w="166"/>
        <w:gridCol w:w="406"/>
        <w:gridCol w:w="109"/>
        <w:gridCol w:w="109"/>
        <w:gridCol w:w="109"/>
        <w:gridCol w:w="109"/>
        <w:gridCol w:w="308"/>
        <w:gridCol w:w="308"/>
        <w:gridCol w:w="151"/>
        <w:gridCol w:w="109"/>
        <w:gridCol w:w="109"/>
        <w:gridCol w:w="109"/>
        <w:gridCol w:w="166"/>
        <w:gridCol w:w="406"/>
        <w:gridCol w:w="109"/>
        <w:gridCol w:w="109"/>
        <w:gridCol w:w="109"/>
        <w:gridCol w:w="109"/>
        <w:gridCol w:w="338"/>
        <w:gridCol w:w="338"/>
        <w:gridCol w:w="151"/>
        <w:gridCol w:w="109"/>
        <w:gridCol w:w="109"/>
        <w:gridCol w:w="109"/>
        <w:gridCol w:w="166"/>
        <w:gridCol w:w="406"/>
        <w:gridCol w:w="109"/>
        <w:gridCol w:w="109"/>
        <w:gridCol w:w="109"/>
        <w:gridCol w:w="109"/>
        <w:gridCol w:w="345"/>
        <w:gridCol w:w="346"/>
        <w:gridCol w:w="151"/>
        <w:gridCol w:w="109"/>
        <w:gridCol w:w="109"/>
        <w:gridCol w:w="109"/>
        <w:gridCol w:w="166"/>
        <w:gridCol w:w="541"/>
        <w:gridCol w:w="109"/>
        <w:gridCol w:w="109"/>
        <w:gridCol w:w="109"/>
        <w:gridCol w:w="109"/>
        <w:gridCol w:w="166"/>
        <w:gridCol w:w="616"/>
        <w:gridCol w:w="109"/>
        <w:gridCol w:w="109"/>
        <w:gridCol w:w="109"/>
        <w:gridCol w:w="109"/>
        <w:gridCol w:w="174"/>
        <w:gridCol w:w="552"/>
        <w:gridCol w:w="115"/>
        <w:gridCol w:w="327"/>
        <w:gridCol w:w="201"/>
        <w:gridCol w:w="582"/>
        <w:gridCol w:w="133"/>
        <w:gridCol w:w="327"/>
        <w:gridCol w:w="166"/>
        <w:gridCol w:w="616"/>
        <w:gridCol w:w="109"/>
        <w:gridCol w:w="327"/>
        <w:gridCol w:w="180"/>
        <w:gridCol w:w="571"/>
        <w:gridCol w:w="120"/>
        <w:gridCol w:w="327"/>
        <w:gridCol w:w="166"/>
        <w:gridCol w:w="61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D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Virtu Financial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Equity</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(in thousands, except share and interest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131,497,645 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9,359,065 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(18,326,863)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(494,075)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1,223,119 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830,538 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(10,196)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1,549,388 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314,230 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1,863,618 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1,669,030 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Class C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(234,269)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(612,844)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(8,908,544)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(287,211)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(18,354)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(305,565)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(305,565)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246,879 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112,257 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87,668 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199,925 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(3,172)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(1,996)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change in unrealized cash flow hedges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29,387 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18,486 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($0.24 per share of Class A common stock and participating Restricted Stock Units and Restricted Stock Awards)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(27,054)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(98,751)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(125,805)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in connection with employee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71,641 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Virtu Financial Units and corresponding number of Class C common stock in connection with employee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(71,641)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132,872,351 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9,053,155 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(27,235,407)</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(781,286)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1,246,983 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897,387 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16,019 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1,379,105 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319,637 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1,698,742 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Class 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(1,762,756)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85,167 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63,729 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148,896 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exchange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(10,773)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(9,037)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(19,810)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change in unrealized cash flow hedges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8,580 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($0.24 per share of Class A and Class B common stock and participating Restricted Stock Units and Restricted Stock Award) and distributions from Virtu Financial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(26,067)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(76,906)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(102,973)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in connection with employee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21,289 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Virtu Financial Units and corresponding number of Class C common stock in connection with employee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(21,289)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39,200 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132,915,640 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9,030,066 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(28,998,163)</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(828,772)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1,256,760 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956,487 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13,826 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1,398,303 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342,105 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1,740,408 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46f92377ba44b8693b189f65eb6f485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tbl>
      <w:tblPr>
        <w:tblW w:w="9414" w:type="dxa"/>
        <w:jc w:val="center"/>
        <w:tblInd w:w="0" w:type="dxa"/>
        <w:tblLayout w:type="fixed"/>
        <w:tblCellMar>
          <w:top w:w="28" w:type="dxa"/>
          <w:left w:w="28" w:type="dxa"/>
          <w:bottom w:w="28" w:type="dxa"/>
          <w:right w:w="28" w:type="dxa"/>
        </w:tblCellMar>
      </w:tblPr>
      <w:tblGrid>
        <w:gridCol w:w="2309"/>
        <w:gridCol w:w="2034"/>
        <w:gridCol w:w="2046"/>
        <w:gridCol w:w="109"/>
        <w:gridCol w:w="109"/>
        <w:gridCol w:w="109"/>
        <w:gridCol w:w="198"/>
        <w:gridCol w:w="747"/>
        <w:gridCol w:w="109"/>
        <w:gridCol w:w="109"/>
        <w:gridCol w:w="109"/>
        <w:gridCol w:w="109"/>
        <w:gridCol w:w="198"/>
        <w:gridCol w:w="747"/>
        <w:gridCol w:w="109"/>
        <w:gridCol w:w="109"/>
        <w:gridCol w:w="154"/>
      </w:tblGrid>
      <w:tr>
        <w:trPr/>
        <w:tc>
          <w:tcPr>
            <w:tcW w:w="2309"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3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used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issue cost related to debt refinancing and prepayment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 and deferred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(1,821,748)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to stockholders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Class 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long 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tax receivable agreement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(215,090)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or segregated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or segregated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Supplementary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46f92377ba44b8693b189f65eb6f485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tbl>
      <w:tblPr>
        <w:tblW w:w="9659" w:type="dxa"/>
        <w:jc w:val="center"/>
        <w:tblInd w:w="0" w:type="dxa"/>
        <w:tblLayout w:type="fixed"/>
        <w:tblCellMar>
          <w:top w:w="28" w:type="dxa"/>
          <w:left w:w="28" w:type="dxa"/>
          <w:bottom w:w="28" w:type="dxa"/>
          <w:right w:w="28" w:type="dxa"/>
        </w:tblCellMar>
      </w:tblPr>
      <w:tblGrid>
        <w:gridCol w:w="2407"/>
        <w:gridCol w:w="2119"/>
        <w:gridCol w:w="2134"/>
        <w:gridCol w:w="109"/>
        <w:gridCol w:w="109"/>
        <w:gridCol w:w="109"/>
        <w:gridCol w:w="196"/>
        <w:gridCol w:w="736"/>
        <w:gridCol w:w="109"/>
        <w:gridCol w:w="109"/>
        <w:gridCol w:w="109"/>
        <w:gridCol w:w="109"/>
        <w:gridCol w:w="196"/>
        <w:gridCol w:w="736"/>
        <w:gridCol w:w="109"/>
        <w:gridCol w:w="109"/>
        <w:gridCol w:w="154"/>
      </w:tblGrid>
      <w:tr>
        <w:trPr/>
        <w:tc>
          <w:tcPr>
            <w:tcW w:w="240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6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and accrued incentive compensation to developers relating to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shares and per share amounts,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June 30, 2023, VFI owned approximately 58.9% of the membership interests of Virtu Financial. VFI is the sole managing member of Virtu Financial and operates and controls all of the businesses and affairs of Virtu Financial and its subsidiaries (the “Group”).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options,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completed two significant acquisitions that have expanded and complemented Virtu Financial's original electronic trading and marking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(“VFIL”) and Virtu Europe Trading Limited (“VETL”) (f/k/a Virtu ITG Europe Limited), each formed in Ireland; Virtu ITG UK Limited (“VIUK”), formed in the United Kingdom; Virtu Canada Corp (f/k/a Virtu ITG Canada Corp.),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segments: (i) Market Making and (ii) Execution Services; and one non-operating segment: Corporate. See Note 20 "Geographic Information and Business Segments" for a further discussion of the Company’s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Consolidation and Form of Presentation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own as noncontrolling interests. All intercompany accounts and transactions have been eliminated in consolidation.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detailed discussion of the Company's significant accounting policies, see Note 2 "Summary of Significant Accounting Policies" in our consolidated financial statements included in Part II, Item 8 of our Annual Report on Form 10-K for the year ended December 31, 2022.</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Accounting Pronouncements Recently Adopted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Derivatives and Hedging</w:t>
      </w:r>
      <w:r>
        <w:rPr>
          <w:color w:val="000000"/>
        </w:rPr>
        <w:t xml:space="preserve"> </w:t>
      </w:r>
      <w:r>
        <w:rPr>
          <w:rFonts w:ascii="Times New Roman;sans-serif" w:hAnsi="Times New Roman;sans-serif"/>
          <w:b w:val="false"/>
          <w:color w:val="000000"/>
          <w:sz w:val="20"/>
        </w:rPr>
        <w:t>- In March 2022, the FASB issued ASU 2022-01,</w:t>
      </w:r>
      <w:r>
        <w:rPr>
          <w:color w:val="000000"/>
        </w:rPr>
        <w:t xml:space="preserve"> </w:t>
      </w:r>
      <w:r>
        <w:rPr>
          <w:rFonts w:ascii="Times New Roman;sans-serif" w:hAnsi="Times New Roman;sans-serif"/>
          <w:b w:val="false"/>
          <w:i/>
          <w:color w:val="000000"/>
          <w:sz w:val="20"/>
        </w:rPr>
        <w:t>Derivatives and Hedging - Fair Value Hedging - Portfolio Layer Method (Topic 815)</w:t>
      </w:r>
      <w:r>
        <w:rPr>
          <w:rFonts w:ascii="Times New Roman;sans-serif" w:hAnsi="Times New Roman;sans-serif"/>
          <w:b w:val="false"/>
          <w:color w:val="000000"/>
          <w:sz w:val="20"/>
        </w:rPr>
        <w:t>. The ASU expands the scope of permissible hedging, and permits the use of different derivative structures as hedging instruments. The Company adopted this ASU on January 1, 2023 and it did not have a material impact on its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Liabilities - Supplier Finance Programs</w:t>
      </w:r>
      <w:r>
        <w:rPr>
          <w:color w:val="000000"/>
        </w:rPr>
        <w:t xml:space="preserve"> </w:t>
      </w:r>
      <w:r>
        <w:rPr>
          <w:rFonts w:ascii="Times New Roman;sans-serif" w:hAnsi="Times New Roman;sans-serif"/>
          <w:b w:val="false"/>
          <w:color w:val="000000"/>
          <w:sz w:val="20"/>
        </w:rPr>
        <w:t xml:space="preserve">- In September 2022, the FASB issued ASU 2022-04, </w:t>
      </w:r>
      <w:r>
        <w:rPr>
          <w:rFonts w:ascii="Times New Roman;sans-serif" w:hAnsi="Times New Roman;sans-serif"/>
          <w:b w:val="false"/>
          <w:i/>
          <w:color w:val="000000"/>
          <w:sz w:val="20"/>
        </w:rPr>
        <w:t>Liabilities—Supplier Finance Programs (Subtopic 405-50)</w:t>
      </w:r>
      <w:r>
        <w:rPr>
          <w:rFonts w:ascii="Times New Roman;sans-serif" w:hAnsi="Times New Roman;sans-serif"/>
          <w:b w:val="false"/>
          <w:color w:val="000000"/>
          <w:sz w:val="20"/>
        </w:rPr>
        <w:t>. This ASU requires new quantitative and qualitative disclosure requirements for a buyer who enters into supplier financing programs. The Company adopted this ASU on January 1, 2023 and it did not have a material impact on its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Accounting Pronouncements Not Yet Adopted as of June 30, 2023</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Fair Value Measurement</w:t>
      </w:r>
      <w:r>
        <w:rPr>
          <w:color w:val="000000"/>
        </w:rPr>
        <w:t xml:space="preserve"> </w:t>
      </w:r>
      <w:r>
        <w:rPr>
          <w:rFonts w:ascii="Times New Roman;sans-serif" w:hAnsi="Times New Roman;sans-serif"/>
          <w:b w:val="false"/>
          <w:color w:val="000000"/>
          <w:sz w:val="20"/>
        </w:rPr>
        <w:t xml:space="preserve">- In June 2022, the FASB issued ASU 2022-03, </w:t>
      </w:r>
      <w:r>
        <w:rPr>
          <w:rFonts w:ascii="Times New Roman;sans-serif" w:hAnsi="Times New Roman;sans-serif"/>
          <w:b w:val="false"/>
          <w:i/>
          <w:color w:val="000000"/>
          <w:sz w:val="20"/>
        </w:rPr>
        <w:t>Fair Value Measurement of Equity Securities Subject to Contractual Sale Restrictions (Topic 326)</w:t>
      </w:r>
      <w:r>
        <w:rPr>
          <w:rFonts w:ascii="Times New Roman;sans-serif" w:hAnsi="Times New Roman;sans-serif"/>
          <w:b w:val="false"/>
          <w:color w:val="000000"/>
          <w:sz w:val="20"/>
        </w:rPr>
        <w:t>. The ASU clarifies the impact of contractual sale restrictions on the fair value of an equity security. Additionally, this ASU requires disclosure of the nature and remaining duration of the sale restriction. This ASU is effective for periods beginning after December 15, 2023. The Company is currently evaluating the impact of this ASU but does not expect it to have a material impact on its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Leases - Common Control Arrangements</w:t>
      </w:r>
      <w:r>
        <w:rPr>
          <w:color w:val="000000"/>
        </w:rPr>
        <w:t xml:space="preserve"> </w:t>
      </w:r>
      <w:r>
        <w:rPr>
          <w:rFonts w:ascii="Times New Roman;sans-serif" w:hAnsi="Times New Roman;sans-serif"/>
          <w:b w:val="false"/>
          <w:color w:val="000000"/>
          <w:sz w:val="20"/>
        </w:rPr>
        <w:t xml:space="preserve">- In March 2023, the FASB issued ASU 2023-01, </w:t>
      </w:r>
      <w:r>
        <w:rPr>
          <w:rFonts w:ascii="Times New Roman;sans-serif" w:hAnsi="Times New Roman;sans-serif"/>
          <w:b w:val="false"/>
          <w:i/>
          <w:color w:val="000000"/>
          <w:sz w:val="20"/>
        </w:rPr>
        <w:t>Leases—Common Control Arrangements (Topic 842)</w:t>
      </w:r>
      <w:r>
        <w:rPr>
          <w:rFonts w:ascii="Times New Roman;sans-serif" w:hAnsi="Times New Roman;sans-serif"/>
          <w:b w:val="false"/>
          <w:color w:val="000000"/>
          <w:sz w:val="20"/>
        </w:rPr>
        <w:t>. This ASU provides updated guidance for accounting for common control leases and leasehold improvements. This ASU is effective for periods beginning after December 15, 2023. The Company is currently evaluating the impact of this ASU but does not expect it to have a material impact on its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Investments - Equity Method and Joint Ventures</w:t>
      </w:r>
      <w:r>
        <w:rPr>
          <w:color w:val="000000"/>
        </w:rPr>
        <w:t xml:space="preserve"> </w:t>
      </w:r>
      <w:r>
        <w:rPr>
          <w:rFonts w:ascii="Times New Roman;sans-serif" w:hAnsi="Times New Roman;sans-serif"/>
          <w:b w:val="false"/>
          <w:color w:val="000000"/>
          <w:sz w:val="20"/>
        </w:rPr>
        <w:t xml:space="preserve">- In March 2023, the FASB issued ASU 2023-02, </w:t>
      </w:r>
      <w:r>
        <w:rPr>
          <w:rFonts w:ascii="Times New Roman;sans-serif" w:hAnsi="Times New Roman;sans-serif"/>
          <w:b w:val="false"/>
          <w:i/>
          <w:color w:val="000000"/>
          <w:sz w:val="20"/>
        </w:rPr>
        <w:t>Investments—Equity Method and Joint Ventures (Topic 323)</w:t>
      </w:r>
      <w:r>
        <w:rPr>
          <w:rFonts w:ascii="Times New Roman;sans-serif" w:hAnsi="Times New Roman;sans-serif"/>
          <w:b w:val="false"/>
          <w:color w:val="000000"/>
          <w:sz w:val="20"/>
        </w:rPr>
        <w:t>. This ASU provides updated guidance for accounting for investments in tax credit structures. This ASU is effective for periods beginning after December 15, 2023. The Company is currently evaluating the impact of this ASU but does not expect it to have a material impact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3. Earnings per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contains a reconciliation of Net income before income taxes and noncontrolling interest to Net income available for common stockholders:</w:t>
      </w:r>
    </w:p>
    <w:tbl>
      <w:tblPr>
        <w:tblW w:w="9649" w:type="dxa"/>
        <w:jc w:val="center"/>
        <w:tblInd w:w="0" w:type="dxa"/>
        <w:tblLayout w:type="fixed"/>
        <w:tblCellMar>
          <w:top w:w="28" w:type="dxa"/>
          <w:left w:w="28" w:type="dxa"/>
          <w:bottom w:w="28" w:type="dxa"/>
          <w:right w:w="28" w:type="dxa"/>
        </w:tblCellMar>
      </w:tblPr>
      <w:tblGrid>
        <w:gridCol w:w="1448"/>
        <w:gridCol w:w="1271"/>
        <w:gridCol w:w="1285"/>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 of basic and diluted earnings per share is presented below:</w:t>
      </w:r>
    </w:p>
    <w:tbl>
      <w:tblPr>
        <w:tblW w:w="10205" w:type="dxa"/>
        <w:jc w:val="center"/>
        <w:tblInd w:w="0" w:type="dxa"/>
        <w:tblLayout w:type="fixed"/>
        <w:tblCellMar>
          <w:top w:w="28" w:type="dxa"/>
          <w:left w:w="28" w:type="dxa"/>
          <w:bottom w:w="28" w:type="dxa"/>
          <w:right w:w="28" w:type="dxa"/>
        </w:tblCellMar>
      </w:tblPr>
      <w:tblGrid>
        <w:gridCol w:w="1512"/>
        <w:gridCol w:w="1330"/>
        <w:gridCol w:w="1331"/>
        <w:gridCol w:w="109"/>
        <w:gridCol w:w="109"/>
        <w:gridCol w:w="109"/>
        <w:gridCol w:w="223"/>
        <w:gridCol w:w="738"/>
        <w:gridCol w:w="109"/>
        <w:gridCol w:w="109"/>
        <w:gridCol w:w="109"/>
        <w:gridCol w:w="109"/>
        <w:gridCol w:w="244"/>
        <w:gridCol w:w="807"/>
        <w:gridCol w:w="109"/>
        <w:gridCol w:w="109"/>
        <w:gridCol w:w="109"/>
        <w:gridCol w:w="109"/>
        <w:gridCol w:w="223"/>
        <w:gridCol w:w="738"/>
        <w:gridCol w:w="109"/>
        <w:gridCol w:w="109"/>
        <w:gridCol w:w="109"/>
        <w:gridCol w:w="109"/>
        <w:gridCol w:w="221"/>
        <w:gridCol w:w="830"/>
        <w:gridCol w:w="109"/>
        <w:gridCol w:w="109"/>
        <w:gridCol w:w="155"/>
      </w:tblGrid>
      <w:tr>
        <w:trPr/>
        <w:tc>
          <w:tcPr>
            <w:tcW w:w="151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share or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Dividends and undistributed earnings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 net of dividends and undistributed earnings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94,973,489 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104,960,826 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96,376,926 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107,133,079 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77"/>
        <w:gridCol w:w="1300"/>
        <w:gridCol w:w="1301"/>
        <w:gridCol w:w="110"/>
        <w:gridCol w:w="110"/>
        <w:gridCol w:w="110"/>
        <w:gridCol w:w="226"/>
        <w:gridCol w:w="750"/>
        <w:gridCol w:w="110"/>
        <w:gridCol w:w="110"/>
        <w:gridCol w:w="110"/>
        <w:gridCol w:w="110"/>
        <w:gridCol w:w="247"/>
        <w:gridCol w:w="820"/>
        <w:gridCol w:w="110"/>
        <w:gridCol w:w="110"/>
        <w:gridCol w:w="110"/>
        <w:gridCol w:w="110"/>
        <w:gridCol w:w="226"/>
        <w:gridCol w:w="750"/>
        <w:gridCol w:w="110"/>
        <w:gridCol w:w="110"/>
        <w:gridCol w:w="110"/>
        <w:gridCol w:w="110"/>
        <w:gridCol w:w="224"/>
        <w:gridCol w:w="843"/>
        <w:gridCol w:w="110"/>
        <w:gridCol w:w="109"/>
        <w:gridCol w:w="172"/>
      </w:tblGrid>
      <w:tr>
        <w:trPr/>
        <w:tc>
          <w:tcPr>
            <w:tcW w:w="147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81" w:type="dxa"/>
            <w:gridSpan w:val="2"/>
            <w:tcBorders/>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share or per share data)</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earnings per share: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 net of dividends and undistributed earnings allocated to participating securities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190,259 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shares of common stock outstanding:</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Issued and outstanding</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94,973,489 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104,960,826 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96,376,926 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107,133,079 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Issuable pursuant to Amended and Restated 2015 Management Incentive Plan</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517,452 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626,705 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94,973,489 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105,478,278 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96,376,926 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107,759,784 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earnings per share (1)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924"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The dilutive impact of unexercised stock options excludes from the computation of EPS 54,618 options for the three months ended June 30, 2023, and 17,647 options for the six months ended June 30, 2023 because inclusion of the options would have been anti-dilutive.</w:t>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Tax Receivable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detailed discussion of the Company's tax receivable agreements, see Note 5 "Tax Receivable Agreements" in our consolidated financial statements included in Part II, Item 8 of our Annual Report on Form 10-K for the year ended December 31,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made its first payment of $7.0 million in February 2017, and subsequent payments of $12.4 million in September 2018, $13.3 million in March 2020, $16.5 million in April 2021, $21.3 million in March 2022, and $23.3 million in April 2023. Tax receivable payments are expected to range from approximately $36.4 thousand to $22.0 million per year over the next 15 years.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the Company’s remaining deferred tax assets that relate to the matters described above were approximately $151.8 million and $162.1 million, respectively, and the Company’s liabilities over the next 15 years pursuant to the tax receivable agreements were approximately $215.5 million and $238.8 million for June 30, 2023 and December 31, 2022, respectively. The amounts recorded as of June 30, 2023 and December 31, 2022 are based on best estimates available at the respective dates and may be subject to change after the filing of the Company’s U.S. federal and state income tax returns for the years in which tax savings were realized.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segments: (i) Market Making; and (ii) Execution Services; and one non-operating segment: Corporate. As of June 30, 2023 and December 31, 2022, the Company’s total amount of goodwill recorded was $1,148.9 million. No goodwill impairment was recognized during the three and six months ended June 30, 2023 and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details of goodwill by segment as of June 30, 2023 and December 31, 2022:</w:t>
      </w:r>
    </w:p>
    <w:tbl>
      <w:tblPr>
        <w:tblW w:w="7944" w:type="dxa"/>
        <w:jc w:val="center"/>
        <w:tblInd w:w="0" w:type="dxa"/>
        <w:tblLayout w:type="fixed"/>
        <w:tblCellMar>
          <w:top w:w="28" w:type="dxa"/>
          <w:left w:w="28" w:type="dxa"/>
          <w:bottom w:w="28" w:type="dxa"/>
          <w:right w:w="28" w:type="dxa"/>
        </w:tblCellMar>
      </w:tblPr>
      <w:tblGrid>
        <w:gridCol w:w="667"/>
        <w:gridCol w:w="587"/>
        <w:gridCol w:w="591"/>
        <w:gridCol w:w="109"/>
        <w:gridCol w:w="109"/>
        <w:gridCol w:w="109"/>
        <w:gridCol w:w="234"/>
        <w:gridCol w:w="880"/>
        <w:gridCol w:w="130"/>
        <w:gridCol w:w="109"/>
        <w:gridCol w:w="109"/>
        <w:gridCol w:w="109"/>
        <w:gridCol w:w="274"/>
        <w:gridCol w:w="1029"/>
        <w:gridCol w:w="152"/>
        <w:gridCol w:w="109"/>
        <w:gridCol w:w="109"/>
        <w:gridCol w:w="109"/>
        <w:gridCol w:w="240"/>
        <w:gridCol w:w="497"/>
        <w:gridCol w:w="134"/>
        <w:gridCol w:w="109"/>
        <w:gridCol w:w="109"/>
        <w:gridCol w:w="109"/>
        <w:gridCol w:w="196"/>
        <w:gridCol w:w="87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755,292 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393,634 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1,148,926 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Company's total amount of intangible assets recorded was $289.4 million and $321.5 million, respectively. Acquired intangible assets consisted of the following as of June 30, 2023 and December 31, 2022:</w:t>
      </w:r>
    </w:p>
    <w:tbl>
      <w:tblPr>
        <w:tblW w:w="10162" w:type="dxa"/>
        <w:jc w:val="center"/>
        <w:tblInd w:w="0" w:type="dxa"/>
        <w:tblLayout w:type="fixed"/>
        <w:tblCellMar>
          <w:top w:w="28" w:type="dxa"/>
          <w:left w:w="28" w:type="dxa"/>
          <w:bottom w:w="28" w:type="dxa"/>
          <w:right w:w="28" w:type="dxa"/>
        </w:tblCellMar>
      </w:tblPr>
      <w:tblGrid>
        <w:gridCol w:w="736"/>
        <w:gridCol w:w="650"/>
        <w:gridCol w:w="653"/>
        <w:gridCol w:w="109"/>
        <w:gridCol w:w="109"/>
        <w:gridCol w:w="109"/>
        <w:gridCol w:w="361"/>
        <w:gridCol w:w="1358"/>
        <w:gridCol w:w="201"/>
        <w:gridCol w:w="109"/>
        <w:gridCol w:w="109"/>
        <w:gridCol w:w="109"/>
        <w:gridCol w:w="387"/>
        <w:gridCol w:w="1509"/>
        <w:gridCol w:w="219"/>
        <w:gridCol w:w="109"/>
        <w:gridCol w:w="109"/>
        <w:gridCol w:w="109"/>
        <w:gridCol w:w="330"/>
        <w:gridCol w:w="1241"/>
        <w:gridCol w:w="183"/>
        <w:gridCol w:w="109"/>
        <w:gridCol w:w="109"/>
        <w:gridCol w:w="109"/>
        <w:gridCol w:w="109"/>
        <w:gridCol w:w="109"/>
        <w:gridCol w:w="109"/>
        <w:gridCol w:w="109"/>
        <w:gridCol w:w="109"/>
        <w:gridCol w:w="109"/>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Lives</w:t>
              <w:br/>
              <w:t>(Years) </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486,600 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(213,907)</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272,693 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(125,853)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Favorable occupancy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memberships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issuer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buyer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639,493 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(350,053)</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289,440 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tbl>
      <w:tblPr>
        <w:tblW w:w="10028" w:type="dxa"/>
        <w:jc w:val="center"/>
        <w:tblInd w:w="0" w:type="dxa"/>
        <w:tblLayout w:type="fixed"/>
        <w:tblCellMar>
          <w:top w:w="28" w:type="dxa"/>
          <w:left w:w="28" w:type="dxa"/>
          <w:bottom w:w="28" w:type="dxa"/>
          <w:right w:w="28" w:type="dxa"/>
        </w:tblCellMar>
      </w:tblPr>
      <w:tblGrid>
        <w:gridCol w:w="736"/>
        <w:gridCol w:w="650"/>
        <w:gridCol w:w="653"/>
        <w:gridCol w:w="109"/>
        <w:gridCol w:w="109"/>
        <w:gridCol w:w="109"/>
        <w:gridCol w:w="353"/>
        <w:gridCol w:w="1326"/>
        <w:gridCol w:w="196"/>
        <w:gridCol w:w="109"/>
        <w:gridCol w:w="109"/>
        <w:gridCol w:w="109"/>
        <w:gridCol w:w="363"/>
        <w:gridCol w:w="1505"/>
        <w:gridCol w:w="202"/>
        <w:gridCol w:w="109"/>
        <w:gridCol w:w="109"/>
        <w:gridCol w:w="109"/>
        <w:gridCol w:w="322"/>
        <w:gridCol w:w="1209"/>
        <w:gridCol w:w="179"/>
        <w:gridCol w:w="109"/>
        <w:gridCol w:w="109"/>
        <w:gridCol w:w="109"/>
        <w:gridCol w:w="109"/>
        <w:gridCol w:w="109"/>
        <w:gridCol w:w="109"/>
        <w:gridCol w:w="109"/>
        <w:gridCol w:w="109"/>
        <w:gridCol w:w="109"/>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Lives</w:t>
              <w:br/>
              <w:t>(Years)</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486,600 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(189,986)</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296,614 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(118,119)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Favorable occupancy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memberships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issuer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buyer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639,493 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(318,013)</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321,480 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relating to finite-lived intangible assets was approximately $16.0 million and $16.3 million for the three months ended June 30, 2023, and 2022, respectively, and $32.0 million, and $32.8 million for the six months ended June 30, 2023, and 2022, respectively. This is included in Amortization of purchased intangibles and acquired capitalized software in the accompanying Condensed Consolidated Statements of Comprehensive Income.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to record amortization expense as follows over the next five subsequent years:</w:t>
      </w:r>
    </w:p>
    <w:p>
      <w:pPr>
        <w:pStyle w:val="TextBody"/>
        <w:bidi w:val="0"/>
        <w:spacing w:before="0" w:after="0"/>
        <w:jc w:val="left"/>
        <w:rPr/>
      </w:pPr>
      <w:r>
        <w:rPr/>
      </w:r>
    </w:p>
    <w:tbl>
      <w:tblPr>
        <w:tblW w:w="2792" w:type="dxa"/>
        <w:jc w:val="center"/>
        <w:tblInd w:w="0" w:type="dxa"/>
        <w:tblLayout w:type="fixed"/>
        <w:tblCellMar>
          <w:top w:w="28" w:type="dxa"/>
          <w:left w:w="28" w:type="dxa"/>
          <w:bottom w:w="28" w:type="dxa"/>
          <w:right w:w="28" w:type="dxa"/>
        </w:tblCellMar>
      </w:tblPr>
      <w:tblGrid>
        <w:gridCol w:w="531"/>
        <w:gridCol w:w="468"/>
        <w:gridCol w:w="470"/>
        <w:gridCol w:w="109"/>
        <w:gridCol w:w="109"/>
        <w:gridCol w:w="109"/>
        <w:gridCol w:w="196"/>
        <w:gridCol w:w="64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Receivables from/Payables to Broker-Dealers and Clearing Organizations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receivables from and payables to brokers-dealers and clearing organizations at June 30, 2023 and December 31, 2022:</w:t>
      </w:r>
    </w:p>
    <w:tbl>
      <w:tblPr>
        <w:tblW w:w="7978" w:type="dxa"/>
        <w:jc w:val="center"/>
        <w:tblInd w:w="0" w:type="dxa"/>
        <w:tblLayout w:type="fixed"/>
        <w:tblCellMar>
          <w:top w:w="28" w:type="dxa"/>
          <w:left w:w="28" w:type="dxa"/>
          <w:bottom w:w="28" w:type="dxa"/>
          <w:right w:w="28" w:type="dxa"/>
        </w:tblCellMar>
      </w:tblPr>
      <w:tblGrid>
        <w:gridCol w:w="1665"/>
        <w:gridCol w:w="1466"/>
        <w:gridCol w:w="1473"/>
        <w:gridCol w:w="109"/>
        <w:gridCol w:w="109"/>
        <w:gridCol w:w="109"/>
        <w:gridCol w:w="196"/>
        <w:gridCol w:w="871"/>
        <w:gridCol w:w="109"/>
        <w:gridCol w:w="109"/>
        <w:gridCol w:w="109"/>
        <w:gridCol w:w="109"/>
        <w:gridCol w:w="248"/>
        <w:gridCol w:w="1102"/>
        <w:gridCol w:w="194"/>
      </w:tblGrid>
      <w:tr>
        <w:trPr/>
        <w:tc>
          <w:tcPr>
            <w:tcW w:w="166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from prime brokers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560,111 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146,927 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equity with futures commission merchants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Unsettled trades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87,145 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failed to deliver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149,747 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33,943 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1,459,826 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1,115,185 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prime brokers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equity with futures commission merchants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Unsettled trades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failed to receive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273,843 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6"/>
        </w:rPr>
        <w:t>(1)   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Times New Roman;sans-serif" w:hAnsi="Times New Roman;sans-serif"/>
          <w:b w:val="false"/>
          <w:color w:val="000000"/>
          <w:sz w:val="20"/>
        </w:rPr>
        <w:t>.</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Included as a deduction from “Due from prime brokers” and “Net equity with futures commission merchants” is the outstanding principal balance on all of the Company’s prime brokerage credit facilities (described in Note 8 "Borrowings") of approximately $140.6 million and $212.9 million as of June 30, 2023 and December 31, 2022,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Collateralized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permitted to sell or repledge securities received as collateral and use these securities to secure repurchase agreements, enter into securities lending transactions or deliver these securities to counterparties or clearing organizations to cover short positions. At June 30, 2023 and December 31, 2022, substantially all of the securities received as collateral have been repledged.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collateralized transactions at June 30, 2023 and December 31, 2022 are summarized as follows:</w:t>
      </w:r>
    </w:p>
    <w:tbl>
      <w:tblPr>
        <w:tblW w:w="6764" w:type="dxa"/>
        <w:jc w:val="center"/>
        <w:tblInd w:w="0" w:type="dxa"/>
        <w:tblLayout w:type="fixed"/>
        <w:tblCellMar>
          <w:top w:w="28" w:type="dxa"/>
          <w:left w:w="28" w:type="dxa"/>
          <w:bottom w:w="28" w:type="dxa"/>
          <w:right w:w="28" w:type="dxa"/>
        </w:tblCellMar>
      </w:tblPr>
      <w:tblGrid>
        <w:gridCol w:w="1225"/>
        <w:gridCol w:w="1079"/>
        <w:gridCol w:w="1086"/>
        <w:gridCol w:w="109"/>
        <w:gridCol w:w="109"/>
        <w:gridCol w:w="109"/>
        <w:gridCol w:w="196"/>
        <w:gridCol w:w="871"/>
        <w:gridCol w:w="109"/>
        <w:gridCol w:w="109"/>
        <w:gridCol w:w="109"/>
        <w:gridCol w:w="109"/>
        <w:gridCol w:w="248"/>
        <w:gridCol w:w="1102"/>
        <w:gridCol w:w="194"/>
      </w:tblGrid>
      <w:tr>
        <w:trPr/>
        <w:tc>
          <w:tcPr>
            <w:tcW w:w="122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Securities received as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1,148,238 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336,849 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2,424,949 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1,485,087 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pledges qualified securities with clearing organizations to satisfy daily margin and clearing fund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owned and pledged, where the counterparty has the right to repledge, at June 30, 2023 and December 31, 2022 consisted of the following:</w:t>
      </w:r>
    </w:p>
    <w:p>
      <w:pPr>
        <w:pStyle w:val="TextBody"/>
        <w:bidi w:val="0"/>
        <w:spacing w:before="0" w:after="0"/>
        <w:ind w:left="0" w:right="0" w:firstLine="720"/>
        <w:jc w:val="left"/>
        <w:rPr/>
      </w:pPr>
      <w:r>
        <w:rPr/>
      </w:r>
    </w:p>
    <w:tbl>
      <w:tblPr>
        <w:tblW w:w="5070" w:type="dxa"/>
        <w:jc w:val="center"/>
        <w:tblInd w:w="0" w:type="dxa"/>
        <w:tblLayout w:type="fixed"/>
        <w:tblCellMar>
          <w:top w:w="28" w:type="dxa"/>
          <w:left w:w="28" w:type="dxa"/>
          <w:bottom w:w="28" w:type="dxa"/>
          <w:right w:w="28" w:type="dxa"/>
        </w:tblCellMar>
      </w:tblPr>
      <w:tblGrid>
        <w:gridCol w:w="612"/>
        <w:gridCol w:w="540"/>
        <w:gridCol w:w="543"/>
        <w:gridCol w:w="109"/>
        <w:gridCol w:w="109"/>
        <w:gridCol w:w="109"/>
        <w:gridCol w:w="196"/>
        <w:gridCol w:w="871"/>
        <w:gridCol w:w="109"/>
        <w:gridCol w:w="109"/>
        <w:gridCol w:w="109"/>
        <w:gridCol w:w="109"/>
        <w:gridCol w:w="279"/>
        <w:gridCol w:w="1047"/>
        <w:gridCol w:w="219"/>
      </w:tblGrid>
      <w:tr>
        <w:trPr/>
        <w:tc>
          <w:tcPr>
            <w:tcW w:w="6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957,443 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963,071 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Borrowings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Short-term Borrowings,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short-term borrowing balances outstanding, net of related debt issuance costs, with each described in further detail below.</w:t>
      </w:r>
    </w:p>
    <w:tbl>
      <w:tblPr>
        <w:tblW w:w="9259" w:type="dxa"/>
        <w:jc w:val="center"/>
        <w:tblInd w:w="0" w:type="dxa"/>
        <w:tblLayout w:type="fixed"/>
        <w:tblCellMar>
          <w:top w:w="28" w:type="dxa"/>
          <w:left w:w="28" w:type="dxa"/>
          <w:bottom w:w="28" w:type="dxa"/>
          <w:right w:w="28" w:type="dxa"/>
        </w:tblCellMar>
      </w:tblPr>
      <w:tblGrid>
        <w:gridCol w:w="770"/>
        <w:gridCol w:w="679"/>
        <w:gridCol w:w="681"/>
        <w:gridCol w:w="109"/>
        <w:gridCol w:w="109"/>
        <w:gridCol w:w="109"/>
        <w:gridCol w:w="344"/>
        <w:gridCol w:w="1294"/>
        <w:gridCol w:w="191"/>
        <w:gridCol w:w="109"/>
        <w:gridCol w:w="109"/>
        <w:gridCol w:w="109"/>
        <w:gridCol w:w="452"/>
        <w:gridCol w:w="1456"/>
        <w:gridCol w:w="251"/>
        <w:gridCol w:w="109"/>
        <w:gridCol w:w="109"/>
        <w:gridCol w:w="109"/>
        <w:gridCol w:w="390"/>
        <w:gridCol w:w="1464"/>
        <w:gridCol w:w="306"/>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Borrowings, net</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(3,279)</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111,721 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115,000 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(3,279)</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111,721 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93" w:type="dxa"/>
        <w:jc w:val="center"/>
        <w:tblInd w:w="0" w:type="dxa"/>
        <w:tblLayout w:type="fixed"/>
        <w:tblCellMar>
          <w:top w:w="28" w:type="dxa"/>
          <w:left w:w="28" w:type="dxa"/>
          <w:bottom w:w="28" w:type="dxa"/>
          <w:right w:w="28" w:type="dxa"/>
        </w:tblCellMar>
      </w:tblPr>
      <w:tblGrid>
        <w:gridCol w:w="602"/>
        <w:gridCol w:w="530"/>
        <w:gridCol w:w="532"/>
        <w:gridCol w:w="109"/>
        <w:gridCol w:w="109"/>
        <w:gridCol w:w="109"/>
        <w:gridCol w:w="416"/>
        <w:gridCol w:w="1181"/>
        <w:gridCol w:w="232"/>
        <w:gridCol w:w="109"/>
        <w:gridCol w:w="109"/>
        <w:gridCol w:w="109"/>
        <w:gridCol w:w="595"/>
        <w:gridCol w:w="1231"/>
        <w:gridCol w:w="333"/>
        <w:gridCol w:w="109"/>
        <w:gridCol w:w="109"/>
        <w:gridCol w:w="109"/>
        <w:gridCol w:w="467"/>
        <w:gridCol w:w="1324"/>
        <w:gridCol w:w="369"/>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Borrowings, net</w:t>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bank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Broker-Dealer Credit Facilities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$650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$650 million and bear interest at the adjusted Secured Overnight Financing Rate ("SOFR") or base rate plus 1.25% per annum. Borrowing Base B Loans are subject to a sublimit of $300 million and bear interest at the adjusted SOFR or base rate plus 2.50% per annum. A commitment fee of 0.50% per annum on the average daily unused portion of this facility is payable quarterly in arrears.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25, 2022, Virtu Financial Singapore Pte. Ltd. entered into a revolving credit facility with a financial institution (the "Overdraft Facility") to provide a source of short-term financing. The facility has an aggregate borrowing limit of $10 million, and bears interest at the adjusted SOFR or base rate plus 3.5% per annum.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20, 2020, VAL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(the "Founder Member Loan Term"). The Founder Member Loan Facility Term expired as of September 20, 2020 without VAL having borrowed any Founder Member Loans at any time. The Founder Member is an affiliate of Mr. Vincent Viola, the Company’s founder and Chairman Emeritus. Upon the execution of and in consideration for the Lender’s (as defined in the Founder Member Loan Facility) commitments under the Founder Member Loan Facility, the Company delivered to the Founder Member a warrant to purchase shares of the Company’s Class A Common Stock. Terms of the warrant are set forth in further detail in Note 17 "Capital Structure".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broker-dealer credit facilities' carrying values, net of unamortized debt issuance costs, where applicable. These balances are included within Short-term borrowings on the Condensed Consolidated Statements of Financial Condition.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23"/>
        <w:gridCol w:w="549"/>
        <w:gridCol w:w="553"/>
        <w:gridCol w:w="109"/>
        <w:gridCol w:w="109"/>
        <w:gridCol w:w="109"/>
        <w:gridCol w:w="284"/>
        <w:gridCol w:w="284"/>
        <w:gridCol w:w="286"/>
        <w:gridCol w:w="109"/>
        <w:gridCol w:w="109"/>
        <w:gridCol w:w="109"/>
        <w:gridCol w:w="228"/>
        <w:gridCol w:w="1013"/>
        <w:gridCol w:w="126"/>
        <w:gridCol w:w="109"/>
        <w:gridCol w:w="109"/>
        <w:gridCol w:w="109"/>
        <w:gridCol w:w="270"/>
        <w:gridCol w:w="1015"/>
        <w:gridCol w:w="150"/>
        <w:gridCol w:w="109"/>
        <w:gridCol w:w="109"/>
        <w:gridCol w:w="109"/>
        <w:gridCol w:w="324"/>
        <w:gridCol w:w="1013"/>
        <w:gridCol w:w="180"/>
        <w:gridCol w:w="109"/>
        <w:gridCol w:w="109"/>
        <w:gridCol w:w="109"/>
        <w:gridCol w:w="301"/>
        <w:gridCol w:w="1130"/>
        <w:gridCol w:w="241"/>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June 30, 2023</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 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r>
      <w:tr>
        <w:trPr/>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Uncommitted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Committed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Overdraft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1,060,000 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115,000 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(3,279)</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111,721 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8480" w:type="dxa"/>
            <w:gridSpan w:val="30"/>
            <w:tcBorders/>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30"/>
        <w:gridCol w:w="555"/>
        <w:gridCol w:w="560"/>
        <w:gridCol w:w="109"/>
        <w:gridCol w:w="109"/>
        <w:gridCol w:w="109"/>
        <w:gridCol w:w="286"/>
        <w:gridCol w:w="286"/>
        <w:gridCol w:w="288"/>
        <w:gridCol w:w="109"/>
        <w:gridCol w:w="109"/>
        <w:gridCol w:w="109"/>
        <w:gridCol w:w="229"/>
        <w:gridCol w:w="1018"/>
        <w:gridCol w:w="127"/>
        <w:gridCol w:w="109"/>
        <w:gridCol w:w="109"/>
        <w:gridCol w:w="109"/>
        <w:gridCol w:w="394"/>
        <w:gridCol w:w="817"/>
        <w:gridCol w:w="220"/>
        <w:gridCol w:w="109"/>
        <w:gridCol w:w="109"/>
        <w:gridCol w:w="109"/>
        <w:gridCol w:w="408"/>
        <w:gridCol w:w="844"/>
        <w:gridCol w:w="228"/>
        <w:gridCol w:w="109"/>
        <w:gridCol w:w="109"/>
        <w:gridCol w:w="109"/>
        <w:gridCol w:w="432"/>
        <w:gridCol w:w="897"/>
        <w:gridCol w:w="351"/>
      </w:tblGrid>
      <w:tr>
        <w:trPr/>
        <w:tc>
          <w:tcPr>
            <w:tcW w:w="63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2022</w:t>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 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r>
      <w:tr>
        <w:trPr/>
        <w:tc>
          <w:tcPr>
            <w:tcW w:w="1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Uncommitted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Committed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Overdraft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1,060,000 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interest expense for the broker-dealer facilities. Interest expense is included within Interest and dividends expense in the accompanying Condensed Consolidated Statements of Comprehensive Income.</w:t>
      </w:r>
    </w:p>
    <w:p>
      <w:pPr>
        <w:pStyle w:val="TextBody"/>
        <w:bidi w:val="0"/>
        <w:spacing w:before="0" w:after="0"/>
        <w:ind w:left="0" w:right="0" w:firstLine="720"/>
        <w:jc w:val="left"/>
        <w:rPr/>
      </w:pPr>
      <w:r>
        <w:rPr/>
      </w:r>
    </w:p>
    <w:tbl>
      <w:tblPr>
        <w:tblW w:w="7560" w:type="dxa"/>
        <w:jc w:val="center"/>
        <w:tblInd w:w="0" w:type="dxa"/>
        <w:tblLayout w:type="fixed"/>
        <w:tblCellMar>
          <w:top w:w="28" w:type="dxa"/>
          <w:left w:w="28" w:type="dxa"/>
          <w:bottom w:w="28" w:type="dxa"/>
          <w:right w:w="28" w:type="dxa"/>
        </w:tblCellMar>
      </w:tblPr>
      <w:tblGrid>
        <w:gridCol w:w="834"/>
        <w:gridCol w:w="735"/>
        <w:gridCol w:w="741"/>
        <w:gridCol w:w="109"/>
        <w:gridCol w:w="109"/>
        <w:gridCol w:w="109"/>
        <w:gridCol w:w="232"/>
        <w:gridCol w:w="658"/>
        <w:gridCol w:w="129"/>
        <w:gridCol w:w="129"/>
        <w:gridCol w:w="129"/>
        <w:gridCol w:w="129"/>
        <w:gridCol w:w="232"/>
        <w:gridCol w:w="498"/>
        <w:gridCol w:w="129"/>
        <w:gridCol w:w="109"/>
        <w:gridCol w:w="109"/>
        <w:gridCol w:w="109"/>
        <w:gridCol w:w="198"/>
        <w:gridCol w:w="561"/>
        <w:gridCol w:w="110"/>
        <w:gridCol w:w="110"/>
        <w:gridCol w:w="110"/>
        <w:gridCol w:w="110"/>
        <w:gridCol w:w="198"/>
        <w:gridCol w:w="561"/>
        <w:gridCol w:w="110"/>
        <w:gridCol w:w="109"/>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Uncommitted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Committed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Short-Term Bank Loans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international securities clearance and settlement activities are funded with operating cash or with short-term bank loans in the form of overdraft facilities. At June 30, 2023, there was no balance associated with international settlement activities outstanding under these facilities. At December 31, 2022, there was $3.9 million associated with international settlement activities outstanding under these facilities at a weighted average interest rate of approximately 3.8%. These short-term bank loan balances are included within Short-term borrowings on the Condensed Consolidated Statements of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Prime Brokerage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pStyle w:val="TextBody"/>
        <w:bidi w:val="0"/>
        <w:spacing w:before="0" w:after="0"/>
        <w:ind w:left="0" w:right="0" w:firstLine="720"/>
        <w:jc w:val="left"/>
        <w:rPr/>
      </w:pPr>
      <w:r>
        <w:rPr/>
      </w:r>
    </w:p>
    <w:tbl>
      <w:tblPr>
        <w:tblW w:w="7187" w:type="dxa"/>
        <w:jc w:val="center"/>
        <w:tblInd w:w="0" w:type="dxa"/>
        <w:tblLayout w:type="fixed"/>
        <w:tblCellMar>
          <w:top w:w="28" w:type="dxa"/>
          <w:left w:w="28" w:type="dxa"/>
          <w:bottom w:w="28" w:type="dxa"/>
          <w:right w:w="28" w:type="dxa"/>
        </w:tblCellMar>
      </w:tblPr>
      <w:tblGrid>
        <w:gridCol w:w="949"/>
        <w:gridCol w:w="836"/>
        <w:gridCol w:w="840"/>
        <w:gridCol w:w="109"/>
        <w:gridCol w:w="109"/>
        <w:gridCol w:w="109"/>
        <w:gridCol w:w="484"/>
        <w:gridCol w:w="484"/>
        <w:gridCol w:w="486"/>
        <w:gridCol w:w="109"/>
        <w:gridCol w:w="109"/>
        <w:gridCol w:w="109"/>
        <w:gridCol w:w="196"/>
        <w:gridCol w:w="736"/>
        <w:gridCol w:w="109"/>
        <w:gridCol w:w="109"/>
        <w:gridCol w:w="109"/>
        <w:gridCol w:w="109"/>
        <w:gridCol w:w="196"/>
        <w:gridCol w:w="73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June 30, 2023</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w:t>
              <w:br/>
              <w:t>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w:t>
              <w:br/>
              <w:t>Outstanding</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Prime Brokerage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Prime brokerage credit facilities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87" w:type="dxa"/>
        <w:jc w:val="center"/>
        <w:tblInd w:w="0" w:type="dxa"/>
        <w:tblLayout w:type="fixed"/>
        <w:tblCellMar>
          <w:top w:w="28" w:type="dxa"/>
          <w:left w:w="28" w:type="dxa"/>
          <w:bottom w:w="28" w:type="dxa"/>
          <w:right w:w="28" w:type="dxa"/>
        </w:tblCellMar>
      </w:tblPr>
      <w:tblGrid>
        <w:gridCol w:w="949"/>
        <w:gridCol w:w="836"/>
        <w:gridCol w:w="840"/>
        <w:gridCol w:w="109"/>
        <w:gridCol w:w="109"/>
        <w:gridCol w:w="109"/>
        <w:gridCol w:w="484"/>
        <w:gridCol w:w="484"/>
        <w:gridCol w:w="486"/>
        <w:gridCol w:w="109"/>
        <w:gridCol w:w="109"/>
        <w:gridCol w:w="109"/>
        <w:gridCol w:w="196"/>
        <w:gridCol w:w="736"/>
        <w:gridCol w:w="109"/>
        <w:gridCol w:w="109"/>
        <w:gridCol w:w="109"/>
        <w:gridCol w:w="109"/>
        <w:gridCol w:w="196"/>
        <w:gridCol w:w="73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2022</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w:t>
              <w:br/>
              <w:t>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w:t>
              <w:br/>
              <w:t>Outstanding</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Prime Brokerage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Prime brokerage credit facilities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Outstanding borrowings are included with Receivables from/Payables to broker-dealers and clearing organizations within the Condensed Consolidated Statements of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expense in relation to the facilities was $3.6 million and $1.7 million for the three months ended June 30, 2023 and 2022, respectively, and $7.1 million and $3.3 million for the six months ended June 30, 2023 and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Long-Term Borrowings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long-term borrowings, net of unamortized discount and debt issuance costs, where applicable:</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541"/>
        <w:gridCol w:w="477"/>
        <w:gridCol w:w="479"/>
        <w:gridCol w:w="109"/>
        <w:gridCol w:w="109"/>
        <w:gridCol w:w="109"/>
        <w:gridCol w:w="287"/>
        <w:gridCol w:w="287"/>
        <w:gridCol w:w="289"/>
        <w:gridCol w:w="109"/>
        <w:gridCol w:w="109"/>
        <w:gridCol w:w="109"/>
        <w:gridCol w:w="220"/>
        <w:gridCol w:w="220"/>
        <w:gridCol w:w="221"/>
        <w:gridCol w:w="109"/>
        <w:gridCol w:w="109"/>
        <w:gridCol w:w="109"/>
        <w:gridCol w:w="226"/>
        <w:gridCol w:w="1008"/>
        <w:gridCol w:w="126"/>
        <w:gridCol w:w="109"/>
        <w:gridCol w:w="109"/>
        <w:gridCol w:w="109"/>
        <w:gridCol w:w="196"/>
        <w:gridCol w:w="591"/>
        <w:gridCol w:w="109"/>
        <w:gridCol w:w="109"/>
        <w:gridCol w:w="109"/>
        <w:gridCol w:w="109"/>
        <w:gridCol w:w="271"/>
        <w:gridCol w:w="959"/>
        <w:gridCol w:w="150"/>
        <w:gridCol w:w="109"/>
        <w:gridCol w:w="109"/>
        <w:gridCol w:w="109"/>
        <w:gridCol w:w="253"/>
        <w:gridCol w:w="1126"/>
        <w:gridCol w:w="207"/>
      </w:tblGrid>
      <w:tr>
        <w:trPr/>
        <w:tc>
          <w:tcPr>
            <w:tcW w:w="54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June 30, 2023</w:t>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r>
      <w:tr>
        <w:trPr/>
        <w:tc>
          <w:tcPr>
            <w:tcW w:w="1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First Lien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(24,457)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1,754,017 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SBI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1,806,253 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(24,457)</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1,778,270 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41"/>
        <w:gridCol w:w="477"/>
        <w:gridCol w:w="479"/>
        <w:gridCol w:w="109"/>
        <w:gridCol w:w="109"/>
        <w:gridCol w:w="109"/>
        <w:gridCol w:w="287"/>
        <w:gridCol w:w="287"/>
        <w:gridCol w:w="289"/>
        <w:gridCol w:w="109"/>
        <w:gridCol w:w="109"/>
        <w:gridCol w:w="109"/>
        <w:gridCol w:w="220"/>
        <w:gridCol w:w="220"/>
        <w:gridCol w:w="221"/>
        <w:gridCol w:w="109"/>
        <w:gridCol w:w="109"/>
        <w:gridCol w:w="109"/>
        <w:gridCol w:w="226"/>
        <w:gridCol w:w="1008"/>
        <w:gridCol w:w="126"/>
        <w:gridCol w:w="109"/>
        <w:gridCol w:w="109"/>
        <w:gridCol w:w="109"/>
        <w:gridCol w:w="196"/>
        <w:gridCol w:w="591"/>
        <w:gridCol w:w="109"/>
        <w:gridCol w:w="109"/>
        <w:gridCol w:w="109"/>
        <w:gridCol w:w="109"/>
        <w:gridCol w:w="271"/>
        <w:gridCol w:w="959"/>
        <w:gridCol w:w="150"/>
        <w:gridCol w:w="109"/>
        <w:gridCol w:w="109"/>
        <w:gridCol w:w="109"/>
        <w:gridCol w:w="253"/>
        <w:gridCol w:w="1126"/>
        <w:gridCol w:w="207"/>
      </w:tblGrid>
      <w:tr>
        <w:trPr/>
        <w:tc>
          <w:tcPr>
            <w:tcW w:w="54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2022</w:t>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r>
      <w:tr>
        <w:trPr/>
        <w:tc>
          <w:tcPr>
            <w:tcW w:w="1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First Lien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(26,858)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1,769,261 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SBI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26,691 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1,826,693 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(26,860)</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1,795,952 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Credit Agreements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ITG Acquisition, Virtu Financial, VFH, and Impala Borrower LLC (the "Acquisition Borrower") entered into a credit agreement, with the lenders party thereto, Jefferies Finance LLC, as administrative agent and Jefferies Finance LLC and RBC Capital Markets, as joint lead arrangers and joint bookrunners (the "Acquisition Credit Agreement").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 term loan in an aggregate</w:t>
      </w:r>
      <w:r>
        <w:rPr>
          <w:color w:val="000000"/>
        </w:rPr>
        <w:t xml:space="preserve"> </w:t>
      </w:r>
      <w:r>
        <w:rPr>
          <w:rFonts w:ascii="Times New Roman;sans-serif" w:hAnsi="Times New Roman;sans-serif"/>
          <w:b w:val="false"/>
          <w:color w:val="000000"/>
          <w:sz w:val="20"/>
        </w:rPr>
        <w:t>principal</w:t>
      </w:r>
      <w:r>
        <w:rPr>
          <w:color w:val="000000"/>
        </w:rPr>
        <w:t xml:space="preserve"> </w:t>
      </w:r>
      <w:r>
        <w:rPr>
          <w:rFonts w:ascii="Times New Roman;sans-serif" w:hAnsi="Times New Roman;sans-serif"/>
          <w:b w:val="false"/>
          <w:color w:val="000000"/>
          <w:sz w:val="20"/>
        </w:rPr>
        <w:t>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Credit Agreement, the term loans will mature on January 13, 2029. The term loans amortize in annual installments equal to 1.0% of the original aggregate principal amount of the term loans and the Company repaid $18.0 million on January 13, 2023. The revolving commitments will terminate on January 13, 2025. As of June 30, 2023, $1,782 million was outstanding under the term loans, and there were no amounts outstanding under the first lien revolving facility.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In October 2019, the Company entered into a five-year $525 million floating-to-fixed interest rate swap agreement. In January 2020, the Company also entered into a five-year $1,000 million floating-to-fixed interest rate swap agreement. These two interest rate swaps met the criteria to be considered and were designated qualifying cash flow hedges under ASC 815 in the first quarter of 2020, and they effectively fixed interest payment obligations on $525.0 million and $1,000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 agreements to SOFR.</w:t>
      </w:r>
      <w:r>
        <w:rPr>
          <w:color w:val="000000"/>
        </w:rPr>
        <w:t xml:space="preserve"> </w:t>
      </w:r>
      <w:r>
        <w:rPr>
          <w:rFonts w:ascii="Times New Roman;sans-serif" w:hAnsi="Times New Roman;sans-serif"/>
          <w:b w:val="false"/>
          <w:color w:val="000000"/>
          <w:sz w:val="20"/>
        </w:rPr>
        <w:t>The effective fixed interest payment obligations remained at 4.5%, with respect to the earlier maturing swap arrangement, and 4.6% with respect to the later maturing swap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SBI Bonds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9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2022, the maturity of the SBI Bonds was extended to 2026. The principal balance was ¥3.5 billion ($24.3 million) as of June 30, 2023 and ¥3.5 billion ($26.7 million) as of December 31, 2022. The Company had a gain of $2.1 million and a gain of $3.0 million for the three months ended June 30, 2023 and 2022, respectively, and a gain of $2.4 million, and a gain of $4.9 million, during the six months ended June 30, 2023 and 2022, respectively, due to changes in foreign currency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aggregate future required minimum principal payments based on the terms of the long-term borrowings were as follows: </w:t>
      </w:r>
    </w:p>
    <w:p>
      <w:pPr>
        <w:pStyle w:val="TextBody"/>
        <w:bidi w:val="0"/>
        <w:spacing w:before="0" w:after="0"/>
        <w:ind w:left="0" w:right="0" w:firstLine="720"/>
        <w:jc w:val="left"/>
        <w:rPr/>
      </w:pPr>
      <w:r>
        <w:rPr/>
      </w:r>
    </w:p>
    <w:tbl>
      <w:tblPr>
        <w:tblW w:w="4458" w:type="dxa"/>
        <w:jc w:val="center"/>
        <w:tblInd w:w="0" w:type="dxa"/>
        <w:tblLayout w:type="fixed"/>
        <w:tblCellMar>
          <w:top w:w="28" w:type="dxa"/>
          <w:left w:w="28" w:type="dxa"/>
          <w:bottom w:w="28" w:type="dxa"/>
          <w:right w:w="28" w:type="dxa"/>
        </w:tblCellMar>
      </w:tblPr>
      <w:tblGrid>
        <w:gridCol w:w="1052"/>
        <w:gridCol w:w="927"/>
        <w:gridCol w:w="931"/>
        <w:gridCol w:w="109"/>
        <w:gridCol w:w="109"/>
        <w:gridCol w:w="109"/>
        <w:gridCol w:w="196"/>
        <w:gridCol w:w="87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principal of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1,806,253 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9. Financial Assets and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 Measured at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measurements for those items measured on a recurring basis are summarized below as of June 30, 2023:</w:t>
      </w:r>
    </w:p>
    <w:tbl>
      <w:tblPr>
        <w:tblW w:w="10205" w:type="dxa"/>
        <w:jc w:val="center"/>
        <w:tblInd w:w="0" w:type="dxa"/>
        <w:tblLayout w:type="fixed"/>
        <w:tblCellMar>
          <w:top w:w="28" w:type="dxa"/>
          <w:left w:w="28" w:type="dxa"/>
          <w:bottom w:w="28" w:type="dxa"/>
          <w:right w:w="28" w:type="dxa"/>
        </w:tblCellMar>
      </w:tblPr>
      <w:tblGrid>
        <w:gridCol w:w="539"/>
        <w:gridCol w:w="474"/>
        <w:gridCol w:w="477"/>
        <w:gridCol w:w="109"/>
        <w:gridCol w:w="109"/>
        <w:gridCol w:w="109"/>
        <w:gridCol w:w="269"/>
        <w:gridCol w:w="1198"/>
        <w:gridCol w:w="149"/>
        <w:gridCol w:w="109"/>
        <w:gridCol w:w="109"/>
        <w:gridCol w:w="109"/>
        <w:gridCol w:w="244"/>
        <w:gridCol w:w="1088"/>
        <w:gridCol w:w="136"/>
        <w:gridCol w:w="109"/>
        <w:gridCol w:w="109"/>
        <w:gridCol w:w="109"/>
        <w:gridCol w:w="279"/>
        <w:gridCol w:w="923"/>
        <w:gridCol w:w="157"/>
        <w:gridCol w:w="109"/>
        <w:gridCol w:w="109"/>
        <w:gridCol w:w="109"/>
        <w:gridCol w:w="243"/>
        <w:gridCol w:w="1005"/>
        <w:gridCol w:w="135"/>
        <w:gridCol w:w="109"/>
        <w:gridCol w:w="109"/>
        <w:gridCol w:w="109"/>
        <w:gridCol w:w="199"/>
        <w:gridCol w:w="888"/>
        <w:gridCol w:w="167"/>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and Cash Collateral Netting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w:t>
            </w:r>
          </w:p>
        </w:tc>
      </w:tr>
      <w:tr>
        <w:trPr/>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781,837 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1,724,573 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2,506,410 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775,363 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524,523 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1,299,886 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1,323,402 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1,323,402 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611,584 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(603,560)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1,561,573 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4,197,071 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(603,560)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5,155,084 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pledged as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770,965 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514,538 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1,285,503 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770,971 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526,245 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1,297,216 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73,435 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1,495,283 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1,428,486 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2,923,769 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1,581,936 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1,637,601 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1,202,295 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1,202,295 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44,689 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657,348 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(657,348)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1,555,488 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4,914,747 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(657,348)</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5,812,887 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measurements for those items measured on a recurring basis are summarized below as of December 31, 2022:</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39"/>
        <w:gridCol w:w="474"/>
        <w:gridCol w:w="477"/>
        <w:gridCol w:w="109"/>
        <w:gridCol w:w="109"/>
        <w:gridCol w:w="109"/>
        <w:gridCol w:w="269"/>
        <w:gridCol w:w="1198"/>
        <w:gridCol w:w="149"/>
        <w:gridCol w:w="109"/>
        <w:gridCol w:w="109"/>
        <w:gridCol w:w="109"/>
        <w:gridCol w:w="244"/>
        <w:gridCol w:w="1088"/>
        <w:gridCol w:w="136"/>
        <w:gridCol w:w="109"/>
        <w:gridCol w:w="109"/>
        <w:gridCol w:w="109"/>
        <w:gridCol w:w="279"/>
        <w:gridCol w:w="923"/>
        <w:gridCol w:w="157"/>
        <w:gridCol w:w="109"/>
        <w:gridCol w:w="109"/>
        <w:gridCol w:w="109"/>
        <w:gridCol w:w="243"/>
        <w:gridCol w:w="1005"/>
        <w:gridCol w:w="135"/>
        <w:gridCol w:w="109"/>
        <w:gridCol w:w="109"/>
        <w:gridCol w:w="109"/>
        <w:gridCol w:w="199"/>
        <w:gridCol w:w="888"/>
        <w:gridCol w:w="167"/>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and Cash Collateral Netting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w:t>
            </w:r>
          </w:p>
        </w:tc>
      </w:tr>
      <w:tr>
        <w:trPr/>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461,487 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1,545,116 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2,006,603 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251,708 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575,946 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827,654 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803,880 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803,880 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500,553 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(493,237)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718,446 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3,442,272 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(493,237)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3,667,481 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pledged as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552,641 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404,802 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957,443 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552,647 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410,424 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963,071 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78,965 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1,146,701 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1,016,893 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2,163,594 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147,418 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690,480 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1,183,394 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1,183,394 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1,298,008 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3,396,765 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4,196,974 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JNX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minority investment (the “JNX Investment”) in Japannext Co., Ltd. (“JNX”), formerly known as SBI Japannext Co., Ltd., a proprietary trading system based in Tokyo. In connection with the JNX Investment, the Company issued the SBI Bonds (as described in Note 8 "Borrowings") and used the proceeds to partially finance the transaction. The JNX Investment is included within Level 3 of the fair value hierarchy. As of June 30, 2023 and December 31, 2022,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information on the valuation techniques, significant unobservable inputs and their ranges for the JNX Investment: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76"/>
        <w:gridCol w:w="419"/>
        <w:gridCol w:w="422"/>
        <w:gridCol w:w="109"/>
        <w:gridCol w:w="109"/>
        <w:gridCol w:w="109"/>
        <w:gridCol w:w="196"/>
        <w:gridCol w:w="646"/>
        <w:gridCol w:w="109"/>
        <w:gridCol w:w="109"/>
        <w:gridCol w:w="109"/>
        <w:gridCol w:w="109"/>
        <w:gridCol w:w="490"/>
        <w:gridCol w:w="481"/>
        <w:gridCol w:w="483"/>
        <w:gridCol w:w="109"/>
        <w:gridCol w:w="109"/>
        <w:gridCol w:w="109"/>
        <w:gridCol w:w="804"/>
        <w:gridCol w:w="804"/>
        <w:gridCol w:w="806"/>
        <w:gridCol w:w="109"/>
        <w:gridCol w:w="109"/>
        <w:gridCol w:w="109"/>
        <w:gridCol w:w="353"/>
        <w:gridCol w:w="343"/>
        <w:gridCol w:w="345"/>
        <w:gridCol w:w="109"/>
        <w:gridCol w:w="109"/>
        <w:gridCol w:w="109"/>
        <w:gridCol w:w="315"/>
        <w:gridCol w:w="293"/>
        <w:gridCol w:w="78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Discounted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revenue growth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0.8% - 6.4%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15.5% - 15.5%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 enterprise value/ EBIDTA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7.4x - 18.3x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11.4x</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76"/>
        <w:gridCol w:w="419"/>
        <w:gridCol w:w="422"/>
        <w:gridCol w:w="109"/>
        <w:gridCol w:w="109"/>
        <w:gridCol w:w="109"/>
        <w:gridCol w:w="196"/>
        <w:gridCol w:w="646"/>
        <w:gridCol w:w="109"/>
        <w:gridCol w:w="109"/>
        <w:gridCol w:w="109"/>
        <w:gridCol w:w="109"/>
        <w:gridCol w:w="490"/>
        <w:gridCol w:w="481"/>
        <w:gridCol w:w="483"/>
        <w:gridCol w:w="109"/>
        <w:gridCol w:w="109"/>
        <w:gridCol w:w="109"/>
        <w:gridCol w:w="804"/>
        <w:gridCol w:w="804"/>
        <w:gridCol w:w="806"/>
        <w:gridCol w:w="109"/>
        <w:gridCol w:w="109"/>
        <w:gridCol w:w="109"/>
        <w:gridCol w:w="345"/>
        <w:gridCol w:w="345"/>
        <w:gridCol w:w="352"/>
        <w:gridCol w:w="109"/>
        <w:gridCol w:w="109"/>
        <w:gridCol w:w="109"/>
        <w:gridCol w:w="315"/>
        <w:gridCol w:w="293"/>
        <w:gridCol w:w="784"/>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Discounted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revenue growth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(5.7)% - 5.0%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15.5% - 15.5%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 enterprise value/ EBIDTA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(1.2)x - 18.1x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12.2x</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the JNX Investment are included within Other, net in the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changes in the Company's Level 3 financial instruments measured at fair value on a recurring basis:</w:t>
      </w:r>
    </w:p>
    <w:tbl>
      <w:tblPr>
        <w:tblW w:w="10205" w:type="dxa"/>
        <w:jc w:val="center"/>
        <w:tblInd w:w="0" w:type="dxa"/>
        <w:tblLayout w:type="fixed"/>
        <w:tblCellMar>
          <w:top w:w="28" w:type="dxa"/>
          <w:left w:w="28" w:type="dxa"/>
          <w:bottom w:w="28" w:type="dxa"/>
          <w:right w:w="28" w:type="dxa"/>
        </w:tblCellMar>
      </w:tblPr>
      <w:tblGrid>
        <w:gridCol w:w="395"/>
        <w:gridCol w:w="348"/>
        <w:gridCol w:w="350"/>
        <w:gridCol w:w="109"/>
        <w:gridCol w:w="109"/>
        <w:gridCol w:w="109"/>
        <w:gridCol w:w="206"/>
        <w:gridCol w:w="680"/>
        <w:gridCol w:w="114"/>
        <w:gridCol w:w="109"/>
        <w:gridCol w:w="109"/>
        <w:gridCol w:w="109"/>
        <w:gridCol w:w="227"/>
        <w:gridCol w:w="471"/>
        <w:gridCol w:w="128"/>
        <w:gridCol w:w="109"/>
        <w:gridCol w:w="109"/>
        <w:gridCol w:w="109"/>
        <w:gridCol w:w="222"/>
        <w:gridCol w:w="667"/>
        <w:gridCol w:w="123"/>
        <w:gridCol w:w="109"/>
        <w:gridCol w:w="109"/>
        <w:gridCol w:w="109"/>
        <w:gridCol w:w="241"/>
        <w:gridCol w:w="499"/>
        <w:gridCol w:w="135"/>
        <w:gridCol w:w="109"/>
        <w:gridCol w:w="109"/>
        <w:gridCol w:w="109"/>
        <w:gridCol w:w="240"/>
        <w:gridCol w:w="497"/>
        <w:gridCol w:w="134"/>
        <w:gridCol w:w="109"/>
        <w:gridCol w:w="109"/>
        <w:gridCol w:w="109"/>
        <w:gridCol w:w="205"/>
        <w:gridCol w:w="675"/>
        <w:gridCol w:w="114"/>
        <w:gridCol w:w="109"/>
        <w:gridCol w:w="109"/>
        <w:gridCol w:w="109"/>
        <w:gridCol w:w="263"/>
        <w:gridCol w:w="768"/>
        <w:gridCol w:w="214"/>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Net Unrealized Gains / (Losses) on Investments still held at June 30, 2023</w:t>
            </w:r>
          </w:p>
        </w:tc>
      </w:tr>
      <w:tr>
        <w:trPr/>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79,726 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71,059 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(8,667)</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Total realized and unrealized gains/(losses) includes gains and losses due to fluctuations in currency rates as well as gains and losses recognized on changes in the fair value of the JNX Investment.</w:t>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95"/>
        <w:gridCol w:w="348"/>
        <w:gridCol w:w="350"/>
        <w:gridCol w:w="109"/>
        <w:gridCol w:w="109"/>
        <w:gridCol w:w="109"/>
        <w:gridCol w:w="206"/>
        <w:gridCol w:w="680"/>
        <w:gridCol w:w="114"/>
        <w:gridCol w:w="109"/>
        <w:gridCol w:w="109"/>
        <w:gridCol w:w="109"/>
        <w:gridCol w:w="227"/>
        <w:gridCol w:w="471"/>
        <w:gridCol w:w="128"/>
        <w:gridCol w:w="109"/>
        <w:gridCol w:w="109"/>
        <w:gridCol w:w="109"/>
        <w:gridCol w:w="222"/>
        <w:gridCol w:w="667"/>
        <w:gridCol w:w="123"/>
        <w:gridCol w:w="109"/>
        <w:gridCol w:w="109"/>
        <w:gridCol w:w="109"/>
        <w:gridCol w:w="241"/>
        <w:gridCol w:w="499"/>
        <w:gridCol w:w="135"/>
        <w:gridCol w:w="109"/>
        <w:gridCol w:w="109"/>
        <w:gridCol w:w="109"/>
        <w:gridCol w:w="240"/>
        <w:gridCol w:w="497"/>
        <w:gridCol w:w="134"/>
        <w:gridCol w:w="109"/>
        <w:gridCol w:w="109"/>
        <w:gridCol w:w="109"/>
        <w:gridCol w:w="205"/>
        <w:gridCol w:w="675"/>
        <w:gridCol w:w="114"/>
        <w:gridCol w:w="109"/>
        <w:gridCol w:w="109"/>
        <w:gridCol w:w="109"/>
        <w:gridCol w:w="263"/>
        <w:gridCol w:w="768"/>
        <w:gridCol w:w="214"/>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Net Unrealized Gains / (Losses) on Investments still held at June 30, 2022</w:t>
            </w:r>
          </w:p>
        </w:tc>
      </w:tr>
      <w:tr>
        <w:trPr/>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84,482 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(6,920)</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77,562 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(6,920)</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Total realized and unrealized gains/(losses) includes gains and losses due to fluctuations in currency rates as well as gains and losses recognized on changes in the fair value of the JNX Investment.</w:t>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95"/>
        <w:gridCol w:w="348"/>
        <w:gridCol w:w="350"/>
        <w:gridCol w:w="109"/>
        <w:gridCol w:w="109"/>
        <w:gridCol w:w="109"/>
        <w:gridCol w:w="208"/>
        <w:gridCol w:w="686"/>
        <w:gridCol w:w="115"/>
        <w:gridCol w:w="109"/>
        <w:gridCol w:w="109"/>
        <w:gridCol w:w="109"/>
        <w:gridCol w:w="227"/>
        <w:gridCol w:w="471"/>
        <w:gridCol w:w="128"/>
        <w:gridCol w:w="109"/>
        <w:gridCol w:w="109"/>
        <w:gridCol w:w="109"/>
        <w:gridCol w:w="221"/>
        <w:gridCol w:w="665"/>
        <w:gridCol w:w="123"/>
        <w:gridCol w:w="109"/>
        <w:gridCol w:w="109"/>
        <w:gridCol w:w="109"/>
        <w:gridCol w:w="240"/>
        <w:gridCol w:w="499"/>
        <w:gridCol w:w="135"/>
        <w:gridCol w:w="109"/>
        <w:gridCol w:w="109"/>
        <w:gridCol w:w="109"/>
        <w:gridCol w:w="240"/>
        <w:gridCol w:w="497"/>
        <w:gridCol w:w="134"/>
        <w:gridCol w:w="109"/>
        <w:gridCol w:w="109"/>
        <w:gridCol w:w="109"/>
        <w:gridCol w:w="204"/>
        <w:gridCol w:w="675"/>
        <w:gridCol w:w="113"/>
        <w:gridCol w:w="109"/>
        <w:gridCol w:w="109"/>
        <w:gridCol w:w="109"/>
        <w:gridCol w:w="262"/>
        <w:gridCol w:w="765"/>
        <w:gridCol w:w="215"/>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Net Unrealized Gains / (Losses) on Investments still held at June 30, 2023</w:t>
            </w:r>
          </w:p>
        </w:tc>
      </w:tr>
      <w:tr>
        <w:trPr/>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(5,554)</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71,059 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(5,554)</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Total realized and unrealized gains/(losses) includes gains and losses due to fluctuations in currency rates as well as gains and losses recognized on changes in the fair value of the JNX Investment.</w:t>
            </w:r>
          </w:p>
        </w:tc>
      </w:tr>
    </w:tbl>
    <w:tbl>
      <w:tblPr>
        <w:tblW w:w="10205" w:type="dxa"/>
        <w:jc w:val="center"/>
        <w:tblInd w:w="0" w:type="dxa"/>
        <w:tblLayout w:type="fixed"/>
        <w:tblCellMar>
          <w:top w:w="28" w:type="dxa"/>
          <w:left w:w="28" w:type="dxa"/>
          <w:bottom w:w="28" w:type="dxa"/>
          <w:right w:w="28" w:type="dxa"/>
        </w:tblCellMar>
      </w:tblPr>
      <w:tblGrid>
        <w:gridCol w:w="395"/>
        <w:gridCol w:w="348"/>
        <w:gridCol w:w="350"/>
        <w:gridCol w:w="109"/>
        <w:gridCol w:w="109"/>
        <w:gridCol w:w="109"/>
        <w:gridCol w:w="208"/>
        <w:gridCol w:w="686"/>
        <w:gridCol w:w="115"/>
        <w:gridCol w:w="109"/>
        <w:gridCol w:w="109"/>
        <w:gridCol w:w="109"/>
        <w:gridCol w:w="227"/>
        <w:gridCol w:w="471"/>
        <w:gridCol w:w="128"/>
        <w:gridCol w:w="109"/>
        <w:gridCol w:w="109"/>
        <w:gridCol w:w="109"/>
        <w:gridCol w:w="221"/>
        <w:gridCol w:w="665"/>
        <w:gridCol w:w="123"/>
        <w:gridCol w:w="109"/>
        <w:gridCol w:w="109"/>
        <w:gridCol w:w="109"/>
        <w:gridCol w:w="240"/>
        <w:gridCol w:w="499"/>
        <w:gridCol w:w="135"/>
        <w:gridCol w:w="109"/>
        <w:gridCol w:w="109"/>
        <w:gridCol w:w="109"/>
        <w:gridCol w:w="240"/>
        <w:gridCol w:w="497"/>
        <w:gridCol w:w="134"/>
        <w:gridCol w:w="109"/>
        <w:gridCol w:w="109"/>
        <w:gridCol w:w="109"/>
        <w:gridCol w:w="204"/>
        <w:gridCol w:w="675"/>
        <w:gridCol w:w="113"/>
        <w:gridCol w:w="109"/>
        <w:gridCol w:w="109"/>
        <w:gridCol w:w="109"/>
        <w:gridCol w:w="262"/>
        <w:gridCol w:w="765"/>
        <w:gridCol w:w="215"/>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Net Unrealized Gains / (Losses) on Investments still held at June 30, 2022</w:t>
            </w:r>
          </w:p>
        </w:tc>
      </w:tr>
      <w:tr>
        <w:trPr/>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81,358 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(3,796)</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77,562 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(3,796)</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Total realized and unrealized gains/(losses) includes gains and losses due to fluctuations in currency rates as well as gains and losses recognized on changes in the fair value of the JNX Investment.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Financial Instruments Not Measured at Fair Value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financial assets and liabilities not carried at fair value on a recurring basis as of June 30, 2023:</w:t>
      </w:r>
    </w:p>
    <w:tbl>
      <w:tblPr>
        <w:tblW w:w="10205" w:type="dxa"/>
        <w:jc w:val="center"/>
        <w:tblInd w:w="0" w:type="dxa"/>
        <w:tblLayout w:type="fixed"/>
        <w:tblCellMar>
          <w:top w:w="28" w:type="dxa"/>
          <w:left w:w="28" w:type="dxa"/>
          <w:bottom w:w="28" w:type="dxa"/>
          <w:right w:w="28" w:type="dxa"/>
        </w:tblCellMar>
      </w:tblPr>
      <w:tblGrid>
        <w:gridCol w:w="611"/>
        <w:gridCol w:w="538"/>
        <w:gridCol w:w="540"/>
        <w:gridCol w:w="109"/>
        <w:gridCol w:w="109"/>
        <w:gridCol w:w="109"/>
        <w:gridCol w:w="197"/>
        <w:gridCol w:w="880"/>
        <w:gridCol w:w="110"/>
        <w:gridCol w:w="109"/>
        <w:gridCol w:w="109"/>
        <w:gridCol w:w="109"/>
        <w:gridCol w:w="196"/>
        <w:gridCol w:w="871"/>
        <w:gridCol w:w="109"/>
        <w:gridCol w:w="109"/>
        <w:gridCol w:w="109"/>
        <w:gridCol w:w="109"/>
        <w:gridCol w:w="316"/>
        <w:gridCol w:w="1193"/>
        <w:gridCol w:w="179"/>
        <w:gridCol w:w="109"/>
        <w:gridCol w:w="109"/>
        <w:gridCol w:w="109"/>
        <w:gridCol w:w="241"/>
        <w:gridCol w:w="1074"/>
        <w:gridCol w:w="134"/>
        <w:gridCol w:w="109"/>
        <w:gridCol w:w="109"/>
        <w:gridCol w:w="109"/>
        <w:gridCol w:w="355"/>
        <w:gridCol w:w="737"/>
        <w:gridCol w:w="289"/>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 </w:t>
            </w:r>
          </w:p>
        </w:tc>
      </w:tr>
      <w:tr>
        <w:trPr/>
        <w:tc>
          <w:tcPr>
            <w:tcW w:w="1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698,674 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698,674 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1,665,179 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1,665,179 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793,815 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793,815 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1,378,685 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1,378,685 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4,747,076 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4,747,076 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757,565 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3,989,511 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1,778,270 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1,801,798 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1,306,894 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1,306,894 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1,120,151 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1,120,151 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848,277 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848,277 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5,229,308 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5,256,115 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5,256,115 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cash collateral and deposits, and interest and dividends receivables.</w:t>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516" w:type="dxa"/>
            <w:gridSpan w:val="30"/>
            <w:tcBorders/>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Includes deposits, interest and dividends payable.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financial assets and liabilities not carried at fair value on a recurring basis as of December 31, 2022:</w:t>
      </w:r>
    </w:p>
    <w:tbl>
      <w:tblPr>
        <w:tblW w:w="10205" w:type="dxa"/>
        <w:jc w:val="center"/>
        <w:tblInd w:w="0" w:type="dxa"/>
        <w:tblLayout w:type="fixed"/>
        <w:tblCellMar>
          <w:top w:w="28" w:type="dxa"/>
          <w:left w:w="28" w:type="dxa"/>
          <w:bottom w:w="28" w:type="dxa"/>
          <w:right w:w="28" w:type="dxa"/>
        </w:tblCellMar>
      </w:tblPr>
      <w:tblGrid>
        <w:gridCol w:w="611"/>
        <w:gridCol w:w="538"/>
        <w:gridCol w:w="540"/>
        <w:gridCol w:w="109"/>
        <w:gridCol w:w="109"/>
        <w:gridCol w:w="109"/>
        <w:gridCol w:w="197"/>
        <w:gridCol w:w="880"/>
        <w:gridCol w:w="110"/>
        <w:gridCol w:w="109"/>
        <w:gridCol w:w="109"/>
        <w:gridCol w:w="109"/>
        <w:gridCol w:w="196"/>
        <w:gridCol w:w="871"/>
        <w:gridCol w:w="109"/>
        <w:gridCol w:w="109"/>
        <w:gridCol w:w="109"/>
        <w:gridCol w:w="109"/>
        <w:gridCol w:w="280"/>
        <w:gridCol w:w="1250"/>
        <w:gridCol w:w="158"/>
        <w:gridCol w:w="109"/>
        <w:gridCol w:w="109"/>
        <w:gridCol w:w="109"/>
        <w:gridCol w:w="241"/>
        <w:gridCol w:w="1074"/>
        <w:gridCol w:w="134"/>
        <w:gridCol w:w="109"/>
        <w:gridCol w:w="109"/>
        <w:gridCol w:w="109"/>
        <w:gridCol w:w="355"/>
        <w:gridCol w:w="737"/>
        <w:gridCol w:w="289"/>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 </w:t>
            </w:r>
          </w:p>
        </w:tc>
      </w:tr>
      <w:tr>
        <w:trPr/>
        <w:tc>
          <w:tcPr>
            <w:tcW w:w="1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981,580 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981,580 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restricted or segregated under regulations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1,027,917 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1,027,917 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80,830 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3,702,241 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3,702,241 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1,038,242 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2,663,999 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1,795,952 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1,783,943 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 dealer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3,832,021 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3,820,012 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cash collateral and deposits, and interest and dividends receivables.</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Includes deposits, interest and dividends payable.</w:t>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516"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Offsetting of Financial Assets and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gross and net presentation of certain financial assets and financial liabilities as of June 30, 2023 and December 31, 2022:</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51"/>
        <w:gridCol w:w="358"/>
        <w:gridCol w:w="360"/>
        <w:gridCol w:w="109"/>
        <w:gridCol w:w="109"/>
        <w:gridCol w:w="109"/>
        <w:gridCol w:w="205"/>
        <w:gridCol w:w="916"/>
        <w:gridCol w:w="116"/>
        <w:gridCol w:w="109"/>
        <w:gridCol w:w="109"/>
        <w:gridCol w:w="109"/>
        <w:gridCol w:w="208"/>
        <w:gridCol w:w="801"/>
        <w:gridCol w:w="115"/>
        <w:gridCol w:w="109"/>
        <w:gridCol w:w="109"/>
        <w:gridCol w:w="109"/>
        <w:gridCol w:w="210"/>
        <w:gridCol w:w="934"/>
        <w:gridCol w:w="116"/>
        <w:gridCol w:w="109"/>
        <w:gridCol w:w="109"/>
        <w:gridCol w:w="109"/>
        <w:gridCol w:w="199"/>
        <w:gridCol w:w="906"/>
        <w:gridCol w:w="111"/>
        <w:gridCol w:w="111"/>
        <w:gridCol w:w="111"/>
        <w:gridCol w:w="111"/>
        <w:gridCol w:w="344"/>
        <w:gridCol w:w="680"/>
        <w:gridCol w:w="111"/>
        <w:gridCol w:w="109"/>
        <w:gridCol w:w="109"/>
        <w:gridCol w:w="109"/>
        <w:gridCol w:w="196"/>
        <w:gridCol w:w="736"/>
        <w:gridCol w:w="164"/>
      </w:tblGrid>
      <w:tr>
        <w:trPr/>
        <w:tc>
          <w:tcPr>
            <w:tcW w:w="45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Offset in the Condensed Consolidated Statement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Assets Presented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Not Offset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 Collateral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1,665,179 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1,665,179 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(1,631,134)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793,815 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793,815 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(793,815)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(603,560)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3,156,035 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(603,560)</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2,552,475 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(2,424,949)</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(10,239)</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117,287 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05"/>
        <w:gridCol w:w="356"/>
        <w:gridCol w:w="358"/>
        <w:gridCol w:w="109"/>
        <w:gridCol w:w="109"/>
        <w:gridCol w:w="109"/>
        <w:gridCol w:w="207"/>
        <w:gridCol w:w="923"/>
        <w:gridCol w:w="117"/>
        <w:gridCol w:w="109"/>
        <w:gridCol w:w="109"/>
        <w:gridCol w:w="109"/>
        <w:gridCol w:w="211"/>
        <w:gridCol w:w="814"/>
        <w:gridCol w:w="117"/>
        <w:gridCol w:w="109"/>
        <w:gridCol w:w="109"/>
        <w:gridCol w:w="109"/>
        <w:gridCol w:w="212"/>
        <w:gridCol w:w="943"/>
        <w:gridCol w:w="117"/>
        <w:gridCol w:w="109"/>
        <w:gridCol w:w="109"/>
        <w:gridCol w:w="109"/>
        <w:gridCol w:w="200"/>
        <w:gridCol w:w="911"/>
        <w:gridCol w:w="111"/>
        <w:gridCol w:w="111"/>
        <w:gridCol w:w="111"/>
        <w:gridCol w:w="111"/>
        <w:gridCol w:w="344"/>
        <w:gridCol w:w="685"/>
        <w:gridCol w:w="112"/>
        <w:gridCol w:w="109"/>
        <w:gridCol w:w="109"/>
        <w:gridCol w:w="109"/>
        <w:gridCol w:w="212"/>
        <w:gridCol w:w="701"/>
        <w:gridCol w:w="181"/>
      </w:tblGrid>
      <w:tr>
        <w:trP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Offset in the Condensed Consolidated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Liabilities Presented in the Consolidated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Not Offset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Instruments </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 </w:t>
            </w:r>
          </w:p>
        </w:tc>
      </w:tr>
      <w:tr>
        <w:trPr/>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1,306,894 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1,306,894 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(1,287,973)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1,120,151 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1,120,151 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(1,120,151)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657,348 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(657,348)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3,088,926 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(657,348)</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2,431,578 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(2,408,124)</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(10,592)</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51"/>
        <w:gridCol w:w="358"/>
        <w:gridCol w:w="360"/>
        <w:gridCol w:w="109"/>
        <w:gridCol w:w="109"/>
        <w:gridCol w:w="109"/>
        <w:gridCol w:w="205"/>
        <w:gridCol w:w="916"/>
        <w:gridCol w:w="116"/>
        <w:gridCol w:w="109"/>
        <w:gridCol w:w="109"/>
        <w:gridCol w:w="109"/>
        <w:gridCol w:w="208"/>
        <w:gridCol w:w="801"/>
        <w:gridCol w:w="115"/>
        <w:gridCol w:w="109"/>
        <w:gridCol w:w="109"/>
        <w:gridCol w:w="109"/>
        <w:gridCol w:w="210"/>
        <w:gridCol w:w="934"/>
        <w:gridCol w:w="116"/>
        <w:gridCol w:w="109"/>
        <w:gridCol w:w="109"/>
        <w:gridCol w:w="109"/>
        <w:gridCol w:w="200"/>
        <w:gridCol w:w="907"/>
        <w:gridCol w:w="111"/>
        <w:gridCol w:w="111"/>
        <w:gridCol w:w="111"/>
        <w:gridCol w:w="111"/>
        <w:gridCol w:w="433"/>
        <w:gridCol w:w="590"/>
        <w:gridCol w:w="112"/>
        <w:gridCol w:w="109"/>
        <w:gridCol w:w="109"/>
        <w:gridCol w:w="109"/>
        <w:gridCol w:w="196"/>
        <w:gridCol w:w="736"/>
        <w:gridCol w:w="162"/>
      </w:tblGrid>
      <w:tr>
        <w:trPr/>
        <w:tc>
          <w:tcPr>
            <w:tcW w:w="45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Offset in the Condensed Consolidated Statement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Assets Presented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Not Offset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 Collateral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(1,148,238)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(336,849)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500,553 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(493,237)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2,117,694 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(493,237)</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1,624,457 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(1,485,087)</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(9,027)</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130,343 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07"/>
        <w:gridCol w:w="358"/>
        <w:gridCol w:w="360"/>
        <w:gridCol w:w="109"/>
        <w:gridCol w:w="109"/>
        <w:gridCol w:w="109"/>
        <w:gridCol w:w="207"/>
        <w:gridCol w:w="923"/>
        <w:gridCol w:w="116"/>
        <w:gridCol w:w="109"/>
        <w:gridCol w:w="109"/>
        <w:gridCol w:w="109"/>
        <w:gridCol w:w="213"/>
        <w:gridCol w:w="824"/>
        <w:gridCol w:w="118"/>
        <w:gridCol w:w="109"/>
        <w:gridCol w:w="109"/>
        <w:gridCol w:w="109"/>
        <w:gridCol w:w="214"/>
        <w:gridCol w:w="954"/>
        <w:gridCol w:w="119"/>
        <w:gridCol w:w="109"/>
        <w:gridCol w:w="109"/>
        <w:gridCol w:w="109"/>
        <w:gridCol w:w="201"/>
        <w:gridCol w:w="915"/>
        <w:gridCol w:w="112"/>
        <w:gridCol w:w="112"/>
        <w:gridCol w:w="112"/>
        <w:gridCol w:w="112"/>
        <w:gridCol w:w="345"/>
        <w:gridCol w:w="689"/>
        <w:gridCol w:w="113"/>
        <w:gridCol w:w="109"/>
        <w:gridCol w:w="109"/>
        <w:gridCol w:w="109"/>
        <w:gridCol w:w="203"/>
        <w:gridCol w:w="671"/>
        <w:gridCol w:w="172"/>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Offset in the Condensed Consolidated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Liabilities Presented in the Consolidated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Not Offset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 Collateral</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(1,027,062)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(627,388)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2,189,669 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1,691,870 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(1,654,450)</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(12,989)</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24,431 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gross obligations for securities sold under agreements to repurchase and for securities lending transactions by remaining contractual maturity and the class of collateral pledged as of June 30, 2023 and December 31, 2022:</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81"/>
        <w:gridCol w:w="511"/>
        <w:gridCol w:w="514"/>
        <w:gridCol w:w="109"/>
        <w:gridCol w:w="109"/>
        <w:gridCol w:w="109"/>
        <w:gridCol w:w="228"/>
        <w:gridCol w:w="1016"/>
        <w:gridCol w:w="127"/>
        <w:gridCol w:w="109"/>
        <w:gridCol w:w="109"/>
        <w:gridCol w:w="109"/>
        <w:gridCol w:w="210"/>
        <w:gridCol w:w="790"/>
        <w:gridCol w:w="116"/>
        <w:gridCol w:w="109"/>
        <w:gridCol w:w="109"/>
        <w:gridCol w:w="109"/>
        <w:gridCol w:w="196"/>
        <w:gridCol w:w="736"/>
        <w:gridCol w:w="109"/>
        <w:gridCol w:w="109"/>
        <w:gridCol w:w="109"/>
        <w:gridCol w:w="109"/>
        <w:gridCol w:w="196"/>
        <w:gridCol w:w="736"/>
        <w:gridCol w:w="109"/>
        <w:gridCol w:w="109"/>
        <w:gridCol w:w="109"/>
        <w:gridCol w:w="109"/>
        <w:gridCol w:w="232"/>
        <w:gridCol w:w="481"/>
        <w:gridCol w:w="128"/>
        <w:gridCol w:w="109"/>
        <w:gridCol w:w="109"/>
        <w:gridCol w:w="109"/>
        <w:gridCol w:w="196"/>
        <w:gridCol w:w="871"/>
        <w:gridCol w:w="160"/>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Contractual Maturity</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Overnight and Continuous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30 - 60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61 - 90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720,151 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720,151 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720,151 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1,120,151 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1,306,894 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1,306,894 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1,306,894 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1,306,894 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99"/>
        <w:gridCol w:w="528"/>
        <w:gridCol w:w="531"/>
        <w:gridCol w:w="109"/>
        <w:gridCol w:w="109"/>
        <w:gridCol w:w="109"/>
        <w:gridCol w:w="231"/>
        <w:gridCol w:w="1030"/>
        <w:gridCol w:w="128"/>
        <w:gridCol w:w="109"/>
        <w:gridCol w:w="109"/>
        <w:gridCol w:w="109"/>
        <w:gridCol w:w="211"/>
        <w:gridCol w:w="795"/>
        <w:gridCol w:w="117"/>
        <w:gridCol w:w="109"/>
        <w:gridCol w:w="109"/>
        <w:gridCol w:w="109"/>
        <w:gridCol w:w="196"/>
        <w:gridCol w:w="736"/>
        <w:gridCol w:w="109"/>
        <w:gridCol w:w="109"/>
        <w:gridCol w:w="109"/>
        <w:gridCol w:w="109"/>
        <w:gridCol w:w="196"/>
        <w:gridCol w:w="646"/>
        <w:gridCol w:w="109"/>
        <w:gridCol w:w="109"/>
        <w:gridCol w:w="109"/>
        <w:gridCol w:w="109"/>
        <w:gridCol w:w="235"/>
        <w:gridCol w:w="488"/>
        <w:gridCol w:w="130"/>
        <w:gridCol w:w="109"/>
        <w:gridCol w:w="109"/>
        <w:gridCol w:w="109"/>
        <w:gridCol w:w="196"/>
        <w:gridCol w:w="871"/>
        <w:gridCol w:w="161"/>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Contractual Maturity</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Overnight and Continuous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30 - 60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61 - 90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227,549 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10. Derivative Instruments</w:t>
      </w:r>
    </w:p>
    <w:p>
      <w:pPr>
        <w:pStyle w:val="TextBody"/>
        <w:bidi w:val="0"/>
        <w:spacing w:before="120" w:after="283"/>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derivative instruments on a gross basis consisted of the following at June 30, 2023 and December 31, 2022:</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17"/>
        <w:gridCol w:w="720"/>
        <w:gridCol w:w="728"/>
        <w:gridCol w:w="109"/>
        <w:gridCol w:w="109"/>
        <w:gridCol w:w="109"/>
        <w:gridCol w:w="776"/>
        <w:gridCol w:w="577"/>
        <w:gridCol w:w="579"/>
        <w:gridCol w:w="109"/>
        <w:gridCol w:w="109"/>
        <w:gridCol w:w="109"/>
        <w:gridCol w:w="234"/>
        <w:gridCol w:w="521"/>
        <w:gridCol w:w="131"/>
        <w:gridCol w:w="109"/>
        <w:gridCol w:w="109"/>
        <w:gridCol w:w="109"/>
        <w:gridCol w:w="196"/>
        <w:gridCol w:w="871"/>
        <w:gridCol w:w="109"/>
        <w:gridCol w:w="109"/>
        <w:gridCol w:w="109"/>
        <w:gridCol w:w="109"/>
        <w:gridCol w:w="201"/>
        <w:gridCol w:w="572"/>
        <w:gridCol w:w="113"/>
        <w:gridCol w:w="109"/>
        <w:gridCol w:w="109"/>
        <w:gridCol w:w="109"/>
        <w:gridCol w:w="196"/>
        <w:gridCol w:w="871"/>
        <w:gridCol w:w="158"/>
      </w:tblGrid>
      <w:tr>
        <w:trPr/>
        <w:tc>
          <w:tcPr>
            <w:tcW w:w="10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r>
      <w:tr>
        <w:trPr/>
        <w:tc>
          <w:tcPr>
            <w:tcW w:w="2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Equities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663,110 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Commodity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5,706,595 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7,597,057 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3,226,865 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(24,023)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7,460,531 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income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691,737 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44,930,685 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500,553 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30,286,330 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r>
      <w:tr>
        <w:trPr/>
        <w:tc>
          <w:tcPr>
            <w:tcW w:w="2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Equities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3,238,651 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Commodity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income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742,531 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657,348 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44,953,567 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30,284,952 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Amounts included in receivables from and payables to broker-dealers and clearing organizations represent net variation margin on long and short futures contracts as well as amounts receivable or payable on interest rate swaps.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Condensed Consolidated Statements of Comprehensive Income for the three and six months ended June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34"/>
        <w:gridCol w:w="823"/>
        <w:gridCol w:w="827"/>
        <w:gridCol w:w="109"/>
        <w:gridCol w:w="109"/>
        <w:gridCol w:w="109"/>
        <w:gridCol w:w="646"/>
        <w:gridCol w:w="499"/>
        <w:gridCol w:w="501"/>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7"/>
      </w:tblGrid>
      <w:tr>
        <w:trPr/>
        <w:tc>
          <w:tcPr>
            <w:tcW w:w="93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2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 on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The Company entered into a five-year $1,000 million floating-to-fixed interest rate swap agreement in the first quarter of 2020 and a five-year $525 million floating-to-fixed interest rate swap agreement in the fourth quarter of 2019. These two interest rate swaps met the criteria to be considered qualifying cash flow hedges under ASC 815 in the first quarter of 2020, and as such, the mark-to-market gains (losses) on the instruments were deferred within Other comprehensive income on the Condensed Consolidated Statements of Comprehensive Income beginning in the first quarter of 2020.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Variable Interest Entities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June 30, 2023, the Company held noncontrolling interests of 11.1% and 50.0%, respectively, in these JVs.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an interest in a JV that offers derivatives trading technology and execution services to broker-dealers, professional traders and select hedge funds. As of June 30, 2023, the Company held approximately a 9.8% noncontrolling interest in this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an interest in a JV that operates a member-owned equities exchange with the goal of increasing competition and transparency, while reducing fixed costs and simplifying execution of equity trading in the U.S. As of June 30, 2023, the Company held approximately a 14.2% noncontrolling interest in this JV.</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2022, the Company invested in a JV that was formed for the purpose of developing and operating a cryptocurrency trading platform with the goal of increasing competition and transparency, while improving trading performance and reducing operational risk. As of June 30, 2023, the Company held approximately a 9.3% noncontrolling interest in this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five JVs noted above meet the criteria to be considered VIEs, which it does not consolidate. The Company records its interest in each JV under the equity method of accounting and records its investment in the JVs within Other assets and its amounts payable for communication services provided by the applicable JVs within Accounts payable, accrued expenses and other liabilities on the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exposure to the obligations of these VIEs is generally limited to its interests in each respective JV, which is the carrying value of the equity investment in each JV.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nonconsolidated VIEs at June 30, 2023:</w:t>
      </w:r>
    </w:p>
    <w:p>
      <w:pPr>
        <w:pStyle w:val="TextBody"/>
        <w:bidi w:val="0"/>
        <w:spacing w:before="0" w:after="0"/>
        <w:ind w:left="0" w:right="0" w:firstLine="720"/>
        <w:jc w:val="left"/>
        <w:rPr/>
      </w:pPr>
      <w:r>
        <w:rPr/>
      </w:r>
    </w:p>
    <w:tbl>
      <w:tblPr>
        <w:tblW w:w="7561"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196"/>
        <w:gridCol w:w="646"/>
        <w:gridCol w:w="109"/>
        <w:gridCol w:w="109"/>
        <w:gridCol w:w="109"/>
        <w:gridCol w:w="109"/>
        <w:gridCol w:w="198"/>
        <w:gridCol w:w="411"/>
        <w:gridCol w:w="112"/>
        <w:gridCol w:w="109"/>
        <w:gridCol w:w="109"/>
        <w:gridCol w:w="109"/>
        <w:gridCol w:w="436"/>
        <w:gridCol w:w="1437"/>
        <w:gridCol w:w="242"/>
        <w:gridCol w:w="109"/>
        <w:gridCol w:w="109"/>
        <w:gridCol w:w="109"/>
        <w:gridCol w:w="196"/>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 to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VIEs' assets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50,939 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264,860 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nonconsolidated VIEs at December 31, 2022: </w:t>
      </w:r>
    </w:p>
    <w:p>
      <w:pPr>
        <w:pStyle w:val="TextBody"/>
        <w:bidi w:val="0"/>
        <w:spacing w:before="0" w:after="0"/>
        <w:ind w:left="0" w:right="0" w:firstLine="720"/>
        <w:jc w:val="left"/>
        <w:rPr/>
      </w:pPr>
      <w:r>
        <w:rPr/>
      </w:r>
    </w:p>
    <w:tbl>
      <w:tblPr>
        <w:tblW w:w="7561"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196"/>
        <w:gridCol w:w="646"/>
        <w:gridCol w:w="109"/>
        <w:gridCol w:w="109"/>
        <w:gridCol w:w="109"/>
        <w:gridCol w:w="109"/>
        <w:gridCol w:w="198"/>
        <w:gridCol w:w="411"/>
        <w:gridCol w:w="112"/>
        <w:gridCol w:w="109"/>
        <w:gridCol w:w="109"/>
        <w:gridCol w:w="109"/>
        <w:gridCol w:w="436"/>
        <w:gridCol w:w="1437"/>
        <w:gridCol w:w="242"/>
        <w:gridCol w:w="109"/>
        <w:gridCol w:w="109"/>
        <w:gridCol w:w="109"/>
        <w:gridCol w:w="196"/>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 to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VIEs' assets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43,589 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239,682 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2022, the Company formed a JV to support the growth and expansion of a multi-asset request-for-quote communication platform. As of June 30, 2023, the Company held a 51% controlling interest in this entity. This JV meets the criteria to be considered a VIE, and based on the standard for control set forth above, the Company consolidates this entity and records the interest that the Company does not own as noncontrolling interest in the Condensed Consolidated Financial Statements.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12. Revenues from Contracts with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on revenue recognition and the nature of services provided, see Note 2 "Summary of Significant Accounting Policies" and Note 13 "Revenues from Contracts with Customers" to the Consolidated Financial Statements of the Company's 2022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contracts with customers disaggregated by service, and timing of revenue recognition, reconciled to the Company’s segments, for the three and six months ended June 30, 2023, and 2022:</w:t>
      </w:r>
    </w:p>
    <w:tbl>
      <w:tblPr>
        <w:tblW w:w="9239"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34"/>
        <w:gridCol w:w="880"/>
        <w:gridCol w:w="130"/>
        <w:gridCol w:w="109"/>
        <w:gridCol w:w="109"/>
        <w:gridCol w:w="109"/>
        <w:gridCol w:w="274"/>
        <w:gridCol w:w="1029"/>
        <w:gridCol w:w="152"/>
        <w:gridCol w:w="109"/>
        <w:gridCol w:w="109"/>
        <w:gridCol w:w="109"/>
        <w:gridCol w:w="196"/>
        <w:gridCol w:w="631"/>
        <w:gridCol w:w="109"/>
        <w:gridCol w:w="109"/>
        <w:gridCol w:w="109"/>
        <w:gridCol w:w="109"/>
        <w:gridCol w:w="196"/>
        <w:gridCol w:w="736"/>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69,993 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Workflow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102,870 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sources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398,616 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405,250 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109,116 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506,854 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90,940 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405,250 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109,116 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506,854 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tbl>
      <w:tblPr>
        <w:tblW w:w="9254"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34"/>
        <w:gridCol w:w="880"/>
        <w:gridCol w:w="130"/>
        <w:gridCol w:w="109"/>
        <w:gridCol w:w="109"/>
        <w:gridCol w:w="109"/>
        <w:gridCol w:w="274"/>
        <w:gridCol w:w="1029"/>
        <w:gridCol w:w="152"/>
        <w:gridCol w:w="109"/>
        <w:gridCol w:w="109"/>
        <w:gridCol w:w="109"/>
        <w:gridCol w:w="196"/>
        <w:gridCol w:w="646"/>
        <w:gridCol w:w="109"/>
        <w:gridCol w:w="109"/>
        <w:gridCol w:w="109"/>
        <w:gridCol w:w="109"/>
        <w:gridCol w:w="196"/>
        <w:gridCol w:w="736"/>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90,998 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Workflow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24,334 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125,195 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sources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421,450 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432,595 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130,997 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604,738 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432,595 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112,989 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432,595 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130,997 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604,738 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9374"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34"/>
        <w:gridCol w:w="880"/>
        <w:gridCol w:w="130"/>
        <w:gridCol w:w="109"/>
        <w:gridCol w:w="109"/>
        <w:gridCol w:w="109"/>
        <w:gridCol w:w="274"/>
        <w:gridCol w:w="1029"/>
        <w:gridCol w:w="152"/>
        <w:gridCol w:w="109"/>
        <w:gridCol w:w="109"/>
        <w:gridCol w:w="109"/>
        <w:gridCol w:w="196"/>
        <w:gridCol w:w="631"/>
        <w:gridCol w:w="109"/>
        <w:gridCol w:w="109"/>
        <w:gridCol w:w="109"/>
        <w:gridCol w:w="109"/>
        <w:gridCol w:w="196"/>
        <w:gridCol w:w="87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147,251 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Workflow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47,532 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214,614 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sources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887,835 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904,169 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227,593 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904,169 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191,419 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904,169 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227,593 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1,127,233 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9389"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34"/>
        <w:gridCol w:w="880"/>
        <w:gridCol w:w="130"/>
        <w:gridCol w:w="109"/>
        <w:gridCol w:w="109"/>
        <w:gridCol w:w="109"/>
        <w:gridCol w:w="274"/>
        <w:gridCol w:w="1029"/>
        <w:gridCol w:w="152"/>
        <w:gridCol w:w="109"/>
        <w:gridCol w:w="109"/>
        <w:gridCol w:w="109"/>
        <w:gridCol w:w="196"/>
        <w:gridCol w:w="646"/>
        <w:gridCol w:w="109"/>
        <w:gridCol w:w="109"/>
        <w:gridCol w:w="109"/>
        <w:gridCol w:w="109"/>
        <w:gridCol w:w="196"/>
        <w:gridCol w:w="87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199,187 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Workflow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51,270 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270,801 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sources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958,964 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979,158 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282,742 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979,158 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246,303 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36,439 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979,158 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282,742 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 and Revenue Recognized from Past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2022, the aggregate amount of the transaction price allocated to the performance obligations relating to workflow technology and analytics revenues that are unsatisfied (or partially unsatisfied) was not 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Contract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related to revenues from contracts with customers amounted to $55.8 million and $56.1 million as of June 30, 2023 and December 31, 2022, respectively. The Company did not identify any contract assets. There were no impairment losses on receivables as of June 30, 2023.</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Deferred revenue primarily relates to deferred commissions allocated to analytics products and subscription fees billed in advance of satisfying the performance obligations. Deferred revenue related to contracts with customers was $14.0 million and $9.6 million as of June 30, 2023 and December 31, 2022, respectively. The Company recognized the full amount of revenue </w:t>
      </w:r>
      <w:r>
        <w:rPr>
          <w:rFonts w:ascii="Times New Roman;sans-serif" w:hAnsi="Times New Roman;sans-serif"/>
          <w:b w:val="false"/>
          <w:color w:val="000000"/>
          <w:sz w:val="20"/>
          <w:shd w:fill="FFFFFF" w:val="clear"/>
        </w:rPr>
        <w:t xml:space="preserve">during the six months ended June 30, 2023 and 2022, </w:t>
      </w:r>
      <w:r>
        <w:rPr>
          <w:rFonts w:ascii="Times New Roman;sans-serif" w:hAnsi="Times New Roman;sans-serif"/>
          <w:b w:val="false"/>
          <w:color w:val="000000"/>
          <w:sz w:val="20"/>
        </w:rPr>
        <w:t>that had been recorded as deferred revenue in the respective prior year.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identified any costs to obtain or fulfill its contracts under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and six months ended June 30, 2023 and 2022,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non-U.S. subsidiaries are subject to foreign income taxes in the jurisdictions in which they operate. The Company’s provisions for income taxes and effective tax rates were $5.9 million, and 16.7%, and $24.9 million, and 14.3% for the </w:t>
      </w:r>
      <w:r>
        <w:rPr>
          <w:rFonts w:ascii="Times New Roman;sans-serif" w:hAnsi="Times New Roman;sans-serif"/>
          <w:b w:val="false"/>
          <w:color w:val="000000"/>
          <w:sz w:val="20"/>
          <w:shd w:fill="FFFFFF" w:val="clear"/>
        </w:rPr>
        <w:t>three months ended</w:t>
      </w:r>
      <w:r>
        <w:rPr>
          <w:color w:val="000000"/>
        </w:rPr>
        <w:t xml:space="preserve"> </w:t>
      </w:r>
      <w:r>
        <w:rPr>
          <w:rFonts w:ascii="Times New Roman;sans-serif" w:hAnsi="Times New Roman;sans-serif"/>
          <w:b w:val="false"/>
          <w:color w:val="000000"/>
          <w:sz w:val="20"/>
        </w:rPr>
        <w:t>June 30, 2023 and 2022, respectively and $30.6 million, and 18.0%, and $66.7 million, and 16.0% for the six months ended June 30, 2023 and 2022, respectively. Income tax expense is also affected by the differing effective tax rates in foreign, state and local jurisdictions where certain of the Company’s subsidiaries are subject to corporate taxation.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Other assets on the Condensed Consolidated Statements of Financial Condition at June 30, 2023 and December 31, 2022 are current income tax receivables of $48.3 million and $54.1 million, respectively. The balances at June 30, 2023 and December 31, 2022 primarily comprised income tax benefits due to the Company from federal, state, local, and foreign tax jurisdictions based on income before taxes. Included in Accounts payable, accrued expenses and other liabilities on the Condensed Consolidated Statements of Financial Condition at June 30, 2023 and December 31, 2022 are current tax liabilities of $9.3 million and $13.4 million, respectively. The balances at June 30, 2023 and December 31, 2022 primarily comprise income taxes owed to federal, state and local, and foreign tax jurisdictions based on income before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arise primarily due to the amortization of the deferred tax assets recognized in connection with the IPO (see Note 4 "Tax Receivable Agreements"), the Acquisition of KCG and the ITG Acquisition, differences in the valuation of financial assets and liabilities, and other temporary differences arising from the deductibility of compensation, depreciation, and other expenses in different time periods for book and income tax return purposes.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June 30, 2023 and December 31, 2022, the Company did not have any U.S. federal net operating loss carryforwards and therefore the Company did not record a deferred tax asset related to federal net operating loss carryforwards. At June 30, 2023 and December 31, 2022, the Company recorded deferred income taxes related to state and local net operating losses of $0.4 million. These net operating losses will begin to expire in 2039. The Company did not record a valuation allowance against this deferred tax asset.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ITG Acquisition, the Company had non-U.S. net operating losses of $66.9 million and $64.6 million at June 30, 2023 and December 31, 2022, respectively, and recorded a related deferred tax asset of $12.8 million and $12.4 million, respectively. A valuation allowance of $12.8 million and $12.4 million was recorded against this deferred tax asset at June 30, 2023 and December 31, 2022, respectively as it is more likely than not that a substantial portion of this deferred tax asset will not be realized. As a result of the Acquisition of KCG, the Company had non-U.S. net operating losses at June 30, 2023 and December 31, 2022 of $239.3 million, and recorded a related deferred tax asset of $44.9 million in both years. A full valuation allowance was also recorded against this deferred tax asset at both June 30, 2023 and December 31, 2022 as it is more likely than not that this deferred tax asset will not be realized.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valuation allowance against the remaining deferred taxes was recorded as of June 30, 2023 and December 31, 2022 because it is more likely than not that these deferred tax assets will be fully realized.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taxation in U.S. federal, state, local and foreign jurisdictions. As of June 30, 2023, the Company’s tax years for 2015 through 2021 and 2016 through 2021 were subject to examination by U.S. and non-U.S. tax authorities, respectively. As a result of the ITG Acquisition and the Acquisition of KCG, the Company assumed any ITG and KCG tax exposures. In addition, the Company is subject to state and local income tax examinations in various jurisdictions for the tax years 2013 through 2021. The final outcome of these examinations is not yet determinable. However, the Company anticipates that adjustments related to these examinations, if any, will not result in a material change to its financial condition, results of operations and cash flows.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Statements of Comprehensive Income,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$6.8 million of unrecognized tax benefits as of June 30, 2023, all of which would affect the Company’s effective tax rate if recognized. The Company has determined that there are no uncertain tax positions that would have a material impact on the Company’s financial position as of June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14. Commitments, Contingencies and Guarantees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Legal and Regulatory Proceedings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In the ordinary course of business, the nature of the Company’s business subjects it to claims, lawsuits, regulatory examinations or investigations and other proceedings, any of which could result in the imposition of fines, penalties or other sanctions against the Company. The Company and its subsidiaries are subject to several of these matters at the present time, including, among others, a matter in which the Company has been responding to requests for information from the U.S. Securities and Exchange Commission in connection with an investigation of aspects of the Company’s internal information access barriers. The Company has continued to cooperate with this civil investigation and engaged in settlement discussions.</w:t>
      </w:r>
      <w:r>
        <w:rPr>
          <w:color w:val="000000"/>
        </w:rPr>
        <w:t xml:space="preserve"> </w:t>
      </w:r>
      <w:r>
        <w:rPr>
          <w:rFonts w:ascii="Times New Roman;sans-serif" w:hAnsi="Times New Roman;sans-serif"/>
          <w:b w:val="false"/>
          <w:color w:val="000000"/>
          <w:sz w:val="20"/>
        </w:rPr>
        <w:t>The Company has been unable to reach a settlement and, consistent with its previous disclosure, has received a Wells Notice from the SEC, to which it has responded.</w:t>
      </w:r>
      <w:r>
        <w:rPr>
          <w:color w:val="000000"/>
        </w:rPr>
        <w:t xml:space="preserve"> </w:t>
      </w:r>
      <w:r>
        <w:rPr>
          <w:rFonts w:ascii="Times New Roman;sans-serif" w:hAnsi="Times New Roman;sans-serif"/>
          <w:b w:val="false"/>
          <w:color w:val="000000"/>
          <w:sz w:val="20"/>
        </w:rPr>
        <w:t>The Company expects the SEC to file an action against the Company alleging violations of federal securities laws with respect to the Company’s information barriers policies and procedures for a specified time period in and around January 2018 to April 2019 and related statements made by the Company during such period. The Company believes it would have meritorious defenses in the event of such an action and intends to defend itself vigorously.</w:t>
      </w:r>
      <w:r>
        <w:rPr>
          <w:color w:val="000000"/>
        </w:rPr>
        <w:t xml:space="preserve"> </w:t>
      </w:r>
      <w:r>
        <w:rPr>
          <w:rFonts w:ascii="Times New Roman;sans-serif" w:hAnsi="Times New Roman;sans-serif"/>
          <w:b w:val="false"/>
          <w:color w:val="000000"/>
          <w:sz w:val="20"/>
        </w:rPr>
        <w:t>Specifically, the Company would plan to assert, among other defenses, that it maintained reasonable policies, procedures and controls to protect data during the period consistent with applicable law, that related statements made to clients and investors were true and accurate, and that the statute of limitations has expired with respect to certain claims.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a matter related to the SEC investigation noted above, on May 19, 2023, the Company and certain of its current and former executive officers were named as defendants in </w:t>
      </w:r>
      <w:r>
        <w:rPr>
          <w:rFonts w:ascii="Times New Roman;sans-serif" w:hAnsi="Times New Roman;sans-serif"/>
          <w:b w:val="false"/>
          <w:i/>
          <w:color w:val="000000"/>
          <w:sz w:val="20"/>
        </w:rPr>
        <w:t xml:space="preserve">Hiebert v. Virtu Financial, Inc., </w:t>
      </w:r>
      <w:r>
        <w:rPr>
          <w:rFonts w:ascii="Times New Roman;sans-serif" w:hAnsi="Times New Roman;sans-serif"/>
          <w:b w:val="false"/>
          <w:color w:val="000000"/>
          <w:sz w:val="20"/>
        </w:rPr>
        <w:t>No. 23-cv-03770. The complaint was filed by a purported stockholder in the Eastern District of New York on behalf of a putative class and asserts that the Company made materially false and misleading statements and omissions in its public filings in violation of federal securities laws. The Company also received a request for information pursuant to Section 220 of the Delaware General Corporation Law from counsel for a purported stockholder. The Company believes it has meritorious defenses against pending or contemplated claims that its public disclosures in relation to the SEC investigation were inadequate or misleading. The Company maintains that such disclosures were true and accurate and compliant with applicable law and will defend itself vigorously.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November 30, 2020, the Company was named as a defendant in </w:t>
      </w:r>
      <w:r>
        <w:rPr>
          <w:rFonts w:ascii="Times New Roman;sans-serif" w:hAnsi="Times New Roman;sans-serif"/>
          <w:b w:val="false"/>
          <w:i/>
          <w:color w:val="000000"/>
          <w:sz w:val="20"/>
        </w:rPr>
        <w:t>In re United States Oil Fund, LP Securities Litigation</w:t>
      </w:r>
      <w:r>
        <w:rPr>
          <w:rFonts w:ascii="Times New Roman;sans-serif" w:hAnsi="Times New Roman;sans-serif"/>
          <w:b w:val="false"/>
          <w:color w:val="000000"/>
          <w:sz w:val="20"/>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the motion is fully briefed and pending before the court. The Company believes that the claims are without merit and is defending itself vigorously.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March 7, 2022, the Company was named as a defendant in </w:t>
      </w:r>
      <w:r>
        <w:rPr>
          <w:rFonts w:ascii="Times New Roman;sans-serif" w:hAnsi="Times New Roman;sans-serif"/>
          <w:b w:val="false"/>
          <w:i/>
          <w:color w:val="000000"/>
          <w:sz w:val="20"/>
        </w:rPr>
        <w:t>Iron Workers Local No. 55 Pension Fund v. Virtu Financial, Inc.</w:t>
      </w:r>
      <w:r>
        <w:rPr>
          <w:rFonts w:ascii="Times New Roman;sans-serif" w:hAnsi="Times New Roman;sans-serif"/>
          <w:b w:val="false"/>
          <w:color w:val="000000"/>
          <w:sz w:val="20"/>
        </w:rPr>
        <w:t>, No. 2022-0211-PAF pending in the Court of Chancery of the State of Delaware. The complaint, filed by a purported stockholder, seeks to compel the inspection of certain Company books and records pursuant to Section 220 of the Delaware General Corporation Law. The complaint alleges that the stockholder seeks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believes that the claims are without merit and is defending itself vigorously.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October 17, 2022, the Company’s subsidiary, along with several other parties, was named as a defendant in </w:t>
      </w:r>
      <w:r>
        <w:rPr>
          <w:rFonts w:ascii="Times New Roman;sans-serif" w:hAnsi="Times New Roman;sans-serif"/>
          <w:b w:val="false"/>
          <w:i/>
          <w:color w:val="000000"/>
          <w:sz w:val="20"/>
        </w:rPr>
        <w:t>Mallinckrodt PLC, et al. (Reorganized Debtors); Opioid Master Disbursement Trust II v. Argos Capital Appreciation Master Fund LP et al</w:t>
      </w:r>
      <w:r>
        <w:rPr>
          <w:color w:val="000000"/>
        </w:rPr>
        <w:t xml:space="preserve"> </w:t>
      </w:r>
      <w:r>
        <w:rPr>
          <w:rFonts w:ascii="Times New Roman;sans-serif" w:hAnsi="Times New Roman;sans-serif"/>
          <w:b w:val="false"/>
          <w:color w:val="000000"/>
          <w:sz w:val="20"/>
        </w:rPr>
        <w:t>No. 20-12522. The complaint alleges that Mallinckrodt PLC engaged in a share repurchase program from 2015 through 2018 pursuant to which it repurchased its own shares in various open market transactions, a period during which it was allegedly insolvent. The plaintiff is seeking to unwind the transactions consummated under the program, alleging such transactions constituted fraudulent transfers by the debtor. The Company believes that the claims are without merit and is defending itself vigorously.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December 1, 2022, the Company’s subsidiary, along with several other parties, was named as a defendant in </w:t>
      </w:r>
      <w:r>
        <w:rPr>
          <w:rFonts w:ascii="Times New Roman;sans-serif" w:hAnsi="Times New Roman;sans-serif"/>
          <w:b w:val="false"/>
          <w:i/>
          <w:color w:val="000000"/>
          <w:sz w:val="20"/>
        </w:rPr>
        <w:t xml:space="preserve">Northwest Biotherapeutics, Inc. v. Canaccord Genuity LLC, et al </w:t>
      </w:r>
      <w:r>
        <w:rPr>
          <w:rFonts w:ascii="Times New Roman;sans-serif" w:hAnsi="Times New Roman;sans-serif"/>
          <w:b w:val="false"/>
          <w:color w:val="000000"/>
          <w:sz w:val="20"/>
        </w:rPr>
        <w:t>No. 1:22-cv-10185. The complaint alleges that defendants engaged in market manipulation in the plaintiff’s stock during a period from 2018 to 2022. The complaint did not specify the amount of alleged damages. The Company believes that the claims are without merit and is defending itself vigorously.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and utilizes its judgment in accordance with applicable accounting standards in booking any associated estimated liability. It is not presently possible to determine the ultimate exposure to these matters and it is possible that the resolution of the outstanding matters will significantly exceed any estimated liabilities accrued by the Company. In addition, there are numerous factors that result in a greater degree of complexity in class-action lawsuits as compared to other types of litigation. There can be no assurance that these various legal proceedings will not significantly exceed any estimated liability accrued by the Company or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Legal and Regulatory Matters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Specifically, in 2022 the SEC proposed several rule changes focused on equity market structure reform. These proposals include, but are not limited to, (i) Proposed Rule 615 of Regulation NMS, which proposes to dramatically change U.S. equities market structure, the routing, handling and potentially the amount, character and cost of retail order flow, (ii) Regulation Best Execution, which would impose best execution requirements on broker-dealers which would be distinct from, but overlapping with, FINRA’s existing best execution rule (Rule 5310), (iii) proposed rule amendments to minimum pricing increments under Rule 612 or Regulation NMS, access fee caps under Rule 610 of Regulation NMS, acceleration of the implementation of certain Market Data Infrastructure Rules, and amendment to the odd-lot information definition adopted under the MDI rules (collectively referred to as the “tick size, access fees and infostructure rule proposals”), and (iv) amendments to Rule 605 of Regulation NMS, along with a series of amendments to the definition of Exchange and Alternative Trading Systems (ATS), which would expand the scope of exchange and ATS registration and compliance requirements. Further, in 2023, the SEC proposed amendments to expand and update Regulation Systems Compliance and Integrity (SCI) and has indicated that additional rule proposals may be forthcoming. If adopted, these or other potential rule changes could adversely affect the Company’s business or the Company’s industry. As indicated above,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indicated above, the Company is currently the subject of various regulatory reviews and investigations by state, federal and foreign regulators and SROs, including the SEC and FINRA. In some instances, these matters may result in a disciplinary action and/or a civil or administrative action.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Representations and Warranties; Indemnification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primarily enters into lessee arrangements for corporate office space, data centers, and technology equipment. For more information on lease accounting, see Note 2 "Summary of Significant Accounting Policies" and Note 16 "Leases" to the Consolidated Financial Statements of the Company's 2022 Annual Report on Form 10-K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and liabilities are summarized as follows:</w:t>
      </w:r>
    </w:p>
    <w:p>
      <w:pPr>
        <w:pStyle w:val="TextBody"/>
        <w:bidi w:val="0"/>
        <w:spacing w:before="0" w:after="0"/>
        <w:jc w:val="left"/>
        <w:rPr/>
      </w:pPr>
      <w:r>
        <w:rPr/>
      </w:r>
    </w:p>
    <w:tbl>
      <w:tblPr>
        <w:tblW w:w="10160" w:type="dxa"/>
        <w:jc w:val="center"/>
        <w:tblInd w:w="0" w:type="dxa"/>
        <w:tblLayout w:type="fixed"/>
        <w:tblCellMar>
          <w:top w:w="28" w:type="dxa"/>
          <w:left w:w="28" w:type="dxa"/>
          <w:bottom w:w="28" w:type="dxa"/>
          <w:right w:w="28" w:type="dxa"/>
        </w:tblCellMar>
      </w:tblPr>
      <w:tblGrid>
        <w:gridCol w:w="894"/>
        <w:gridCol w:w="789"/>
        <w:gridCol w:w="791"/>
        <w:gridCol w:w="109"/>
        <w:gridCol w:w="109"/>
        <w:gridCol w:w="109"/>
        <w:gridCol w:w="1343"/>
        <w:gridCol w:w="1343"/>
        <w:gridCol w:w="1349"/>
        <w:gridCol w:w="109"/>
        <w:gridCol w:w="109"/>
        <w:gridCol w:w="109"/>
        <w:gridCol w:w="212"/>
        <w:gridCol w:w="796"/>
        <w:gridCol w:w="117"/>
        <w:gridCol w:w="109"/>
        <w:gridCol w:w="109"/>
        <w:gridCol w:w="109"/>
        <w:gridCol w:w="279"/>
        <w:gridCol w:w="1047"/>
        <w:gridCol w:w="219"/>
      </w:tblGrid>
      <w:tr>
        <w:trPr/>
        <w:tc>
          <w:tcPr>
            <w:tcW w:w="89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187,442 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224,086 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239,202 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capitalized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27,908 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and discount rate are as follows:</w:t>
      </w:r>
    </w:p>
    <w:p>
      <w:pPr>
        <w:pStyle w:val="TextBody"/>
        <w:bidi w:val="0"/>
        <w:spacing w:before="0" w:after="0"/>
        <w:ind w:left="0" w:right="0" w:firstLine="720"/>
        <w:jc w:val="center"/>
        <w:rPr/>
      </w:pPr>
      <w:r>
        <w:rPr/>
      </w:r>
    </w:p>
    <w:tbl>
      <w:tblPr>
        <w:tblW w:w="6173" w:type="dxa"/>
        <w:jc w:val="center"/>
        <w:tblInd w:w="0" w:type="dxa"/>
        <w:tblLayout w:type="fixed"/>
        <w:tblCellMar>
          <w:top w:w="28" w:type="dxa"/>
          <w:left w:w="28" w:type="dxa"/>
          <w:bottom w:w="28" w:type="dxa"/>
          <w:right w:w="28" w:type="dxa"/>
        </w:tblCellMar>
      </w:tblPr>
      <w:tblGrid>
        <w:gridCol w:w="1032"/>
        <w:gridCol w:w="907"/>
        <w:gridCol w:w="911"/>
        <w:gridCol w:w="109"/>
        <w:gridCol w:w="109"/>
        <w:gridCol w:w="109"/>
        <w:gridCol w:w="267"/>
        <w:gridCol w:w="267"/>
        <w:gridCol w:w="591"/>
        <w:gridCol w:w="109"/>
        <w:gridCol w:w="109"/>
        <w:gridCol w:w="109"/>
        <w:gridCol w:w="333"/>
        <w:gridCol w:w="333"/>
        <w:gridCol w:w="878"/>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 years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years</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5.43 </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3.92 </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p>
      <w:pPr>
        <w:pStyle w:val="TextBody"/>
        <w:bidi w:val="0"/>
        <w:spacing w:before="0" w:after="0"/>
        <w:ind w:left="0" w:right="0" w:firstLine="720"/>
        <w:jc w:val="left"/>
        <w:rPr/>
      </w:pPr>
      <w:r>
        <w:rPr/>
      </w:r>
    </w:p>
    <w:tbl>
      <w:tblPr>
        <w:tblW w:w="7431" w:type="dxa"/>
        <w:jc w:val="center"/>
        <w:tblInd w:w="0" w:type="dxa"/>
        <w:tblLayout w:type="fixed"/>
        <w:tblCellMar>
          <w:top w:w="28" w:type="dxa"/>
          <w:left w:w="28" w:type="dxa"/>
          <w:bottom w:w="28" w:type="dxa"/>
          <w:right w:w="28" w:type="dxa"/>
        </w:tblCellMar>
      </w:tblPr>
      <w:tblGrid>
        <w:gridCol w:w="733"/>
        <w:gridCol w:w="644"/>
        <w:gridCol w:w="648"/>
        <w:gridCol w:w="109"/>
        <w:gridCol w:w="109"/>
        <w:gridCol w:w="109"/>
        <w:gridCol w:w="199"/>
        <w:gridCol w:w="656"/>
        <w:gridCol w:w="110"/>
        <w:gridCol w:w="110"/>
        <w:gridCol w:w="110"/>
        <w:gridCol w:w="110"/>
        <w:gridCol w:w="199"/>
        <w:gridCol w:w="656"/>
        <w:gridCol w:w="110"/>
        <w:gridCol w:w="109"/>
        <w:gridCol w:w="109"/>
        <w:gridCol w:w="109"/>
        <w:gridCol w:w="196"/>
        <w:gridCol w:w="646"/>
        <w:gridCol w:w="109"/>
        <w:gridCol w:w="109"/>
        <w:gridCol w:w="109"/>
        <w:gridCol w:w="109"/>
        <w:gridCol w:w="196"/>
        <w:gridCol w:w="646"/>
        <w:gridCol w:w="109"/>
        <w:gridCol w:w="109"/>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operating and finance leases with non-cancelable lease terms, as of June 30, 2023, are as follows:</w:t>
      </w:r>
    </w:p>
    <w:p>
      <w:pPr>
        <w:pStyle w:val="TextBody"/>
        <w:bidi w:val="0"/>
        <w:spacing w:before="0" w:after="0"/>
        <w:jc w:val="left"/>
        <w:rPr/>
      </w:pPr>
      <w:r>
        <w:rPr/>
      </w:r>
    </w:p>
    <w:tbl>
      <w:tblPr>
        <w:tblW w:w="4824" w:type="dxa"/>
        <w:jc w:val="center"/>
        <w:tblInd w:w="0" w:type="dxa"/>
        <w:tblLayout w:type="fixed"/>
        <w:tblCellMar>
          <w:top w:w="28" w:type="dxa"/>
          <w:left w:w="28" w:type="dxa"/>
          <w:bottom w:w="28" w:type="dxa"/>
          <w:right w:w="28" w:type="dxa"/>
        </w:tblCellMar>
      </w:tblPr>
      <w:tblGrid>
        <w:gridCol w:w="570"/>
        <w:gridCol w:w="502"/>
        <w:gridCol w:w="503"/>
        <w:gridCol w:w="109"/>
        <w:gridCol w:w="109"/>
        <w:gridCol w:w="109"/>
        <w:gridCol w:w="257"/>
        <w:gridCol w:w="965"/>
        <w:gridCol w:w="143"/>
        <w:gridCol w:w="109"/>
        <w:gridCol w:w="109"/>
        <w:gridCol w:w="109"/>
        <w:gridCol w:w="242"/>
        <w:gridCol w:w="798"/>
        <w:gridCol w:w="190"/>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557"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36,932 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46,498 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38,395 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35,241 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81,452 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267,635 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26,230 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(43,549)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224,086 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23,682 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Cash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together with restricted or segregated cash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reported within the Condensed Consolidated Statements of Financial Condition to the sum of the same such amounts shown in the Condensed Consolidated Statements of Cash Flows.</w:t>
      </w:r>
    </w:p>
    <w:p>
      <w:pPr>
        <w:pStyle w:val="TextBody"/>
        <w:bidi w:val="0"/>
        <w:spacing w:before="0" w:after="0"/>
        <w:jc w:val="left"/>
        <w:rPr/>
      </w:pPr>
      <w:r>
        <w:rPr/>
      </w:r>
    </w:p>
    <w:tbl>
      <w:tblPr>
        <w:tblW w:w="9262" w:type="dxa"/>
        <w:jc w:val="center"/>
        <w:tblInd w:w="0" w:type="dxa"/>
        <w:tblLayout w:type="fixed"/>
        <w:tblCellMar>
          <w:top w:w="28" w:type="dxa"/>
          <w:left w:w="28" w:type="dxa"/>
          <w:bottom w:w="28" w:type="dxa"/>
          <w:right w:w="28" w:type="dxa"/>
        </w:tblCellMar>
      </w:tblPr>
      <w:tblGrid>
        <w:gridCol w:w="2146"/>
        <w:gridCol w:w="1892"/>
        <w:gridCol w:w="1901"/>
        <w:gridCol w:w="109"/>
        <w:gridCol w:w="109"/>
        <w:gridCol w:w="109"/>
        <w:gridCol w:w="212"/>
        <w:gridCol w:w="796"/>
        <w:gridCol w:w="117"/>
        <w:gridCol w:w="109"/>
        <w:gridCol w:w="109"/>
        <w:gridCol w:w="109"/>
        <w:gridCol w:w="248"/>
        <w:gridCol w:w="1102"/>
        <w:gridCol w:w="194"/>
      </w:tblGrid>
      <w:tr>
        <w:trPr/>
        <w:tc>
          <w:tcPr>
            <w:tcW w:w="2146"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698,674 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981,580 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 shown in the statement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745,807 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1,038,242 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17. Capital Structure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85.8% of the combined voting power of our common stock as a result of its ownership of our Class A, Class C and Class D Common Stock. The Company holds approximately a 58.9% interest in Virtu Financial at June 30,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 prior to the Company's IPO and certain reorganization transactions consummated in connection with the IPO, Class A-2 profits interests and Class B interests in Virtu Financial were issued to Employee Holdco (as defined below) on behalf of certain key employees and stakeholders. In connection with these reorganization transactions, all Class A-2 profits interests and Class B interests were reclassified into Virtu Financial Units. As of June 30, 2023 and December 31, 2022, there were 4,289,305 and 4,462,840 Virtu Financial Units outstanding held by Employee Holdco (as defined below), respectively, and 173,535 and 328,999 of such Virtu Financial Units and corresponding Class C Common Stock were exchanged into Class A Common Stock, forfeited or repurchased during the six months ended June 30, 2023, and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Amended and Restated 2015 Management Incentive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Board of Directors and stockholders adopted the 2015 Management Incentive Plan, which became effective upon consummation of the IPO, and was subsequently amended and restated following receipt of approval from the Company’s stockholders on June 30, 2017, June 5, 2020 and June 2, 2022. The Amended and Restated 2015 Management Incentive Plan provides for the grant of stock options, restricted stock units, and other awards based on an aggregate of 26,000,000 shares of Class A Common Stock, subject to additional sublimits, including limits on the total option grant to any one participant in a single year and the total performance award to any one participant in a single year.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Amended and Restated Investment Technology Group, Inc. 2007 Omnibus Equity Compensation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2020, the Company's Board of Directors authorized a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an additional $300 million in Class A Common Stock and Virtu Financial Units and extending the duration of the program through May 4, 2022. On November 3, 2021 the Company's Board of Directors authorized another expansion of the program by an additional $750 million to $1,220 million and extending the duration of the program through November 3, 2023.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June 30, 2023, the Company repurchased approximately 38.5 million shares of Class A Common Stock and Virtu Financial Units for approximately $1,016.7 million. As of June 30, 2023, the Company has approximately $203.3 million remaining capacity for future purchases of shares of Class A Common Stock and Virtu Financial Units under the program.</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Employee Exchanges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and 2022, pursuant to the exchange agreement by and among the Company, Virtu Financial and holders of Virtu Financial Units, certain current and former employees elected to exchange 152,037, and 92,930 units, respectively in Virtu Financial held directly or on their behalf by Virtu Employee Holdco LLC (“Employee Holdco”) on a one-for-one basis for shares of Class A Common Stock.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Warrant Issuance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20, 2020, in connection with and in consideration of the Founder Member’s commitments under the Founder Member Loan Facility (as described in Note 8 "Borrowings"), the Company delivered to the Founder Member a warrant (the “Warrant”) to purchase shares of the Company’s Class A Common Stock. Pursuant to the Warrant, the Founder Member was entitled to purchase up to 3,000,000 shares of Class A Common Stock on or after May 22, 2020 up to and including January 15, 2022. The Founder Member Loan Facility Term expired on September 20, 2020 without the Company having borrowed any Founder Member Loans thereunder (as described in Note 8 "Borrowings"). The exercise price per share of the Class A Common Stock issuable pursuant to the Warrant was $22.98, which in accordance with the terms of the Warrant, is equal to the average of the volume weighted average prices of the Class A Common Stock for the ten (10) trading days following May 7, 2020, the date on which the Company publicly announced its earnings results for the first quarter of 2020. On December 17, 2021, the Founder Member exercised in full the Warrant to purchase 3,000,000 shares of the Company's Class A Common Stock. The Warrant and Class A Common Stock issued pursuant to the Warrant were offered, issued and sold, in reliance on the exemption from the registration requirements of the Securities Act of 1933, as amended (the "Securities Act"), set forth under Section 4(a)(2) of the Securities Act relating to sales by an issuer not involving any public offering.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issuance, the fair value of the Warrant was determined using a Black-Scholes-Merton model, and was recorded as a debt issuance cost within Other assets on the Condensed Consolidated Statements of Financial Condition and as an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Additional paid-in capital on the Condensed Consolidated Statements of Changes in Equity. The balance was amortized on a straight-line basis from March 20, 2020 through September 20, 2020, the date on which the Founder Member Loan Facility expired, and recorded as expense within Debt issue cost related to debt refinancing, prepayment and commitment fees in the Condensed Consolidated Statements of Comprehensive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Other Comprehensive Income for the three and six months ended June 30, 2023, and 2022:</w:t>
      </w:r>
    </w:p>
    <w:tbl>
      <w:tblPr>
        <w:tblW w:w="10205" w:type="dxa"/>
        <w:jc w:val="center"/>
        <w:tblInd w:w="0" w:type="dxa"/>
        <w:tblLayout w:type="fixed"/>
        <w:tblCellMar>
          <w:top w:w="28" w:type="dxa"/>
          <w:left w:w="28" w:type="dxa"/>
          <w:bottom w:w="28" w:type="dxa"/>
          <w:right w:w="28" w:type="dxa"/>
        </w:tblCellMar>
      </w:tblPr>
      <w:tblGrid>
        <w:gridCol w:w="878"/>
        <w:gridCol w:w="752"/>
        <w:gridCol w:w="755"/>
        <w:gridCol w:w="128"/>
        <w:gridCol w:w="128"/>
        <w:gridCol w:w="128"/>
        <w:gridCol w:w="309"/>
        <w:gridCol w:w="1022"/>
        <w:gridCol w:w="172"/>
        <w:gridCol w:w="128"/>
        <w:gridCol w:w="128"/>
        <w:gridCol w:w="128"/>
        <w:gridCol w:w="270"/>
        <w:gridCol w:w="892"/>
        <w:gridCol w:w="150"/>
        <w:gridCol w:w="128"/>
        <w:gridCol w:w="128"/>
        <w:gridCol w:w="128"/>
        <w:gridCol w:w="421"/>
        <w:gridCol w:w="1329"/>
        <w:gridCol w:w="234"/>
        <w:gridCol w:w="128"/>
        <w:gridCol w:w="128"/>
        <w:gridCol w:w="128"/>
        <w:gridCol w:w="290"/>
        <w:gridCol w:w="956"/>
        <w:gridCol w:w="239"/>
      </w:tblGrid>
      <w:tr>
        <w:trPr/>
        <w:tc>
          <w:tcPr>
            <w:tcW w:w="87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Beginning Balance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recorded</w:t>
              <w:br/>
              <w:t>in AOCI</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reclassified from AOCI to income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Ending Balance</w:t>
            </w:r>
          </w:p>
        </w:tc>
      </w:tr>
      <w:tr>
        <w:trPr/>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cash flow hedges gains (losses) (1)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37,091 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(7,535)</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41,970 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exchange translation adjustment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13,917 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(7,535)</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31,132 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Amounts reclassified from AOCI to income are included within Financing interest expense on long-term borrowings on the Condensed Consolidated Statements of Comprehensive Income. As of June 30, 2023, the Company expects approximately $30.1 million to be reclassified from AOCI into earnings over the next 12 months. The timing of the reclassification is based on the interest payment schedule of the long-term borrowings.</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Beginning Balance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recorded</w:t>
              <w:br/>
              <w:t>in AOCI</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reclassified from AOCI to income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Ending Balance</w:t>
            </w:r>
          </w:p>
        </w:tc>
      </w:tr>
      <w:tr>
        <w:trPr/>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cash flow hedges gains (losses) (1)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27,486 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exchange translation adjustment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16,019 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(4,382)</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13,826 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 Amounts reclassified from AOCI to income are included within Financing interest expense on long-term borrowings on the Consolidated Statements of Comprehensive Income.</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6"/>
        <w:gridCol w:w="752"/>
        <w:gridCol w:w="754"/>
        <w:gridCol w:w="127"/>
        <w:gridCol w:w="127"/>
        <w:gridCol w:w="127"/>
        <w:gridCol w:w="296"/>
        <w:gridCol w:w="1044"/>
        <w:gridCol w:w="164"/>
        <w:gridCol w:w="127"/>
        <w:gridCol w:w="127"/>
        <w:gridCol w:w="127"/>
        <w:gridCol w:w="268"/>
        <w:gridCol w:w="886"/>
        <w:gridCol w:w="149"/>
        <w:gridCol w:w="127"/>
        <w:gridCol w:w="127"/>
        <w:gridCol w:w="127"/>
        <w:gridCol w:w="394"/>
        <w:gridCol w:w="1405"/>
        <w:gridCol w:w="219"/>
        <w:gridCol w:w="127"/>
        <w:gridCol w:w="127"/>
        <w:gridCol w:w="127"/>
        <w:gridCol w:w="287"/>
        <w:gridCol w:w="949"/>
        <w:gridCol w:w="238"/>
      </w:tblGrid>
      <w:tr>
        <w:trPr/>
        <w:tc>
          <w:tcPr>
            <w:tcW w:w="87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Beginning Balance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recorded</w:t>
              <w:br/>
              <w:t>in AOCI</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reclassified from AOCI to income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Ending Balance</w:t>
            </w:r>
          </w:p>
        </w:tc>
      </w:tr>
      <w:tr>
        <w:trPr/>
        <w:tc>
          <w:tcPr>
            <w:tcW w:w="2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change in unrealized cash flow hedges gains (losses) (1)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44,925 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(13,980)</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41,970 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exchange translation adjustment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31,604 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13,508 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(13,980)</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31,132 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Amounts reclassified from AOCI to income are included within Financing interest expense on long-term borrowings on the Consolidated Statements of Comprehensive Income. As of June 30, 2023, the Company expects approximately $30.1 million to be reclassified from AOCI into earnings over the next 12 months. The timing of the reclassification is based on the interest payment schedule of the long-term borrowings.</w:t>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Beginning Balance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recorded</w:t>
              <w:br/>
              <w:t>in AOCI</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reclassified from AOCI to income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Ending Balance</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cash flow hedges gains (losses) (1)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32,797 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27,486 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exchange translation adjustment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(10,196)</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18,852 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13,826 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 Amounts reclassified from AOCI to income are included within Financing interest expense on long-term borrowings on the Consolidated Statements of Comprehensive Income.</w:t>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5938" w:type="dxa"/>
            <w:gridSpan w:val="18"/>
            <w:tcBorders/>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18. 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2015 Management Incentive Plan as described in Note 17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related to stock options for the six months ended June 30, 2023 and 2022:</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18"/>
        <w:gridCol w:w="368"/>
        <w:gridCol w:w="369"/>
        <w:gridCol w:w="499"/>
        <w:gridCol w:w="419"/>
        <w:gridCol w:w="331"/>
        <w:gridCol w:w="109"/>
        <w:gridCol w:w="109"/>
        <w:gridCol w:w="109"/>
        <w:gridCol w:w="402"/>
        <w:gridCol w:w="1141"/>
        <w:gridCol w:w="223"/>
        <w:gridCol w:w="109"/>
        <w:gridCol w:w="109"/>
        <w:gridCol w:w="109"/>
        <w:gridCol w:w="647"/>
        <w:gridCol w:w="647"/>
        <w:gridCol w:w="649"/>
        <w:gridCol w:w="109"/>
        <w:gridCol w:w="109"/>
        <w:gridCol w:w="109"/>
        <w:gridCol w:w="499"/>
        <w:gridCol w:w="419"/>
        <w:gridCol w:w="331"/>
        <w:gridCol w:w="109"/>
        <w:gridCol w:w="109"/>
        <w:gridCol w:w="109"/>
        <w:gridCol w:w="329"/>
        <w:gridCol w:w="937"/>
        <w:gridCol w:w="269"/>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 Exercisable</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br/>
              <w:t>Per Share</w:t>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2021</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1,795,655 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1,795,655 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(268,879)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(268,879)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 or expired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June 30, 2022</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1,521,776 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1,521,776 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2022</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1,521,776 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1,521,776 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 or expired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June 30, 2023</w:t>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1,511,776 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1,521,776 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Amended and Restated Investment Technology Group, Inc. 2007 Omnibus Equity Compensation Plan</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the ITG Closing Date, the Company assumed the Amended and Restated ITG 2007 Equity Plan and certain stock option awards, restricted stock unit awards, deferred stock unit awards and performance stock unit awards granted thereunder </w:t>
      </w:r>
      <w:r>
        <w:rPr>
          <w:rFonts w:ascii="Times New Roman;sans-serif" w:hAnsi="Times New Roman;sans-serif"/>
          <w:b w:val="false"/>
          <w:color w:val="000000"/>
          <w:sz w:val="24"/>
        </w:rPr>
        <w:t>("</w:t>
      </w:r>
      <w:r>
        <w:rPr>
          <w:rFonts w:ascii="Times New Roman;sans-serif" w:hAnsi="Times New Roman;sans-serif"/>
          <w:b w:val="false"/>
          <w:color w:val="000000"/>
          <w:sz w:val="20"/>
        </w:rPr>
        <w:t>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Class A Common Stock, Restricted Stock Units and Restricted Stock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2015 Management Incentive Plan as described in Note 17 "Capital Structure", subsequent to the IPO, shares of immediately vested Class A Common Stock, restricted stock units ("RSUs") and restricted stock awards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six months ended June 30, 2023 and 2022, respectively, there were 868,315, and 580,710 shares of immediately vested Class A Common Stock granted as part of year-end compensation. In addition, the Company accrued compensation expense of $6.1 million and $9.6 million for the three months ended June 30, 2023 and 2022, respectively, and $12.0 million, and $15.5 million for the six months ended June 30, 2023 and 2022,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related to RSUs (including the Assumed Awards) and RSAs for the six months ended June 30, 2023, and 2022:</w:t>
      </w:r>
    </w:p>
    <w:tbl>
      <w:tblPr>
        <w:tblW w:w="10195" w:type="dxa"/>
        <w:jc w:val="center"/>
        <w:tblInd w:w="0" w:type="dxa"/>
        <w:tblLayout w:type="fixed"/>
        <w:tblCellMar>
          <w:top w:w="28" w:type="dxa"/>
          <w:left w:w="28" w:type="dxa"/>
          <w:bottom w:w="28" w:type="dxa"/>
          <w:right w:w="28" w:type="dxa"/>
        </w:tblCellMar>
      </w:tblPr>
      <w:tblGrid>
        <w:gridCol w:w="1100"/>
        <w:gridCol w:w="966"/>
        <w:gridCol w:w="970"/>
        <w:gridCol w:w="1224"/>
        <w:gridCol w:w="1224"/>
        <w:gridCol w:w="1229"/>
        <w:gridCol w:w="193"/>
        <w:gridCol w:w="193"/>
        <w:gridCol w:w="193"/>
        <w:gridCol w:w="627"/>
        <w:gridCol w:w="1782"/>
        <w:gridCol w:w="494"/>
      </w:tblGrid>
      <w:tr>
        <w:trPr/>
        <w:tc>
          <w:tcPr>
            <w:tcW w:w="110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RSUs and RSAs</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Fair Value </w:t>
            </w:r>
          </w:p>
        </w:tc>
      </w:tr>
      <w:tr>
        <w:trPr/>
        <w:tc>
          <w:tcPr>
            <w:tcW w:w="3036" w:type="dxa"/>
            <w:gridSpan w:val="3"/>
            <w:tcBorders/>
            <w:vAlign w:val="center"/>
          </w:tcPr>
          <w:p>
            <w:pPr>
              <w:pStyle w:val="TableContents"/>
              <w:bidi w:val="0"/>
              <w:spacing w:before="0" w:after="283"/>
              <w:jc w:val="left"/>
              <w:rPr>
                <w:sz w:val="4"/>
                <w:szCs w:val="4"/>
              </w:rPr>
            </w:pPr>
            <w:r>
              <w:rPr>
                <w:sz w:val="4"/>
                <w:szCs w:val="4"/>
              </w:rPr>
            </w:r>
          </w:p>
        </w:tc>
        <w:tc>
          <w:tcPr>
            <w:tcW w:w="3677"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r>
      <w:tr>
        <w:trPr/>
        <w:tc>
          <w:tcPr>
            <w:tcW w:w="3036" w:type="dxa"/>
            <w:gridSpan w:val="3"/>
            <w:tcBorders/>
            <w:vAlign w:val="center"/>
          </w:tcPr>
          <w:p>
            <w:pPr>
              <w:pStyle w:val="TableContents"/>
              <w:bidi w:val="0"/>
              <w:spacing w:before="0" w:after="283"/>
              <w:jc w:val="left"/>
              <w:rPr>
                <w:sz w:val="4"/>
                <w:szCs w:val="4"/>
              </w:rPr>
            </w:pPr>
            <w:r>
              <w:rPr>
                <w:sz w:val="4"/>
                <w:szCs w:val="4"/>
              </w:rPr>
            </w:r>
          </w:p>
        </w:tc>
        <w:tc>
          <w:tcPr>
            <w:tcW w:w="3677"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r>
      <w:tr>
        <w:trPr/>
        <w:tc>
          <w:tcPr>
            <w:tcW w:w="3036" w:type="dxa"/>
            <w:gridSpan w:val="3"/>
            <w:tcBorders/>
            <w:vAlign w:val="center"/>
          </w:tcPr>
          <w:p>
            <w:pPr>
              <w:pStyle w:val="TableContents"/>
              <w:bidi w:val="0"/>
              <w:spacing w:before="0" w:after="283"/>
              <w:jc w:val="left"/>
              <w:rPr>
                <w:sz w:val="4"/>
                <w:szCs w:val="4"/>
              </w:rPr>
            </w:pPr>
            <w:r>
              <w:rPr>
                <w:sz w:val="4"/>
                <w:szCs w:val="4"/>
              </w:rPr>
            </w:r>
          </w:p>
        </w:tc>
        <w:tc>
          <w:tcPr>
            <w:tcW w:w="3677"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r>
      <w:tr>
        <w:trPr/>
        <w:tc>
          <w:tcPr>
            <w:tcW w:w="3036" w:type="dxa"/>
            <w:gridSpan w:val="3"/>
            <w:tcBorders/>
            <w:vAlign w:val="center"/>
          </w:tcPr>
          <w:p>
            <w:pPr>
              <w:pStyle w:val="TableContents"/>
              <w:bidi w:val="0"/>
              <w:spacing w:before="0" w:after="283"/>
              <w:jc w:val="left"/>
              <w:rPr>
                <w:sz w:val="4"/>
                <w:szCs w:val="4"/>
              </w:rPr>
            </w:pPr>
            <w:r>
              <w:rPr>
                <w:sz w:val="4"/>
                <w:szCs w:val="4"/>
              </w:rPr>
            </w:r>
          </w:p>
        </w:tc>
        <w:tc>
          <w:tcPr>
            <w:tcW w:w="3677"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2021</w:t>
            </w:r>
          </w:p>
        </w:tc>
        <w:tc>
          <w:tcPr>
            <w:tcW w:w="2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3,224,447 </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2,951,863 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30.03 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(322,220)</w:t>
            </w:r>
          </w:p>
        </w:tc>
        <w:tc>
          <w:tcPr>
            <w:tcW w:w="1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25.47 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(1,669,030)</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25.07 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June 30, 2022</w:t>
            </w:r>
          </w:p>
        </w:tc>
        <w:tc>
          <w:tcPr>
            <w:tcW w:w="2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4,185,060 </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27.94 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2022</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3,954,833 </w:t>
            </w:r>
          </w:p>
        </w:tc>
        <w:tc>
          <w:tcPr>
            <w:tcW w:w="1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 (1)</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3,473,137 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(139,609)</w:t>
            </w:r>
          </w:p>
        </w:tc>
        <w:tc>
          <w:tcPr>
            <w:tcW w:w="1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27.48 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(2,413,550)</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23.59 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June 30, 2023</w:t>
            </w:r>
          </w:p>
        </w:tc>
        <w:tc>
          <w:tcPr>
            <w:tcW w:w="24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4,874,811 </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24.18 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Excluded in the number of RSUs and RSAs are 37,500 participating RSAs where the grant date has not been achieved because the performance conditions have not been met.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$10.1 million and $9.5 million for the three months ended June 30, 2023 and 2022, respectively, and $20.2 million, and $18.1 million for the six months ended June 30, 2023 and 2022, respectively, of compensation expense in relation to RSUs. As of June 30, 2023 and December 31, 2022, total unrecognized share-based compensation expense related to unvested RSUs was $74.7 million and $54.6 million, respectively, and this amount is to be recognized over a weighted average period of 1.3 and 0.9 years, respectively. Awards in which the specific performance conditions have not been met are not included in unrecognized share-based compensation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 also be directed to notional investments in certain of the employee investment opportunities.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19. Regulatory Requirement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 Subsidiary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U.S. broker-dealer subsidiaries VAL and RFQ-Hub Americas LLC ("RAL"), are subject to the SEC Uniform Net Capital Rule 15c3-1, which requires the maintenance of minimum net capital as detailed in the table below. RAL became a U.S. broker-dealer in June 2023. Pursuant to New York Stock Exchange ("NYSE") rules, VAL was also required to maintain $1.0 million of capital in connection with the operation of its designated market maker (“DMM”) business as of June 30, 2023. The required amount is determined under the exchange rules as the greater of (i) $1 million or (ii) $75,000 for every 0.1% of NYSE transaction dollar volume in each of the securities for which the Company is registered as the DMM.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capital and regulatory capital requirements of the Company's U.S. subsidiaries as of June 30, 2023 was as follows:</w:t>
      </w:r>
    </w:p>
    <w:tbl>
      <w:tblPr>
        <w:tblW w:w="8899" w:type="dxa"/>
        <w:jc w:val="center"/>
        <w:tblInd w:w="0" w:type="dxa"/>
        <w:tblLayout w:type="fixed"/>
        <w:tblCellMar>
          <w:top w:w="28" w:type="dxa"/>
          <w:left w:w="28" w:type="dxa"/>
          <w:bottom w:w="28" w:type="dxa"/>
          <w:right w:w="28" w:type="dxa"/>
        </w:tblCellMar>
      </w:tblPr>
      <w:tblGrid>
        <w:gridCol w:w="667"/>
        <w:gridCol w:w="587"/>
        <w:gridCol w:w="591"/>
        <w:gridCol w:w="109"/>
        <w:gridCol w:w="109"/>
        <w:gridCol w:w="109"/>
        <w:gridCol w:w="285"/>
        <w:gridCol w:w="1071"/>
        <w:gridCol w:w="158"/>
        <w:gridCol w:w="109"/>
        <w:gridCol w:w="109"/>
        <w:gridCol w:w="109"/>
        <w:gridCol w:w="565"/>
        <w:gridCol w:w="1608"/>
        <w:gridCol w:w="317"/>
        <w:gridCol w:w="109"/>
        <w:gridCol w:w="109"/>
        <w:gridCol w:w="109"/>
        <w:gridCol w:w="373"/>
        <w:gridCol w:w="1403"/>
        <w:gridCol w:w="29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Americas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455,763 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454,186 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RFQ-Hub Americas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As of June 30, 2023, VAL</w:t>
      </w:r>
      <w:r>
        <w:rPr>
          <w:color w:val="000000"/>
        </w:rPr>
        <w:t xml:space="preserve"> </w:t>
      </w:r>
      <w:r>
        <w:rPr>
          <w:rFonts w:ascii="Times New Roman;sans-serif" w:hAnsi="Times New Roman;sans-serif"/>
          <w:b w:val="false"/>
          <w:color w:val="000000"/>
          <w:sz w:val="20"/>
        </w:rPr>
        <w:t xml:space="preserve">had $40.9 million of cash in special reserve bank accounts for the benefit of customers pursuant to SEC Rule 15c3-3, </w:t>
      </w:r>
      <w:r>
        <w:rPr>
          <w:rFonts w:ascii="Times New Roman;sans-serif" w:hAnsi="Times New Roman;sans-serif"/>
          <w:b w:val="false"/>
          <w:i/>
          <w:color w:val="000000"/>
          <w:sz w:val="20"/>
        </w:rPr>
        <w:t xml:space="preserve">Computation for Determination of Reserve Requirements, </w:t>
      </w:r>
      <w:r>
        <w:rPr>
          <w:rFonts w:ascii="Times New Roman;sans-serif" w:hAnsi="Times New Roman;sans-serif"/>
          <w:b w:val="false"/>
          <w:color w:val="000000"/>
          <w:sz w:val="20"/>
        </w:rPr>
        <w:t>and $5.9 million of cash in reserve bank accounts for the benefit of proprietary accounts of brokers. The balances are included within Cash restricted or segregated under regulations and other on the Condensed Consolidated Statements of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capital and regulatory capital requirements of the Company's U.S. subsidiaries as of December 31, 2022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tbl>
      <w:tblPr>
        <w:tblW w:w="8584" w:type="dxa"/>
        <w:jc w:val="center"/>
        <w:tblInd w:w="0" w:type="dxa"/>
        <w:tblLayout w:type="fixed"/>
        <w:tblCellMar>
          <w:top w:w="28" w:type="dxa"/>
          <w:left w:w="28" w:type="dxa"/>
          <w:bottom w:w="28" w:type="dxa"/>
          <w:right w:w="28" w:type="dxa"/>
        </w:tblCellMar>
      </w:tblPr>
      <w:tblGrid>
        <w:gridCol w:w="553"/>
        <w:gridCol w:w="487"/>
        <w:gridCol w:w="490"/>
        <w:gridCol w:w="109"/>
        <w:gridCol w:w="109"/>
        <w:gridCol w:w="109"/>
        <w:gridCol w:w="285"/>
        <w:gridCol w:w="1071"/>
        <w:gridCol w:w="158"/>
        <w:gridCol w:w="109"/>
        <w:gridCol w:w="109"/>
        <w:gridCol w:w="109"/>
        <w:gridCol w:w="565"/>
        <w:gridCol w:w="1608"/>
        <w:gridCol w:w="317"/>
        <w:gridCol w:w="109"/>
        <w:gridCol w:w="109"/>
        <w:gridCol w:w="109"/>
        <w:gridCol w:w="373"/>
        <w:gridCol w:w="1403"/>
        <w:gridCol w:w="293"/>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Americas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554,550 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553,550 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As of December 31, 2022, VAL had $50.2 million of cash in special reserve bank accounts for the benefit of customers pursuant to SEC Rule 15c3-3, </w:t>
      </w:r>
      <w:r>
        <w:rPr>
          <w:rFonts w:ascii="Times New Roman;sans-serif" w:hAnsi="Times New Roman;sans-serif"/>
          <w:b w:val="false"/>
          <w:i/>
          <w:color w:val="000000"/>
          <w:sz w:val="20"/>
        </w:rPr>
        <w:t xml:space="preserve">Computation for Determination of Reserve Requirements, </w:t>
      </w:r>
      <w:r>
        <w:rPr>
          <w:rFonts w:ascii="Times New Roman;sans-serif" w:hAnsi="Times New Roman;sans-serif"/>
          <w:b w:val="false"/>
          <w:color w:val="000000"/>
          <w:sz w:val="20"/>
        </w:rPr>
        <w:t>and $5.8 million of cash in reserve bank accounts for the benefit of proprietary accounts of brokers.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Foreign Subsidiaries</w:t>
      </w:r>
      <w:r>
        <w:rPr>
          <w:color w:val="000000"/>
        </w:rPr>
        <w: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foreign subsidiaries are subject to regulatory capital requirements set by local regulatory bodies, including the Canadian Investment Regulatory Organization ("CIRO"), the Central Bank of Ireland ("CBI"), the Financial Conduct Authority ("FCA") in the United Kingdom, the Australian Securities and Investments Commission ("ASIC"), the Securities and Futures Commission in Hong Kong ("SFC"), and the Monetary Authority of Singapore ("MAS").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net capital balances and regulatory capital requirements applicable to the Company's foreign subsidiaries as of June 30, 2023 were as follows:</w:t>
      </w:r>
    </w:p>
    <w:tbl>
      <w:tblPr>
        <w:tblW w:w="9589" w:type="dxa"/>
        <w:jc w:val="center"/>
        <w:tblInd w:w="0" w:type="dxa"/>
        <w:tblLayout w:type="fixed"/>
        <w:tblCellMar>
          <w:top w:w="28" w:type="dxa"/>
          <w:left w:w="28" w:type="dxa"/>
          <w:bottom w:w="28" w:type="dxa"/>
          <w:right w:w="28" w:type="dxa"/>
        </w:tblCellMar>
      </w:tblPr>
      <w:tblGrid>
        <w:gridCol w:w="916"/>
        <w:gridCol w:w="807"/>
        <w:gridCol w:w="812"/>
        <w:gridCol w:w="109"/>
        <w:gridCol w:w="109"/>
        <w:gridCol w:w="109"/>
        <w:gridCol w:w="312"/>
        <w:gridCol w:w="1029"/>
        <w:gridCol w:w="173"/>
        <w:gridCol w:w="109"/>
        <w:gridCol w:w="109"/>
        <w:gridCol w:w="109"/>
        <w:gridCol w:w="670"/>
        <w:gridCol w:w="1442"/>
        <w:gridCol w:w="377"/>
        <w:gridCol w:w="109"/>
        <w:gridCol w:w="109"/>
        <w:gridCol w:w="109"/>
        <w:gridCol w:w="407"/>
        <w:gridCol w:w="1343"/>
        <w:gridCol w:w="320"/>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Canada Corp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Canada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Europe Trading Limited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27,176 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92,786 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Ireland Limited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90,589 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51,497 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39,092 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UK Limited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Australia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7,452 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15,534 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Hong Kong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Singapore Pte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Singapore Pte.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69,227 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56,798 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 Preliminary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Virtu Europe Trading Limited had $0.1 million of segregated funds on deposit for trade clearing and settlement activity, and Virtu ITG Hong Kong Ltd. had $30 thousand of segregated balances under a collateral account control agreement for the benefit of certain 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net capital balances and regulatory capital requirements applicable to the Company's foreign subsidiaries as of December 31, 2022 were as follows:</w:t>
      </w:r>
    </w:p>
    <w:tbl>
      <w:tblPr>
        <w:tblW w:w="9589" w:type="dxa"/>
        <w:jc w:val="center"/>
        <w:tblInd w:w="0" w:type="dxa"/>
        <w:tblLayout w:type="fixed"/>
        <w:tblCellMar>
          <w:top w:w="28" w:type="dxa"/>
          <w:left w:w="28" w:type="dxa"/>
          <w:bottom w:w="28" w:type="dxa"/>
          <w:right w:w="28" w:type="dxa"/>
        </w:tblCellMar>
      </w:tblPr>
      <w:tblGrid>
        <w:gridCol w:w="917"/>
        <w:gridCol w:w="807"/>
        <w:gridCol w:w="811"/>
        <w:gridCol w:w="109"/>
        <w:gridCol w:w="109"/>
        <w:gridCol w:w="109"/>
        <w:gridCol w:w="312"/>
        <w:gridCol w:w="1029"/>
        <w:gridCol w:w="173"/>
        <w:gridCol w:w="109"/>
        <w:gridCol w:w="109"/>
        <w:gridCol w:w="109"/>
        <w:gridCol w:w="670"/>
        <w:gridCol w:w="1442"/>
        <w:gridCol w:w="377"/>
        <w:gridCol w:w="109"/>
        <w:gridCol w:w="109"/>
        <w:gridCol w:w="109"/>
        <w:gridCol w:w="407"/>
        <w:gridCol w:w="1343"/>
        <w:gridCol w:w="320"/>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Canada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Canada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Europe Trading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50,332 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Ireland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39,768 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50,085 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Australia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3,115 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26,912 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Hong Kong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Singapore Pte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Singapore Pte.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46,025 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75,141 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Virtu Europe Trading Limited and Virtu Canada Corp had $0.1 million and $0.4 million, respectively, of funds on deposit for trade clearing and settlement activity, and Virtu ITG Hong Kong Ltd had $30 thousand of segregated balances under a collateral account control agreement for the benefit of certain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20. Geographic Information and Business Segments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Company operates its business in the U.S. and internationally, primarily in Europe, Asia and Canada.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six months ended June 30, 2023, and 2022</w:t>
      </w:r>
      <w:r>
        <w:rPr>
          <w:rFonts w:ascii="Times New Roman;sans-serif" w:hAnsi="Times New Roman;sans-serif"/>
          <w:b w:val="false"/>
          <w:color w:val="000000"/>
          <w:sz w:val="18"/>
        </w:rPr>
        <w:t>:</w:t>
      </w:r>
    </w:p>
    <w:p>
      <w:pPr>
        <w:pStyle w:val="TextBody"/>
        <w:bidi w:val="0"/>
        <w:spacing w:before="0" w:after="0"/>
        <w:jc w:val="left"/>
        <w:rPr/>
      </w:pPr>
      <w:r>
        <w:rPr/>
      </w:r>
    </w:p>
    <w:tbl>
      <w:tblPr>
        <w:tblW w:w="7145" w:type="dxa"/>
        <w:jc w:val="center"/>
        <w:tblInd w:w="0" w:type="dxa"/>
        <w:tblLayout w:type="fixed"/>
        <w:tblCellMar>
          <w:top w:w="28" w:type="dxa"/>
          <w:left w:w="28" w:type="dxa"/>
          <w:bottom w:w="28" w:type="dxa"/>
          <w:right w:w="28" w:type="dxa"/>
        </w:tblCellMar>
      </w:tblPr>
      <w:tblGrid>
        <w:gridCol w:w="412"/>
        <w:gridCol w:w="363"/>
        <w:gridCol w:w="365"/>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Singapore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506,854 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1,127,233 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segments: (i) Market Making and (ii) Execution Services; and one non-operating segment: Corporate.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Making segment principally consists of market making in the cash, futures, and options markets across global equities,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acts as an agent for issuers in connection with at-the-market offerings and buyback programs.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Corporate segment contains the Company's investments, principally in strategic trading-related opportunities and maintains corporate overhead expenses and all other income and expenses that are not attributable to the Company's other segments.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June 30, 2023, and 2022 are summarized in the following table:</w:t>
      </w:r>
    </w:p>
    <w:tbl>
      <w:tblPr>
        <w:tblW w:w="9520" w:type="dxa"/>
        <w:jc w:val="left"/>
        <w:tblInd w:w="0" w:type="dxa"/>
        <w:tblLayout w:type="fixed"/>
        <w:tblCellMar>
          <w:top w:w="28" w:type="dxa"/>
          <w:left w:w="28" w:type="dxa"/>
          <w:bottom w:w="28" w:type="dxa"/>
          <w:right w:w="28" w:type="dxa"/>
        </w:tblCellMar>
      </w:tblPr>
      <w:tblGrid>
        <w:gridCol w:w="1596"/>
        <w:gridCol w:w="1409"/>
        <w:gridCol w:w="1420"/>
        <w:gridCol w:w="196"/>
        <w:gridCol w:w="736"/>
        <w:gridCol w:w="109"/>
        <w:gridCol w:w="109"/>
        <w:gridCol w:w="109"/>
        <w:gridCol w:w="109"/>
        <w:gridCol w:w="196"/>
        <w:gridCol w:w="736"/>
        <w:gridCol w:w="109"/>
        <w:gridCol w:w="109"/>
        <w:gridCol w:w="109"/>
        <w:gridCol w:w="109"/>
        <w:gridCol w:w="196"/>
        <w:gridCol w:w="631"/>
        <w:gridCol w:w="109"/>
        <w:gridCol w:w="109"/>
        <w:gridCol w:w="109"/>
        <w:gridCol w:w="109"/>
        <w:gridCol w:w="197"/>
        <w:gridCol w:w="742"/>
        <w:gridCol w:w="157"/>
      </w:tblGrid>
      <w:tr>
        <w:trPr/>
        <w:tc>
          <w:tcPr>
            <w:tcW w:w="159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w:t>
              <w:br/>
              <w:t>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w:t>
              <w:br/>
              <w:t>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br/>
              <w:t>Total</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2023:</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506,854 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2022:</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604,738 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 and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Pre-tax earnings by segment for the six months ended June 30, 2023, and 2022 are summarized in the following table:</w:t>
      </w:r>
    </w:p>
    <w:tbl>
      <w:tblPr>
        <w:tblW w:w="10151" w:type="dxa"/>
        <w:jc w:val="center"/>
        <w:tblInd w:w="0" w:type="dxa"/>
        <w:tblLayout w:type="fixed"/>
        <w:tblCellMar>
          <w:top w:w="28" w:type="dxa"/>
          <w:left w:w="28" w:type="dxa"/>
          <w:bottom w:w="28" w:type="dxa"/>
          <w:right w:w="28" w:type="dxa"/>
        </w:tblCellMar>
      </w:tblPr>
      <w:tblGrid>
        <w:gridCol w:w="1445"/>
        <w:gridCol w:w="1275"/>
        <w:gridCol w:w="1285"/>
        <w:gridCol w:w="234"/>
        <w:gridCol w:w="880"/>
        <w:gridCol w:w="130"/>
        <w:gridCol w:w="109"/>
        <w:gridCol w:w="109"/>
        <w:gridCol w:w="109"/>
        <w:gridCol w:w="274"/>
        <w:gridCol w:w="1029"/>
        <w:gridCol w:w="152"/>
        <w:gridCol w:w="109"/>
        <w:gridCol w:w="109"/>
        <w:gridCol w:w="109"/>
        <w:gridCol w:w="196"/>
        <w:gridCol w:w="631"/>
        <w:gridCol w:w="109"/>
        <w:gridCol w:w="109"/>
        <w:gridCol w:w="109"/>
        <w:gridCol w:w="109"/>
        <w:gridCol w:w="245"/>
        <w:gridCol w:w="1092"/>
        <w:gridCol w:w="193"/>
      </w:tblGrid>
      <w:tr>
        <w:trPr/>
        <w:tc>
          <w:tcPr>
            <w:tcW w:w="144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Total</w:t>
            </w:r>
          </w:p>
        </w:tc>
      </w:tr>
      <w:tr>
        <w:trPr/>
        <w:tc>
          <w:tcPr>
            <w:tcW w:w="4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2023</w:t>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904,169 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227,593 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1,127,233 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170,231 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2022</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979,158 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282,742 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1,306,000 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349,668 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415,494 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5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21. Related Party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incurs expenses and maintains balances with its affiliates in the ordinary course of business. As of June 30, 2023, and December 31, 2022 the Company had net payables to its affiliates of $1.8 million and receivables from its affiliates of $0.5 million,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held a minority interest in JNX since 2016 (see Note 9 "Financial Assets and Liabilities"). The Company pays exchange fees to JNX for the trading activities conducted on its proprietary trading system. The Company paid $3.4 million and $3.7 million for the three months ended June 30, 2023 and 2022, respectively, and $5.9 million and $7.5 million for the six months ended June 30, 2023 and 2022, respectively, to JNX for these trading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pays monthly use fees to two JVs in which it holds interests (see Note 11 "Variable Interest Entities"). These monthly fees are for the use of microwave communication networks operated by each of these JVs and are recorded within Communications and data processing on the Condensed Consolidated Statements of Comprehensive Income. The Company made payments to these JVs of $6.3 million and $5.5 million for the three months ended June 30, 2023 and 2022, respectively, and $12.6 million and $10.9 million for the six months ended June 30, 2023 and 2022,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an interest in Members Exchange, a member-owned equities exchange. The Company pays regulatory and transaction fees and receives rebates from trading activities. The Company made payments of $0.1 million and received rebates of $6.2 million for the three months ended June 30, 2023 and 2022, respectively, and the Company made payments of $0.2 million and received rebates of $12.8 million for the six months ended June 30, 2023 and 2022,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2022, the Company formed a JV to support the growth and expansion of a multi-asset request-for-quote communication platform. The Company consolidates this JV, and recorded noncontrolling interest of $39.2 million in the condensed consolidated statement of changes in equity as of June 30, 2022. Refer to Note 11 "Variable Interest Entities"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22. Subsequent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26, 2023, the Company’s Board of Directors declared a dividend of $0.24 per share of Class A Common Stock and Class B Common Stock and per participating Restricted Stock Unit and Restricted Stock Award that will be paid on September 15, 2023 to holders of record as of September 1, 2023.</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management’s discussion and analysis covers the three and six months ended June 30, 2023, and 2022 should be read in conjunction with the Condensed Consolidated Financial Statements and accompanying notes for the period ended June 30, 2023, which are included in Part 1, Item 1 of this Quarterly Report on Form 10-Q, and the audited consolidated financial statements and accompanying notes and MD&amp;A for the year ended December 31, 2022, which are included in Items 8 and 7 respectively, of the Company's Annual Report on Form 10-K for the year ended December 31, 2022. This management's discussion and analysis contains forward-looking statements that involve risks and uncertainties. Our actual results could differ materially from those discussed below. Unless otherwise stated, all amounts are presented in thousands of dollars.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our Annual Report on Form 10-K for the year ended December 31, 2022, as filed with the Securities and Exchange Commission ("SEC") on February 17, 2023 (the "2022 Form 10-K"),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2022 Form 10-K, could affect our actual financial results or results of operations and cash flows, and could cause actual results to differ materially from those in such forward-looking statements, including but not limited to:</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volatility in levels of overall trading activity;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dependence upon trading counterparties and clearing houses performing their obligations to us;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failures of our customized trading platform;</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inherent to the electronic market making business and trading generally;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recent SEC proposals focused on equity markets which may, if adopted, materially change U.S. equity market structure, including by reducing overall trading volumes, reducing off-exchange trading and market making opportunities, requiring additional tools, platforms and services to register as an ATS or exchange, and generally increasing the implicit and explicit cost as well as the complexity of the U.S. equities eco-system for all participants;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additionally, enhanced regulatory, congressional, and media scrutiny, including attention to electronic trading, wholesale market making and off-exchange trading, payment for order flow, and other market structure topics may result in additional potential changes in regulation or law which could have an adverse effect on our business as well as adversely impact the public's perception of us or of companies in our industry;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increased competition in market making activities and execution services;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dependence on continued access to sources of liquidity;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self-clearing and other operational elements of our business, including but limited to risks related to funding and liquidity;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obligations to comply with applicable regulatory capital requirements;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litigation or other legal and regulatory-based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obligations to comply with laws and regulations applicable to our operations in the U.S. and abroad;</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need to maintain and continue developing proprietary technologies;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capacity constraints, system failures, and delays;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dependence on third-party infrastructure or systems;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use of open source software;</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 to protect or enforce our intellectual property rights in our proprietary technology;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 to protect confidential and proprietary information;</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 to protect our systems from internal or external cyber threats that could result in damage to our computer systems, business interruption, loss of data, monetary payment demands or other consequences;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international operations and expansion, including failed acquisitions or dispositions;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the effects of and changes in economic conditions (such as volatility in the financial markets, increased inflation, monetary conditions and foreign currency and continued or exacerbated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geopolitical conflicts, natural disasters, pandemics or extreme weather;</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the continuing impacts of COVID-19 and the governmental and other responses thereto, including but not limited to the risk of employees and executives contracting COVID-19 and the deployment of our business continuity plan pursuant to which a significant number of our employees may work remotely and our return to office plan, each of which may increase operational risk, as well as increases in market, counterparty and other forms of operational risk;</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potential growth and associated corporate actions;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inability to access, or delay in accessing, the capital markets to sell shares or raise additional capital;</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loss of key executives and failure to recruit and retain qualified personnel; and</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risks associated with losing access to a significant exchange or other trading venue.</w:t>
      </w:r>
    </w:p>
    <w:p>
      <w:pPr>
        <w:pStyle w:val="TextBody"/>
        <w:bidi w:val="0"/>
        <w:spacing w:before="0" w:after="0"/>
        <w:ind w:left="0" w:right="0" w:firstLine="18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options,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two operating segments: Market Making and Execution Services, and one non-operating segment: Corporate. Our management allocates resources, assesses performance and manages our business according to these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Market Making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overall level of volumes and realized volatility as well as the attractiveness of the order flow we interact with and the level of retail participation in the various markets we serve have the greatest impact on the financial performance of our market making businesses. Increases in market volatility can cause bid/ask spreads to widen as market participants are more willing to pay market makers like us to transact immediately and as a result, market makers' capture rate per notional amount transacted may increase.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Execution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segment contains investments principally in strategic financial services-oriented opportunities and maintains corporate overhead expenses and all other income and expenses that are not attributable to our other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Acquisition of ITG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1, 2019, the "ITG Closing Date", we announced the completed acquisition of Investment Technology Group, Inc. and its subsidiaries ("ITG") in an all-cash transaction (the "ITG Acquisition"). In connection with the ITG Acquisition, Virtu Financial, VFH Parent LLC, a Delaware limited liability company and a subsidiary of Virtu Financial ("VFH"), and Impala Borrower LLC (the "Acquisition Borrower"), a subsidiary of the Company, entered into a credit agreement, with the lenders party thereto, Jefferies Finance LLC, as administrative agent and Jefferies Finance LLC and RBC Capital Markets, as joint lead arrangers and joint bookrunners (the "Acquisition Credit Agreement"). The Acquisition Credit Agreement provided (i) a senior secured first lien term loan (together with the Acquisition Incremental Term Loans, as defined below; the "Acquisition First Lien Term Loan Facility") in an aggregate principal amount of $1,500.0 million, drawn in its entirety on the ITG Closing Date, of which approximately $404.5 million was borrowed by VFH to repay all amounts outstanding under a previous term loan facility and the remaining approximately $1,095.0 million borrowed by the Acquisition Borrower to finance the consideration and fees and expenses paid in connection with the ITG Acquisition, and (ii) a $50.0 million senior secured first lien revolving facility to VFH (the "Acquisition First Lien Revolving Facility"), with a $5.0 million letter of credit subfacility and a $5.0 million swingline subfacility. After the ITG Closing Date, VFH assumed the obligations of the Acquisition Borrower in respect of the acquisition term loans. On October 9, 2019, VFH entered into an amendment (“Amendment No. 1”), which amended the Acquisition Credit Agreement dated as of March 1, 2019, to, among other things, provide for $525.0 million in aggregate principal amount of incremental term loans (the “Acquisition Incremental Term Loans”), and amend the related collateral agreement. On March 2, 2020, VFH entered into a second amendment (“Amendment No. 2”), which further amended the Acquisition Credit Agreement to, among other things, reduce the interest rate spread over adjusted London Interbank Offered Rate ("LIBOR") or the alternate base rate by 0.50% per annum and eliminated any step-down in the spread based on VFH's first lien leverage ratio.</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13, 2022 (the "Credit Agreement Closing Date"), VFH and Virtu Financial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 term loan in an 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Amended and Restated 2015 Management Incentive Plan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to an aggregate of 21,000,000 shares of Class A Common Stock. On April 22, 2022, the Company’s Board of Directors adopted another amendment to the Company’s Amended and Restated 2015 Management Incentive Plan to increase the number of shares to an aggregate of 26,000,000 shares of Class A Common Stock and the amendment was approved by the Company’s shareholders at the Company’s annual meeting of shareholders on June 2,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non-qualified stock options to purchase 9,228,000 shares were granted at the IPO per share price, each of which vested in equal annual installments over a period of four years from the grant date and expire not later than 10 years from the grant date. Subsequent to the IPO and through June 30, 2023, options to purchase 1,643,750 shares in the aggregate were forfeited and 6,072,474 options were exercised. The fair value of the stock option grants was determined through the application of the Black-Scholes-Merton model and was recognized on a straight-line basis over the vesting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Amended and Restated Investment Technology Group, Inc. 2007 Omnibus Equity Compensation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Parent Company Financial Information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material differences between our condensed consolidated financial statements and the financial statements of Virtu Financial except as follows: (i) cash and cash equivalents reflected on our Condensed Consolidated Statements of Financial Condition as of June 30, 2023 in the amount of $5.4 million; (ii) deferred tax assets reflected on our Condensed Consolidated Statements of Financial Condition as of June 30, 2023 in the amount of $129.1 million and tax receivable agreement obligation in the amount of $215.5 million, in each case as described in greater detail in Note 4 "Tax Receivable Agreements" of Part I Item 1 “Financial Statements” of this Quarterly Report on Form 10-Q; (iii) a portion of the member's equity of Virtu Financial is represented as noncontrolling interest on our Condensed Consolidated Statements of Financial Condition as of June 30, 2023; and (iv) provision for corporate income tax in the amount of $1.1 million and $19.0 million reflected on our Condensed Consolidated Statements of Comprehensive Income for the three and six months ended June 30,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i) Total revenue, ii) Total operating expenses, and iii) Income before income taxes and noncontrolling interest by segment for the three and six months ended June 30, 2023, and 2022:</w:t>
      </w:r>
    </w:p>
    <w:p>
      <w:pPr>
        <w:pStyle w:val="TextBody"/>
        <w:bidi w:val="0"/>
        <w:spacing w:before="0" w:after="0"/>
        <w:ind w:left="0" w:right="0" w:firstLine="360"/>
        <w:jc w:val="left"/>
        <w:rPr/>
      </w:pPr>
      <w:r>
        <w:rPr/>
      </w:r>
    </w:p>
    <w:tbl>
      <w:tblPr>
        <w:tblW w:w="9740" w:type="dxa"/>
        <w:jc w:val="center"/>
        <w:tblInd w:w="0" w:type="dxa"/>
        <w:tblLayout w:type="fixed"/>
        <w:tblCellMar>
          <w:top w:w="28" w:type="dxa"/>
          <w:left w:w="28" w:type="dxa"/>
          <w:bottom w:w="28" w:type="dxa"/>
          <w:right w:w="28" w:type="dxa"/>
        </w:tblCellMar>
      </w:tblPr>
      <w:tblGrid>
        <w:gridCol w:w="1451"/>
        <w:gridCol w:w="1275"/>
        <w:gridCol w:w="127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415,494 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our results of operations for the three and six months ended June 30, 2023, and 2022: </w:t>
      </w:r>
    </w:p>
    <w:p>
      <w:pPr>
        <w:pStyle w:val="TextBody"/>
        <w:bidi w:val="0"/>
        <w:spacing w:before="0" w:after="0"/>
        <w:ind w:left="0" w:right="0" w:firstLine="72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14"/>
        <w:gridCol w:w="1211"/>
        <w:gridCol w:w="1216"/>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55"/>
      </w:tblGrid>
      <w:tr>
        <w:trPr/>
        <w:tc>
          <w:tcPr>
            <w:tcW w:w="151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3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306,168 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395,928 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718,679 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290,995 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506,854 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604,738 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1,127,233 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307,366 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Communication and data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compensation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210,094 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Operations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issue cost related to debt refinancing, prepayment and commitment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advisory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interest expense on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471,387 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430,954 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957,002 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890,506 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173,784 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170,231 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415,494 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148,896 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139,626 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348,820 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Selected Operating Margins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GAAP Net income Margin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(1)Calculated by dividing Net income by Total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stockholders and basic and diluted earnings per share are presented below:</w:t>
      </w:r>
    </w:p>
    <w:tbl>
      <w:tblPr>
        <w:tblW w:w="9736" w:type="dxa"/>
        <w:jc w:val="center"/>
        <w:tblInd w:w="0" w:type="dxa"/>
        <w:tblLayout w:type="fixed"/>
        <w:tblCellMar>
          <w:top w:w="28" w:type="dxa"/>
          <w:left w:w="28" w:type="dxa"/>
          <w:bottom w:w="28" w:type="dxa"/>
          <w:right w:w="28" w:type="dxa"/>
        </w:tblCellMar>
      </w:tblPr>
      <w:tblGrid>
        <w:gridCol w:w="1342"/>
        <w:gridCol w:w="1181"/>
        <w:gridCol w:w="1182"/>
        <w:gridCol w:w="109"/>
        <w:gridCol w:w="109"/>
        <w:gridCol w:w="109"/>
        <w:gridCol w:w="223"/>
        <w:gridCol w:w="738"/>
        <w:gridCol w:w="109"/>
        <w:gridCol w:w="109"/>
        <w:gridCol w:w="109"/>
        <w:gridCol w:w="109"/>
        <w:gridCol w:w="221"/>
        <w:gridCol w:w="830"/>
        <w:gridCol w:w="109"/>
        <w:gridCol w:w="109"/>
        <w:gridCol w:w="109"/>
        <w:gridCol w:w="109"/>
        <w:gridCol w:w="202"/>
        <w:gridCol w:w="759"/>
        <w:gridCol w:w="109"/>
        <w:gridCol w:w="109"/>
        <w:gridCol w:w="109"/>
        <w:gridCol w:w="109"/>
        <w:gridCol w:w="221"/>
        <w:gridCol w:w="830"/>
        <w:gridCol w:w="109"/>
        <w:gridCol w:w="109"/>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share or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94,973,489 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104,960,826 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96,376,926 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107,133,079 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94,973,489 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105,478,278 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96,376,926 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107,759,784 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Total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Trading income, net.</w:t>
      </w:r>
      <w:r>
        <w:rPr>
          <w:color w:val="000000"/>
        </w:rPr>
        <w:t xml:space="preserve"> </w:t>
      </w:r>
      <w:r>
        <w:rPr>
          <w:rFonts w:ascii="Times New Roman;sans-serif" w:hAnsi="Times New Roman;sans-serif"/>
          <w:b w:val="false"/>
          <w:color w:val="000000"/>
          <w:sz w:val="20"/>
        </w:rPr>
        <w:t>Trading income, net represents revenue earned from bid/ask spreads. Trading income is generated in the normal course of our market making activities and is typically proportional to the level of trading activity, or volumes, and bid/ask spreads in the asset classes we serve. Our trading income is highly diversified by asset class and geography and comprises small amounts earned on millions of trades on various exchanges. Our trading income, net, results from gains and losses associated with trading strategies, which are designed to capture small bid/ask spreads, while hedging risks. Trading income, net, accounted for 64% and 70% of our total revenues for the six months ended June 30, 2023 and 2022, respectively.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Interest and dividends income.</w:t>
      </w:r>
      <w:r>
        <w:rPr>
          <w:color w:val="000000"/>
        </w:rPr>
        <w:t xml:space="preserve"> </w:t>
      </w:r>
      <w:r>
        <w:rPr>
          <w:rFonts w:ascii="Times New Roman;sans-serif" w:hAnsi="Times New Roman;sans-serif"/>
          <w:b w:val="false"/>
          <w:color w:val="000000"/>
          <w:sz w:val="20"/>
        </w:rPr>
        <w:t>Our market making activities require us to hold securities on a regular basis, and we generate revenues in the form of 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Commissions, net and technology services.</w:t>
      </w:r>
      <w:r>
        <w:rPr>
          <w:color w:val="000000"/>
        </w:rPr>
        <w:t xml:space="preserve"> </w:t>
      </w:r>
      <w:r>
        <w:rPr>
          <w:rFonts w:ascii="Times New Roman;sans-serif" w:hAnsi="Times New Roman;sans-serif"/>
          <w:b w:val="false"/>
          <w:color w:val="000000"/>
          <w:sz w:val="20"/>
        </w:rPr>
        <w:t xml:space="preserve">We earn revenues on transactions for which we charge explicit commissions or commission equivalents, 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parties. Revenues are derived from fees generated by matching sell-side and buy-side clients orders, and from analytic products delivered to the clients.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Other, net.</w:t>
      </w:r>
      <w:r>
        <w:rPr>
          <w:color w:val="000000"/>
        </w:rPr>
        <w:t xml:space="preserve"> </w:t>
      </w:r>
      <w:r>
        <w:rPr>
          <w:rFonts w:ascii="Times New Roman;sans-serif" w:hAnsi="Times New Roman;sans-serif"/>
          <w:b w:val="false"/>
          <w:color w:val="000000"/>
          <w:sz w:val="20"/>
        </w:rPr>
        <w:t>We have interests in multiple strategic investments and telecommunications joint ventures (“JVs”). We record our pro-rata share of each JV’s earnings or losses within Other, net, while fees related to the use of communication services provided by the JVs are recorded within Communications and data processing.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net can also include gains on sales of strategic investments and businesses, as well as revenues from service agreements related to the sale of businesses.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Brokerage, exchange, clearance fees and payments for order flow, net.</w:t>
      </w:r>
      <w:r>
        <w:rPr>
          <w:color w:val="000000"/>
        </w:rPr>
        <w:t xml:space="preserve"> </w:t>
      </w:r>
      <w:r>
        <w:rPr>
          <w:rFonts w:ascii="Times New Roman;sans-serif" w:hAnsi="Times New Roman;sans-serif"/>
          <w:b w:val="false"/>
          <w:color w:val="000000"/>
          <w:sz w:val="20"/>
        </w:rPr>
        <w:t xml:space="preserve">Brokerage, exchange, clearance fees and payments for order flow are our most 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Communication and data processing.</w:t>
      </w:r>
      <w:r>
        <w:rPr>
          <w:color w:val="000000"/>
        </w:rPr>
        <w:t xml:space="preserve"> </w:t>
      </w:r>
      <w:r>
        <w:rPr>
          <w:rFonts w:ascii="Times New Roman;sans-serif" w:hAnsi="Times New Roman;sans-serif"/>
          <w:b w:val="false"/>
          <w:color w:val="000000"/>
          <w:sz w:val="20"/>
        </w:rPr>
        <w:t>Communication and data processing represent primarily fixed expenses for data center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Employee compensation and payroll taxes.</w:t>
      </w:r>
      <w:r>
        <w:rPr>
          <w:color w:val="000000"/>
        </w:rPr>
        <w:t xml:space="preserve"> </w:t>
      </w:r>
      <w:r>
        <w:rPr>
          <w:rFonts w:ascii="Times New Roman;sans-serif" w:hAnsi="Times New Roman;sans-serif"/>
          <w:b w:val="false"/>
          <w:color w:val="000000"/>
          <w:sz w:val="20"/>
        </w:rPr>
        <w:t xml:space="preserve">Employee compensation and payroll taxes include employee salaries, cash and non-cash incentive compensation, employee benefits, payroll taxes, severance and other employee related costs. Employee compensation and payroll taxes also includes non-cash compensation expenses with respect to restricted stock units and restricted stock awards pursuant to the Amended and Restated 2015 Management Incentive Plan and Class A Common Stock underlying certain awards assumed pursuant to the Amended and Restated ITG 2007 Equity Plan.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Interest and dividends expense.</w:t>
      </w:r>
      <w:r>
        <w:rPr>
          <w:color w:val="000000"/>
        </w:rPr>
        <w:t xml:space="preserve"> </w:t>
      </w:r>
      <w:r>
        <w:rPr>
          <w:rFonts w:ascii="Times New Roman;sans-serif" w:hAnsi="Times New Roman;sans-serif"/>
          <w:b w:val="false"/>
          <w:color w:val="000000"/>
          <w:sz w:val="20"/>
        </w:rPr>
        <w:t>We incur interest expense from loaning certain equity securities in the general course of our market making activities pursuant to collateralized lending transactions. Typically, dividend expense is incurred when a dividend is paid on securities sold short.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Operations and administrative.</w:t>
      </w:r>
      <w:r>
        <w:rPr>
          <w:color w:val="000000"/>
        </w:rPr>
        <w:t xml:space="preserve"> </w:t>
      </w:r>
      <w:r>
        <w:rPr>
          <w:rFonts w:ascii="Times New Roman;sans-serif" w:hAnsi="Times New Roman;sans-serif"/>
          <w:b w:val="false"/>
          <w:color w:val="000000"/>
          <w:sz w:val="20"/>
        </w:rPr>
        <w:t>Operations and administrative expense represents occupancy, recruiting, travel and related expense, professional fees and other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Depreciation and amortization.</w:t>
      </w:r>
      <w:r>
        <w:rPr>
          <w:color w:val="000000"/>
        </w:rPr>
        <w:t xml:space="preserve"> </w:t>
      </w:r>
      <w:r>
        <w:rPr>
          <w:rFonts w:ascii="Times New Roman;sans-serif" w:hAnsi="Times New Roman;sans-serif"/>
          <w:b w:val="false"/>
          <w:color w:val="000000"/>
          <w:sz w:val="20"/>
        </w:rPr>
        <w:t>Depreciation and amortization expense results from the depreciation of fixed assets and leased equipment, such as computing and 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Amortization of purchased intangibles and acquired capitalized software.</w:t>
      </w:r>
      <w:r>
        <w:rPr>
          <w:color w:val="000000"/>
        </w:rPr>
        <w:t xml:space="preserve"> </w:t>
      </w:r>
      <w:r>
        <w:rPr>
          <w:rFonts w:ascii="Times New Roman;sans-serif" w:hAnsi="Times New Roman;sans-serif"/>
          <w:b w:val="false"/>
          <w:color w:val="000000"/>
          <w:sz w:val="20"/>
        </w:rPr>
        <w:t>Amortization of purchased intangibles and acquired capitalized software represents the amortization of finite lived intangible assets acquired in connection with the Acquisition of KCG and the ITG Acquisition. These assets are amortized over their useful lives, ranging from 1 to 15 years, except for certain assets which were categorized as having indefinite useful lives.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Termination of office leases. </w:t>
      </w:r>
      <w:r>
        <w:rPr>
          <w:rFonts w:ascii="Times New Roman;sans-serif" w:hAnsi="Times New Roman;sans-serif"/>
          <w:b w:val="false"/>
          <w:color w:val="000000"/>
          <w:sz w:val="20"/>
        </w:rPr>
        <w:t>Termination of office leases represents the write-off expense related to certain office space we ceased use of as part of the effort to integrate and consolidate office space. The aggregate write-off amount includes the impairment of operating lease right-of-use assets, leasehold improvements and fixed assets, and dilapidation charges.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Debt issue cost related to debt refinancing, prepayment and commitment fees.</w:t>
      </w:r>
      <w:r>
        <w:rPr>
          <w:color w:val="000000"/>
        </w:rPr>
        <w:t xml:space="preserve"> </w:t>
      </w:r>
      <w:r>
        <w:rPr>
          <w:rFonts w:ascii="Times New Roman;sans-serif" w:hAnsi="Times New Roman;sans-serif"/>
          <w:b w:val="false"/>
          <w:color w:val="000000"/>
          <w:sz w:val="20"/>
        </w:rPr>
        <w:t>As a result of the refinancing or early termination of our long-term borrowings, we accelerate the capitalized debt issue cost and the discount on the term loan that would otherwise be amortized or accreted over the life of the term loan. Premium paid in connection with retiring outstanding bonds, and commitment fees paid for lines of credit are also included in this category.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Transaction advisory fees and expenses.</w:t>
      </w:r>
      <w:r>
        <w:rPr>
          <w:color w:val="000000"/>
        </w:rPr>
        <w:t xml:space="preserve"> </w:t>
      </w:r>
      <w:r>
        <w:rPr>
          <w:rFonts w:ascii="Times New Roman;sans-serif" w:hAnsi="Times New Roman;sans-serif"/>
          <w:b w:val="false"/>
          <w:color w:val="000000"/>
          <w:sz w:val="20"/>
        </w:rPr>
        <w:t>Transaction advisory fees and expenses primarily reflect professional fees incurred by us in connection with one or more acquisitions or dispositions.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Financing interest expense on long-term borrowings.</w:t>
      </w:r>
      <w:r>
        <w:rPr>
          <w:color w:val="000000"/>
        </w:rPr>
        <w:t xml:space="preserve"> </w:t>
      </w:r>
      <w:r>
        <w:rPr>
          <w:rFonts w:ascii="Times New Roman;sans-serif" w:hAnsi="Times New Roman;sans-serif"/>
          <w:b w:val="false"/>
          <w:color w:val="000000"/>
          <w:sz w:val="20"/>
        </w:rPr>
        <w:t>Financing interest expense reflects interest accrued on outstanding indebtedness under our long-term borrowing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U.S. federal, state and local income tax at the rate applicable to corporations less the rate attributable to the noncontrolling interest in Virtu Financial. Our non-U.S. operations are also subject to foreign income tax at the applicable corporate rates.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 Our effective tax rate may also be impacted by changes in the portion of income that is attributable to the noncontrolling interest.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13 "Income Taxes" of Part I Item 1 “Financial Statements” of this Quarterly Report on Form 10-Q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 and Other Items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supplement our Condensed Consolidated Financial Statements presented in accordance with generally accepted accounting principles in the United States (“U.S. GAAP”), we use the following non-U.S. GAAP (“Non-GAAP”) financial measures of financial performance:</w:t>
      </w:r>
    </w:p>
    <w:p>
      <w:pPr>
        <w:pStyle w:val="TextBody"/>
        <w:bidi w:val="0"/>
        <w:spacing w:before="0" w:after="0"/>
        <w:jc w:val="left"/>
        <w:rPr/>
      </w:pPr>
      <w:r>
        <w:rPr/>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We also disclose Adjusted Net Trading Income by segment, including daily averages. Management believes that Adjusted Net Trading Income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and Other, net, which includes gains and losses from strategic investments and the sales of businesses.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Operating Margins, which are calculated by dividing net income, EBITDA, and Adjusted EBITDA by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pStyle w:val="TextBody"/>
        <w:bidi w:val="0"/>
        <w:spacing w:before="0" w:after="0"/>
        <w:jc w:val="left"/>
        <w:rPr/>
      </w:pPr>
      <w:r>
        <w:rPr/>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they do not reflect every cash expenditure, future requirements for capital expenditures or contractual commitments;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our EBITDA-based measures do not reflect the significant interest expense or the cash requirements necessary to service interest or principal payment on our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they are not adjusted for all non-cash income or expense items that are reflected in our consolidated statements of cash flows;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they do not reflect the impact of earnings or charges resulting from matters we consider not to be indicative of our ongoing operations; and</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they do not reflect limitations on our costs related to transferring earnings from our subsidiaries to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Condensed Consolidated Statements of Comprehensive Income to arrive at Adjusted Net Trading Income, EBITDA, Adjusted EBITDA, and Non-GAAP Operating Margins for the three and six months ended June 30, 2023, and 2022.</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22"/>
        <w:gridCol w:w="1254"/>
        <w:gridCol w:w="1265"/>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55"/>
      </w:tblGrid>
      <w:tr>
        <w:trPr/>
        <w:tc>
          <w:tcPr>
            <w:tcW w:w="142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3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Trading income, net to 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306,168 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395,928 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718,679 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290,995 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(122,471)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(156,986)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(307,366)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(210,094)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278,687 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357,358 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651,763 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862,414 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Net Income to EBITDA and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348,820 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issue cost related to debt refinancing, prepayment, and commitment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94,021 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229,921 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286,618 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552,606 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advisory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121,990 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209,279 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329,459 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553,069 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Selected Operating Margins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GAAP Net income Margin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Net income Margin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EBITDA Margin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 Margin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(1)Calculated by dividing Net income by Total revenue.</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(2)Calculated by dividing net income by Adjusted Net Trading Income.</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(3)Calculated by dividing EBITDA by Adjusted Net Trading Income.</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(4)Calculated by dividing Adjusted EBITDA by Adjusted Net Trading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90"/>
        <w:jc w:val="left"/>
        <w:rPr/>
      </w:pPr>
      <w:r>
        <w:rPr/>
      </w:r>
    </w:p>
    <w:p>
      <w:pPr>
        <w:pStyle w:val="TextBody"/>
        <w:bidi w:val="0"/>
        <w:spacing w:before="0" w:after="200"/>
        <w:ind w:left="0" w:right="0" w:firstLine="720"/>
        <w:jc w:val="left"/>
        <w:rPr/>
      </w:pPr>
      <w:r>
        <w:rPr/>
      </w:r>
    </w:p>
    <w:p>
      <w:pPr>
        <w:pStyle w:val="TextBody"/>
        <w:bidi w:val="0"/>
        <w:spacing w:before="0" w:after="200"/>
        <w:ind w:left="0" w:right="0" w:firstLine="72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to arrive at Normalized Adjusted Net Income before income taxes, Normalized provision for income taxes, Normalized Adjusted Net Income and Normalized Adjusted EPS for the three and six months ended June 30, 2023, and 2022:</w:t>
      </w:r>
    </w:p>
    <w:tbl>
      <w:tblPr>
        <w:tblW w:w="10205" w:type="dxa"/>
        <w:jc w:val="center"/>
        <w:tblInd w:w="0" w:type="dxa"/>
        <w:tblLayout w:type="fixed"/>
        <w:tblCellMar>
          <w:top w:w="28" w:type="dxa"/>
          <w:left w:w="28" w:type="dxa"/>
          <w:bottom w:w="28" w:type="dxa"/>
          <w:right w:w="28" w:type="dxa"/>
        </w:tblCellMar>
      </w:tblPr>
      <w:tblGrid>
        <w:gridCol w:w="1506"/>
        <w:gridCol w:w="1241"/>
        <w:gridCol w:w="1246"/>
        <w:gridCol w:w="109"/>
        <w:gridCol w:w="109"/>
        <w:gridCol w:w="109"/>
        <w:gridCol w:w="244"/>
        <w:gridCol w:w="807"/>
        <w:gridCol w:w="109"/>
        <w:gridCol w:w="109"/>
        <w:gridCol w:w="109"/>
        <w:gridCol w:w="109"/>
        <w:gridCol w:w="221"/>
        <w:gridCol w:w="830"/>
        <w:gridCol w:w="109"/>
        <w:gridCol w:w="109"/>
        <w:gridCol w:w="109"/>
        <w:gridCol w:w="109"/>
        <w:gridCol w:w="221"/>
        <w:gridCol w:w="830"/>
        <w:gridCol w:w="109"/>
        <w:gridCol w:w="109"/>
        <w:gridCol w:w="109"/>
        <w:gridCol w:w="109"/>
        <w:gridCol w:w="221"/>
        <w:gridCol w:w="830"/>
        <w:gridCol w:w="109"/>
        <w:gridCol w:w="109"/>
        <w:gridCol w:w="155"/>
      </w:tblGrid>
      <w:tr>
        <w:trPr/>
        <w:tc>
          <w:tcPr>
            <w:tcW w:w="150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Net Income to Normalized 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issue cost related to debt refinancing, prepayment, and commitment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advisory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Adjusted 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provision for income taxes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Adjusted shares outstanding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168,831,964 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178,886,524 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170,085,629 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181,017,758 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Adjusted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(1)Reflects U.S. federal, state, and local income tax rate applicable to corporations of approximately 24% for all periods presented.</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(2)Assumes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restricted stock units and restricted stock awards outstanding under the Amended and Restated 2015 Management Incentive Plan and the Amended and Restated ITG 2007 Equity Plan during the three and six months ended June 30, 2023 and 2022.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Trading income, net to Adjusted Net Trading Income by segment for the three and six months ended June 30, 2023, and 2022:</w:t>
      </w:r>
    </w:p>
    <w:tbl>
      <w:tblPr>
        <w:tblW w:w="10205" w:type="dxa"/>
        <w:jc w:val="center"/>
        <w:tblInd w:w="0" w:type="dxa"/>
        <w:tblLayout w:type="fixed"/>
        <w:tblCellMar>
          <w:top w:w="28" w:type="dxa"/>
          <w:left w:w="28" w:type="dxa"/>
          <w:bottom w:w="28" w:type="dxa"/>
          <w:right w:w="28" w:type="dxa"/>
        </w:tblCellMar>
      </w:tblPr>
      <w:tblGrid>
        <w:gridCol w:w="1599"/>
        <w:gridCol w:w="1374"/>
        <w:gridCol w:w="1380"/>
        <w:gridCol w:w="109"/>
        <w:gridCol w:w="109"/>
        <w:gridCol w:w="109"/>
        <w:gridCol w:w="227"/>
        <w:gridCol w:w="856"/>
        <w:gridCol w:w="126"/>
        <w:gridCol w:w="109"/>
        <w:gridCol w:w="109"/>
        <w:gridCol w:w="109"/>
        <w:gridCol w:w="283"/>
        <w:gridCol w:w="933"/>
        <w:gridCol w:w="156"/>
        <w:gridCol w:w="109"/>
        <w:gridCol w:w="109"/>
        <w:gridCol w:w="109"/>
        <w:gridCol w:w="240"/>
        <w:gridCol w:w="497"/>
        <w:gridCol w:w="134"/>
        <w:gridCol w:w="109"/>
        <w:gridCol w:w="109"/>
        <w:gridCol w:w="109"/>
        <w:gridCol w:w="196"/>
        <w:gridCol w:w="736"/>
        <w:gridCol w:w="160"/>
      </w:tblGrid>
      <w:tr>
        <w:trPr/>
        <w:tc>
          <w:tcPr>
            <w:tcW w:w="159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302,312 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306,168 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(99,842)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(122,471)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(111,508)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193,191 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85,496 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278,687 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95"/>
        <w:gridCol w:w="1370"/>
        <w:gridCol w:w="1376"/>
        <w:gridCol w:w="109"/>
        <w:gridCol w:w="109"/>
        <w:gridCol w:w="109"/>
        <w:gridCol w:w="227"/>
        <w:gridCol w:w="856"/>
        <w:gridCol w:w="126"/>
        <w:gridCol w:w="109"/>
        <w:gridCol w:w="109"/>
        <w:gridCol w:w="109"/>
        <w:gridCol w:w="261"/>
        <w:gridCol w:w="981"/>
        <w:gridCol w:w="144"/>
        <w:gridCol w:w="109"/>
        <w:gridCol w:w="109"/>
        <w:gridCol w:w="109"/>
        <w:gridCol w:w="240"/>
        <w:gridCol w:w="497"/>
        <w:gridCol w:w="134"/>
        <w:gridCol w:w="109"/>
        <w:gridCol w:w="109"/>
        <w:gridCol w:w="109"/>
        <w:gridCol w:w="196"/>
        <w:gridCol w:w="736"/>
        <w:gridCol w:w="158"/>
      </w:tblGrid>
      <w:tr>
        <w:trPr/>
        <w:tc>
          <w:tcPr>
            <w:tcW w:w="159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4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390,263 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395,928 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125,195 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(131,121)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(156,986)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(47,355)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253,724 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103,634 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357,358 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95"/>
        <w:gridCol w:w="1370"/>
        <w:gridCol w:w="1376"/>
        <w:gridCol w:w="109"/>
        <w:gridCol w:w="109"/>
        <w:gridCol w:w="109"/>
        <w:gridCol w:w="227"/>
        <w:gridCol w:w="856"/>
        <w:gridCol w:w="126"/>
        <w:gridCol w:w="109"/>
        <w:gridCol w:w="109"/>
        <w:gridCol w:w="109"/>
        <w:gridCol w:w="261"/>
        <w:gridCol w:w="981"/>
        <w:gridCol w:w="144"/>
        <w:gridCol w:w="109"/>
        <w:gridCol w:w="109"/>
        <w:gridCol w:w="109"/>
        <w:gridCol w:w="240"/>
        <w:gridCol w:w="497"/>
        <w:gridCol w:w="134"/>
        <w:gridCol w:w="109"/>
        <w:gridCol w:w="109"/>
        <w:gridCol w:w="109"/>
        <w:gridCol w:w="196"/>
        <w:gridCol w:w="736"/>
        <w:gridCol w:w="158"/>
      </w:tblGrid>
      <w:tr>
        <w:trPr/>
        <w:tc>
          <w:tcPr>
            <w:tcW w:w="159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4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710,655 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718,679 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214,614 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(222,791)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(45,202)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(267,993)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(208,431)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(210,094)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471,050 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180,713 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651,763 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95"/>
        <w:gridCol w:w="1370"/>
        <w:gridCol w:w="1376"/>
        <w:gridCol w:w="109"/>
        <w:gridCol w:w="109"/>
        <w:gridCol w:w="109"/>
        <w:gridCol w:w="227"/>
        <w:gridCol w:w="856"/>
        <w:gridCol w:w="126"/>
        <w:gridCol w:w="109"/>
        <w:gridCol w:w="109"/>
        <w:gridCol w:w="109"/>
        <w:gridCol w:w="261"/>
        <w:gridCol w:w="981"/>
        <w:gridCol w:w="144"/>
        <w:gridCol w:w="109"/>
        <w:gridCol w:w="109"/>
        <w:gridCol w:w="109"/>
        <w:gridCol w:w="240"/>
        <w:gridCol w:w="497"/>
        <w:gridCol w:w="134"/>
        <w:gridCol w:w="109"/>
        <w:gridCol w:w="109"/>
        <w:gridCol w:w="109"/>
        <w:gridCol w:w="196"/>
        <w:gridCol w:w="736"/>
        <w:gridCol w:w="158"/>
      </w:tblGrid>
      <w:tr>
        <w:trPr/>
        <w:tc>
          <w:tcPr>
            <w:tcW w:w="159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4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906,621 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918,235 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270,801 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290,995 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(254,636)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(52,730)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(307,366)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(88,382)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635,572 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226,842 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862,414 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Adjusted Net Trading Income and average daily Adjusted Net Trading Income by segment for the three and six months ended June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tbl>
      <w:tblPr>
        <w:tblW w:w="9348" w:type="dxa"/>
        <w:jc w:val="center"/>
        <w:tblInd w:w="0" w:type="dxa"/>
        <w:tblLayout w:type="fixed"/>
        <w:tblCellMar>
          <w:top w:w="28" w:type="dxa"/>
          <w:left w:w="28" w:type="dxa"/>
          <w:bottom w:w="28" w:type="dxa"/>
          <w:right w:w="28" w:type="dxa"/>
        </w:tblCellMar>
      </w:tblPr>
      <w:tblGrid>
        <w:gridCol w:w="1941"/>
        <w:gridCol w:w="1711"/>
        <w:gridCol w:w="1717"/>
        <w:gridCol w:w="109"/>
        <w:gridCol w:w="109"/>
        <w:gridCol w:w="109"/>
        <w:gridCol w:w="196"/>
        <w:gridCol w:w="736"/>
        <w:gridCol w:w="109"/>
        <w:gridCol w:w="109"/>
        <w:gridCol w:w="109"/>
        <w:gridCol w:w="109"/>
        <w:gridCol w:w="196"/>
        <w:gridCol w:w="736"/>
        <w:gridCol w:w="109"/>
        <w:gridCol w:w="109"/>
        <w:gridCol w:w="109"/>
        <w:gridCol w:w="109"/>
        <w:gridCol w:w="268"/>
        <w:gridCol w:w="268"/>
        <w:gridCol w:w="380"/>
      </w:tblGrid>
      <w:tr>
        <w:trPr/>
        <w:tc>
          <w:tcPr>
            <w:tcW w:w="194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Trading Income by Segment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(23.9)%</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(17.5)%</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(22.0)%</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Daily Adjusted Net Trading Income by Segment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(23.9)%</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(17.5)%</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Daily 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(22.0)%</w:t>
            </w:r>
          </w:p>
        </w:tc>
      </w:tr>
    </w:tbl>
    <w:tbl>
      <w:tblPr>
        <w:tblW w:w="9348" w:type="dxa"/>
        <w:jc w:val="center"/>
        <w:tblInd w:w="0" w:type="dxa"/>
        <w:tblLayout w:type="fixed"/>
        <w:tblCellMar>
          <w:top w:w="28" w:type="dxa"/>
          <w:left w:w="28" w:type="dxa"/>
          <w:bottom w:w="28" w:type="dxa"/>
          <w:right w:w="28" w:type="dxa"/>
        </w:tblCellMar>
      </w:tblPr>
      <w:tblGrid>
        <w:gridCol w:w="1941"/>
        <w:gridCol w:w="1711"/>
        <w:gridCol w:w="1717"/>
        <w:gridCol w:w="109"/>
        <w:gridCol w:w="109"/>
        <w:gridCol w:w="109"/>
        <w:gridCol w:w="196"/>
        <w:gridCol w:w="736"/>
        <w:gridCol w:w="109"/>
        <w:gridCol w:w="109"/>
        <w:gridCol w:w="109"/>
        <w:gridCol w:w="109"/>
        <w:gridCol w:w="196"/>
        <w:gridCol w:w="736"/>
        <w:gridCol w:w="109"/>
        <w:gridCol w:w="109"/>
        <w:gridCol w:w="109"/>
        <w:gridCol w:w="109"/>
        <w:gridCol w:w="268"/>
        <w:gridCol w:w="268"/>
        <w:gridCol w:w="380"/>
      </w:tblGrid>
      <w:tr>
        <w:trPr/>
        <w:tc>
          <w:tcPr>
            <w:tcW w:w="194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Trading Income by Segment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(25.9)%</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(24.4)%</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Daily Adjusted Net Trading Income by Segment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(25.9)%</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Daily 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(24.4)%</w:t>
            </w:r>
          </w:p>
        </w:tc>
      </w:tr>
    </w:tbl>
    <w:tbl>
      <w:tblPr>
        <w:tblW w:w="496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2023 Compared to Three Months Ended June 30,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Total Revenues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total revenues decreased $97.9 million, or 16.2%, to $506.9 million for the three months ended June 30, 2023, compared to $604.7 million for the three months ended June 30, 2022. The decrease was primarily driven by lower market volumes and lower volatility across global markets, and decreased opportunity in our customer market making trading as a result of lower spread opportunity and decreased quality of the order flow with which we interacted during the three months ended June 30, 2023 compared to the same period in 2022, as well as a decrease in Other, net, which was driven by gains recorded on sales of various strategic investments in 2022.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total revenues by segment for the three months ended June 30, 2023 and 2022.</w:t>
      </w:r>
    </w:p>
    <w:tbl>
      <w:tblPr>
        <w:tblW w:w="7024" w:type="dxa"/>
        <w:jc w:val="center"/>
        <w:tblInd w:w="0" w:type="dxa"/>
        <w:tblLayout w:type="fixed"/>
        <w:tblCellMar>
          <w:top w:w="28" w:type="dxa"/>
          <w:left w:w="28" w:type="dxa"/>
          <w:bottom w:w="28" w:type="dxa"/>
          <w:right w:w="28" w:type="dxa"/>
        </w:tblCellMar>
      </w:tblPr>
      <w:tblGrid>
        <w:gridCol w:w="1104"/>
        <w:gridCol w:w="967"/>
        <w:gridCol w:w="974"/>
        <w:gridCol w:w="109"/>
        <w:gridCol w:w="109"/>
        <w:gridCol w:w="109"/>
        <w:gridCol w:w="196"/>
        <w:gridCol w:w="736"/>
        <w:gridCol w:w="109"/>
        <w:gridCol w:w="109"/>
        <w:gridCol w:w="109"/>
        <w:gridCol w:w="109"/>
        <w:gridCol w:w="196"/>
        <w:gridCol w:w="736"/>
        <w:gridCol w:w="109"/>
        <w:gridCol w:w="109"/>
        <w:gridCol w:w="109"/>
        <w:gridCol w:w="109"/>
        <w:gridCol w:w="268"/>
        <w:gridCol w:w="268"/>
        <w:gridCol w:w="380"/>
      </w:tblGrid>
      <w:tr>
        <w:trPr/>
        <w:tc>
          <w:tcPr>
            <w:tcW w:w="110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210.5%</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79.5%</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revenues from Market Making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Execution Services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(17.8)%</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(95.6)%</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revenues from Execution Services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(16.7)%</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from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(22.7)%</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218.2%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506,854 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(16.2)%</w:t>
            </w:r>
          </w:p>
        </w:tc>
      </w:tr>
    </w:tbl>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i/>
          <w:color w:val="000000"/>
          <w:sz w:val="20"/>
        </w:rPr>
        <w:t xml:space="preserve">Trading income, net. </w:t>
      </w:r>
      <w:r>
        <w:rPr>
          <w:rFonts w:ascii="Times New Roman;sans-serif" w:hAnsi="Times New Roman;sans-serif"/>
          <w:b w:val="false"/>
          <w:color w:val="000000"/>
          <w:sz w:val="20"/>
        </w:rPr>
        <w:t>Trading income, net was primarily earned by our Market Making segment. Trading income, net decreased $89.8 million, or 22.7% to $306.2 million for the three months ended June 30, 2023, compared to $395.9 million for the three months ended June 30, 2022. The decrease was largely a result of lower market volumes and lower volatility across global markets and decreased opportunity in our customer market making trading as a result of lower spread opportunity and decreased quality of the order flow with which we interacted.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is described below.</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i/>
          <w:color w:val="000000"/>
          <w:sz w:val="20"/>
        </w:rPr>
        <w:t>Interest and dividends income.</w:t>
      </w:r>
      <w:r>
        <w:rPr>
          <w:color w:val="000000"/>
        </w:rPr>
        <w:t xml:space="preserve"> </w:t>
      </w:r>
      <w:r>
        <w:rPr>
          <w:rFonts w:ascii="Times New Roman;sans-serif" w:hAnsi="Times New Roman;sans-serif"/>
          <w:b w:val="false"/>
          <w:color w:val="000000"/>
          <w:sz w:val="20"/>
        </w:rPr>
        <w:t>Interest and dividends income was primarily earned by our Market Making segment. Interest and dividends income increased $67.2 million, or 218.2%, to $98.0 million for the three months ended June 30, 2023, compared to $30.8 million for the three months ended June 30, 2022. This increase was primarily attributable to the higher dividends earned on market making trading assets held over periods when dividends are paid along with an increase in interest income earned on cash collateral posted as part of securities borrowing transactions and interest earned on balances maintained at banks and prime brokers, both of which benefited from higher interest rates for the period compared to the same period during the prior year. As indicated above, rather than analyzing interest and dividends income in isolation, we evaluate it in the broader context of our Adjusted Net Trading Income.</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i/>
          <w:color w:val="000000"/>
          <w:sz w:val="20"/>
        </w:rPr>
        <w:t>Commissions, net and technology services.</w:t>
      </w:r>
      <w:r>
        <w:rPr>
          <w:color w:val="000000"/>
        </w:rPr>
        <w:t xml:space="preserve"> </w:t>
      </w:r>
      <w:r>
        <w:rPr>
          <w:rFonts w:ascii="Times New Roman;sans-serif" w:hAnsi="Times New Roman;sans-serif"/>
          <w:b w:val="false"/>
          <w:color w:val="000000"/>
          <w:sz w:val="20"/>
        </w:rPr>
        <w:t>Commissions, net and technology services revenues were primarily earned by our Execution Services segment. Commissions, net and technology services revenues decreased $26.8 million, or 19.7%, to $109.5 million for the three months ended June 30, 2023, compared to $136.3 million for the three months ended June 30, 2022. This decrease was driven by lower market volumes, a reduction of institutional investors' commissions available, and declining institutional engagement. As indicated above, rather than analyzing interest and dividends income in isolation, we evaluate it in the broader context of our Adjusted Net Trading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Other, net. </w:t>
      </w:r>
      <w:r>
        <w:rPr>
          <w:rFonts w:ascii="Times New Roman;sans-serif" w:hAnsi="Times New Roman;sans-serif"/>
          <w:b w:val="false"/>
          <w:color w:val="000000"/>
          <w:sz w:val="20"/>
        </w:rPr>
        <w:t xml:space="preserve">Other, net decreased $48.5 million, or 116.3%, to $(6.8) million for the three months ended June 30, 2023, compared to $41.7 million for the three months ended June 30, 2022. Other, net comprises changes in the valuation on our level 3 investment, as well as other miscellaneous income including gains and losses attributable to our variable interest entities and other investments. The three months ended June 30, 2022 included gains from sales of investments in our strategic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portfolio. Refer to Note 9 "Financial Assets and Liabilities" in Part I Item 1 “Financial Statements” of this Quarterly Report on Form 10-Q for more details on our level 3 investment.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Trading Income, which is a non-GAAP measure, decreased $78.7 million, or 22.0%, to $278.7 million for the three months ended June 30, 2023, compared to $357.4 million for the three months ended June 30, 2022. This decrease was primarily attributable to lower Trading income, net in the Market Making segment during the three months ended June 30, 2023 compared to the same period in 2022, as noted above. Adjusted Net Trading Income per day decreased $1.3 million, or 22.0%, to $4.5 million for the three months ended June 30, 2023, compared to $5.8 million for the three months ended June 30, 2022.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increased $40.4 million, or 9.4%, to $471.4 million for the three months ended June 30, 2023, compared to $431.0 million for the three months ended June 30, 2022. The increase in operating expenses is primarily due to an increase in Interest and dividends expense, partially offset by a decline in Brokerage, exchange, clearance fees and payments for order flow, net, described in more detail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Brokerage, exchange, clearance fees and payments for order flow, net. </w:t>
      </w:r>
      <w:r>
        <w:rPr>
          <w:rFonts w:ascii="Times New Roman;sans-serif" w:hAnsi="Times New Roman;sans-serif"/>
          <w:b w:val="false"/>
          <w:color w:val="000000"/>
          <w:sz w:val="20"/>
        </w:rPr>
        <w:t xml:space="preserve">Brokerage exchange, clearance fees and payments for order flow, net, decreased $34.5 million, or 22.0%, to $122.5 million for the three months ended June 30, 2023, compared to $157.0 million for the three months ended June 30, 2022. These costs vary period to period based upon the level and composition of our trading activities. We evaluate this category representing direct costs associated with transacting business, in the broader context of our Adjusted Net Trading Income.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Communication and data processing. </w:t>
      </w:r>
      <w:r>
        <w:rPr>
          <w:rFonts w:ascii="Times New Roman;sans-serif" w:hAnsi="Times New Roman;sans-serif"/>
          <w:b w:val="false"/>
          <w:color w:val="000000"/>
          <w:sz w:val="20"/>
        </w:rPr>
        <w:t>Communication and data processing expense increased $1.3 million, or 2.3%, to $57.0 million for the three months ended June 30, 2023, compared to $55.7 million for the three months ended June 30, 2022. This increase was primarily due to increased connectivity spending on colocation, and microwave communication networks maintained by our joint ventures.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 xml:space="preserve">Employee compensation and payroll taxes. </w:t>
      </w:r>
      <w:r>
        <w:rPr>
          <w:rFonts w:ascii="Times New Roman;sans-serif" w:hAnsi="Times New Roman;sans-serif"/>
          <w:b w:val="false"/>
          <w:color w:val="000000"/>
          <w:sz w:val="20"/>
        </w:rPr>
        <w:t>Employee compensation and payroll taxes decreased $3.0 million, or 3.1% to $95.6 million for the three months ended June 30, 2023, compared to $98.6 million for the three months ended June 30, 2022. The decrease in compensation levels was primarily attributable to a decrease in accrued incentive compensation, which is recorded at management’s discretion and is generally accrued in connection with the overall level of profitability on a year-to-date basis, as well as the anticipated mix of cash and stock-based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capitalized and therefore excluded employee compensation and benefits related to software development of $10.1 million and $8.3 million for the three months ended June 30, 2023, and 2022, respectively.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 xml:space="preserve">Interest and dividends expense. </w:t>
      </w:r>
      <w:r>
        <w:rPr>
          <w:rFonts w:ascii="Times New Roman;sans-serif" w:hAnsi="Times New Roman;sans-serif"/>
          <w:b w:val="false"/>
          <w:color w:val="000000"/>
          <w:sz w:val="20"/>
        </w:rPr>
        <w:t>Interest and dividends expense increased $63.8 million or 130.9% to $112.5 million for the three months ended June 30, 2023, compared to $48.7 million for the three months ended June 30, 2022. This increase was primarily attributable to higher dividend expense with respect to securities sold, not yet purchased and higher interest expense incurred on cash collateral received as part of securities lending transactions and higher financing costs with respect to trading assets driven by higher interest rates. As indicated above, rather than analyzing interest and dividends expense in isolation, we evaluate it in the broader context of our Adjusted Net Trading Income.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 xml:space="preserve">Operations and administrative. </w:t>
      </w:r>
      <w:r>
        <w:rPr>
          <w:rFonts w:ascii="Times New Roman;sans-serif" w:hAnsi="Times New Roman;sans-serif"/>
          <w:b w:val="false"/>
          <w:color w:val="000000"/>
          <w:sz w:val="20"/>
        </w:rPr>
        <w:t>Operations and administrative expense increased $11.9 million or 87.8% to $25.5 million for the three months ended June 30, 2023, compared to $13.6 million for the three months ended June 30, 2022. This increase was primarily driven by favorable foreign exchange rate movements in the prior year period.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Depreciation and amortization. </w:t>
      </w:r>
      <w:r>
        <w:rPr>
          <w:rFonts w:ascii="Times New Roman;sans-serif" w:hAnsi="Times New Roman;sans-serif"/>
          <w:b w:val="false"/>
          <w:color w:val="000000"/>
          <w:sz w:val="20"/>
        </w:rPr>
        <w:t xml:space="preserve">Depreciation and amortization decreased $0.4 million, or 2.6% to $15.9 million for the three months ended June 30, 2023, compared to $16.3 million for the three months ended June 30, 2022. The decrease is driven primarily by decreased amortization of capitalized software compared to the prior period.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Amortization of purchased intangibles and acquired capitalized software. </w:t>
      </w:r>
      <w:r>
        <w:rPr>
          <w:rFonts w:ascii="Times New Roman;sans-serif" w:hAnsi="Times New Roman;sans-serif"/>
          <w:b w:val="false"/>
          <w:color w:val="000000"/>
          <w:sz w:val="20"/>
        </w:rPr>
        <w:t>Amortization of purchased intangibles and acquired capitalized software decreased $0.3 million, or 1.6%, to $16.0 million for the three months ended June 30, 2023, compared to $16.3 million for the three months ended June 30, 2022. This decrease was due to certain intangible assets being fully amortized during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Termination of office leases. </w:t>
      </w:r>
      <w:r>
        <w:rPr>
          <w:rFonts w:ascii="Times New Roman;sans-serif" w:hAnsi="Times New Roman;sans-serif"/>
          <w:b w:val="false"/>
          <w:color w:val="000000"/>
          <w:sz w:val="20"/>
        </w:rPr>
        <w:t>Termination of office leases was $(0.1) million for the three months ended June 30, 2023, compared to $0.7 million for the three months ended June 30, 2022. These expenses are related to the impairment of lease right-of-use assets, leasehold improvements and fixed assets for certain abandoned or vacated office space. There were no significant lease terminations in either period.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Debt issue cost related to debt refinancing, prepayment and commitment fees. </w:t>
      </w:r>
      <w:r>
        <w:rPr>
          <w:rFonts w:ascii="Times New Roman;sans-serif" w:hAnsi="Times New Roman;sans-serif"/>
          <w:b w:val="false"/>
          <w:color w:val="000000"/>
          <w:sz w:val="20"/>
        </w:rPr>
        <w:t xml:space="preserve">Expense from debt issue cost related to debt refinancing, prepayment and commitment fees increased to $1.8 million for the three months ended June 30, 2023, compared to $1.4 million for the three months ended June 30, 2022. The increase was primarily driven by costs incurred related to amending VAL's credit facility. Refer to Note 8 "Borrowings" in Part I Item 1 “Financial Statements” of this Quarterly Report on Form 10-Q for more details on our borrowing arrangements. </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i/>
          <w:color w:val="000000"/>
          <w:sz w:val="20"/>
        </w:rPr>
        <w:t>Transaction advisory fees and expenses.</w:t>
      </w:r>
      <w:r>
        <w:rPr>
          <w:color w:val="000000"/>
        </w:rPr>
        <w:t xml:space="preserve"> </w:t>
      </w:r>
      <w:r>
        <w:rPr>
          <w:rFonts w:ascii="Times New Roman;sans-serif" w:hAnsi="Times New Roman;sans-serif"/>
          <w:b w:val="false"/>
          <w:color w:val="000000"/>
          <w:sz w:val="20"/>
        </w:rPr>
        <w:t>Transaction advisory fees and expenses were immaterial for the three months ended June 30, 2023, compared to $0.6 million for the three months ended June 30, 2022. These expenses were primarily incurred in relation to our strategic investment portfolio.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Financing interest expense on long-term borrowings. </w:t>
      </w:r>
      <w:r>
        <w:rPr>
          <w:rFonts w:ascii="Times New Roman;sans-serif" w:hAnsi="Times New Roman;sans-serif"/>
          <w:b w:val="false"/>
          <w:color w:val="000000"/>
          <w:sz w:val="20"/>
        </w:rPr>
        <w:t>Financing interest expense on long-term borrowings increased $2.8 million or 12.5% to $24.9 million for the three months ended June 30, 2023, compared to $22.1 million for the three months ended June 30, 2022.The increase was attributable to the effect of higher interest rates applied on our outstanding principal.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Provision for income taxes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$5.9 million and 16.7% for the three months ended June 30, 2023, compared to $24.9 million and 14.3% for the three months ended June 30, 2022.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2023 Compared to Six Months Ended June 30,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Total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total revenues decreased $178.8 million, or 13.7%, to $1,127.2 million for the six months ended June 30, 2023, compared to $1,306.0 million for the six months ended June 30, 2022. This decrease was primarily attributable to a decrease of $199.6 million in Trading income, net, during the six months ended June 30, 2023 compared to the prior period, as well as a decrease of $47.6 million in Other, net, which was driven by gains recorded on sales of various strategic investments in 2022, partially offset by an increase of $128.4 million in Interest and dividends income which is largely driven by the level of trading assets held over periods when dividends are paid, and the levels of stock borrowing and trading asset financing during the six months ended June 30, 2023 compared to the same period in 2022.</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total revenues by segment for the six months ended June 30, 2023 and 2022.</w:t>
      </w:r>
    </w:p>
    <w:p>
      <w:pPr>
        <w:pStyle w:val="TextBody"/>
        <w:bidi w:val="0"/>
        <w:spacing w:before="0" w:after="0"/>
        <w:ind w:left="0" w:right="0" w:firstLine="720"/>
        <w:jc w:val="left"/>
        <w:rPr/>
      </w:pPr>
      <w:r>
        <w:rPr/>
      </w:r>
    </w:p>
    <w:tbl>
      <w:tblPr>
        <w:tblW w:w="7294" w:type="dxa"/>
        <w:jc w:val="center"/>
        <w:tblInd w:w="0" w:type="dxa"/>
        <w:tblLayout w:type="fixed"/>
        <w:tblCellMar>
          <w:top w:w="28" w:type="dxa"/>
          <w:left w:w="28" w:type="dxa"/>
          <w:bottom w:w="28" w:type="dxa"/>
          <w:right w:w="28" w:type="dxa"/>
        </w:tblCellMar>
      </w:tblPr>
      <w:tblGrid>
        <w:gridCol w:w="1104"/>
        <w:gridCol w:w="967"/>
        <w:gridCol w:w="974"/>
        <w:gridCol w:w="109"/>
        <w:gridCol w:w="109"/>
        <w:gridCol w:w="109"/>
        <w:gridCol w:w="196"/>
        <w:gridCol w:w="871"/>
        <w:gridCol w:w="109"/>
        <w:gridCol w:w="109"/>
        <w:gridCol w:w="109"/>
        <w:gridCol w:w="109"/>
        <w:gridCol w:w="196"/>
        <w:gridCol w:w="871"/>
        <w:gridCol w:w="109"/>
        <w:gridCol w:w="109"/>
        <w:gridCol w:w="109"/>
        <w:gridCol w:w="109"/>
        <w:gridCol w:w="268"/>
        <w:gridCol w:w="268"/>
        <w:gridCol w:w="380"/>
      </w:tblGrid>
      <w:tr>
        <w:trPr/>
        <w:tc>
          <w:tcPr>
            <w:tcW w:w="110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(21.6)%</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238.5%</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(19.1)%</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234.0%</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from Market Making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16934.5%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(20.7)%</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from Execution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from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(21.7)%</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247.9%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1,127,233 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(13.7)%</w:t>
            </w:r>
          </w:p>
        </w:tc>
      </w:tr>
    </w:tbl>
    <w:p>
      <w:pPr>
        <w:pStyle w:val="TextBody"/>
        <w:bidi w:val="0"/>
        <w:spacing w:before="0" w:after="20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 xml:space="preserve">Trading income, net. </w:t>
      </w:r>
      <w:r>
        <w:rPr>
          <w:rFonts w:ascii="Times New Roman;sans-serif" w:hAnsi="Times New Roman;sans-serif"/>
          <w:b w:val="false"/>
          <w:color w:val="000000"/>
          <w:sz w:val="20"/>
        </w:rPr>
        <w:t>Trading income, net was primarily earned by our Market Making segment. Trading income, net, decreased $199.6 million, or 21.7%, to $718.7 million for the six months ended June 30, 2023, compared to $918.2 million for the six months ended June 30, 2022. The decrease was largely a result of the decreased opportunity in our customer market making trading as a result of lower spread opportunity and decreased quality of the order flow with which we interact.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are described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Interest and dividends income. </w:t>
      </w:r>
      <w:r>
        <w:rPr>
          <w:rFonts w:ascii="Times New Roman;sans-serif" w:hAnsi="Times New Roman;sans-serif"/>
          <w:b w:val="false"/>
          <w:color w:val="000000"/>
          <w:sz w:val="20"/>
        </w:rPr>
        <w:t>Interest and dividends income was primarily earned by our Market Making segment. Interest and dividends income increased $128.4 million, or 247.9%, to $180.2 million for the six months ended June 30, 2023, compared to $51.8 million for the six months ended June 30, 2022. This increase was primarily attributable to higher dividends earned on market making trading assets held over periods when dividends are paid, along with an increase in interest income earned on cash collateral posted as part of securities borrowed transactions, both of which benefited from higher interest rates for the period compared to the prior period. As indicated above, rather than analyzing interest and dividends income in isolation, we evaluate it in the broader context of our Adjusted Net Trading Income.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Commissions, net and technology services.</w:t>
      </w:r>
      <w:r>
        <w:rPr>
          <w:color w:val="000000"/>
        </w:rPr>
        <w:t xml:space="preserve"> </w:t>
      </w:r>
      <w:r>
        <w:rPr>
          <w:rFonts w:ascii="Times New Roman;sans-serif" w:hAnsi="Times New Roman;sans-serif"/>
          <w:b w:val="false"/>
          <w:color w:val="000000"/>
          <w:sz w:val="20"/>
        </w:rPr>
        <w:t>Commissions, net and technology services revenues were primarily earned by our Execution Services segment. Commissions, net and technology services revenues decreased $60.0 million, or 20.6%, to $230.9 million for the six months ended June 30, 2023, compared to $291.0 million for the six months ended June 30, 2022. This decrease was driven by the reduction of institutional investors commissions available, and declining institutional engagement, both of which result in lower commission income.</w:t>
      </w:r>
      <w:r>
        <w:rPr>
          <w:color w:val="000000"/>
        </w:rPr>
        <w:t xml:space="preserve"> </w:t>
      </w:r>
      <w:r>
        <w:rPr>
          <w:rFonts w:ascii="Times New Roman;sans-serif" w:hAnsi="Times New Roman;sans-serif"/>
          <w:b w:val="false"/>
          <w:color w:val="000000"/>
          <w:sz w:val="20"/>
        </w:rPr>
        <w:t>As indicated above, rather than analyzing commission income in isolation, we evaluate it in the broader context of our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Other, net.</w:t>
      </w:r>
      <w:r>
        <w:rPr>
          <w:color w:val="000000"/>
        </w:rPr>
        <w:t xml:space="preserve"> </w:t>
      </w:r>
      <w:r>
        <w:rPr>
          <w:rFonts w:ascii="Times New Roman;sans-serif" w:hAnsi="Times New Roman;sans-serif"/>
          <w:b w:val="false"/>
          <w:color w:val="000000"/>
          <w:sz w:val="20"/>
        </w:rPr>
        <w:t>Other, net decreased $47.6 million, or 105.8%, to $(2.6) million for the six months ended June 30, 2023, compared to $45.0 million for the six months ended June 30, 2022. The decrease was primarily due to gains recognized during the 2022 period from sales of investments in our strategic investments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Trading Income, which is a non-GAAP measure, decreased $210.7 million, or 24.4%, to $651.8 million for the six months ended June 30, 2023, compared to $862.4 million for the six months ended June 30, 2022. This decrease was primarily attributable to lower Trading Income, net as noted above, partially offset by lower Brokerage, exchange, clearance fees and payments for order flow, net as described below, incurred by Market Making. Adjusted Net Trading Income per day decreased $1.7 million, or 24.4%, to $5.3 million for the six months ended June 30, 2023, compared to $7.0 million for the six months ended June 30, 2022. The number of trading days was 124 days for both the six months ended June 30, 2023 and June 30, 2022.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increased $66.5 million, or 7.5%, to $957.0 million for the six months ended June 30, 2023, compared to $890.5 million for the six months ended June 30, 2022. The increase was primarily driven by increased in Interest and dividends expense, offset in part, by lower Brokerage, exchange, clearance fees and payments for order flow, net, and lower Debt issue cost related to debt refinancing, prepayment and commitment fees.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 xml:space="preserve">Brokerage, exchange, clearance fees and payments for order flow, net. </w:t>
      </w:r>
      <w:r>
        <w:rPr>
          <w:rFonts w:ascii="Times New Roman;sans-serif" w:hAnsi="Times New Roman;sans-serif"/>
          <w:b w:val="false"/>
          <w:color w:val="000000"/>
          <w:sz w:val="20"/>
        </w:rPr>
        <w:t>Brokerage, exchange, clearance fees and payments for order flow, net, decreased $39.4 million, or 12.8%, to $268.0 million for the six months ended June 30, 2023, compared to $307.4 million for the six months ended June 30, 2022. These costs vary period to period based upon the level and composition of our trading activities. We evaluate this category, representing direct costs associated with transacting our business, in the broader context of our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Communication and data processing. </w:t>
      </w:r>
      <w:r>
        <w:rPr>
          <w:rFonts w:ascii="Times New Roman;sans-serif" w:hAnsi="Times New Roman;sans-serif"/>
          <w:b w:val="false"/>
          <w:color w:val="000000"/>
          <w:sz w:val="20"/>
        </w:rPr>
        <w:t>Communication and data processing expense increased $2.2 million, or 2.0%, to $113.8 million for the six months ended June 30, 2023, compared to $111.5 million for the six months ended June 30, 2022. This increase was primarily attributable to increased connectivity spending on colocation, and microwave communication networks maintained by our joint ventures.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Employee compensation and payroll taxes. </w:t>
      </w:r>
      <w:r>
        <w:rPr>
          <w:rFonts w:ascii="Times New Roman;sans-serif" w:hAnsi="Times New Roman;sans-serif"/>
          <w:b w:val="false"/>
          <w:color w:val="000000"/>
          <w:sz w:val="20"/>
        </w:rPr>
        <w:t>Employee compensation and payroll taxes decreased $3.1 million, or 1.5%, to $199.0 million for the six months ended June 30, 2023, compared to $202.1 million for the six months ended June 30, 2022. The decrease in compensation levels was primarily attributable to a decrease in accrued incentive compensation, which is recorded at management’s discretion and is generally accrued in connection with the overall level of profitability on a year-to-date basis, as well as the anticipated mix of cash and stock-based awards.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capitalized and therefore excluded employee compensation and benefits related to software development of $19.8 million and $16.7 million for the six months ended June 30, 2023 and 2022, respectively.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 xml:space="preserve">Interest and dividends expense. </w:t>
      </w:r>
      <w:r>
        <w:rPr>
          <w:rFonts w:ascii="Times New Roman;sans-serif" w:hAnsi="Times New Roman;sans-serif"/>
          <w:b w:val="false"/>
          <w:color w:val="000000"/>
          <w:sz w:val="20"/>
        </w:rPr>
        <w:t>Interest and dividends expense increased $118.8 million, or 130.2%, to $210.1 million for the six months ended June 30, 2023, compared to $91.3 million for the six months ended June 30, 2022. This increase was primarily attributable to higher dividend expense with respect to securities sold, not yet purchased and higher interest expense incurred on cash collateral received driven by higher interest rates, as well as an increase in securities lending transactions for the period compared to the same period during the prior year. As indicated above, rather than analyzing interest and dividends expense in isolation, we generally evaluate it in the broader context of our Adjusted Net Trading Income.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 xml:space="preserve">Operations and administrative. </w:t>
      </w:r>
      <w:r>
        <w:rPr>
          <w:rFonts w:ascii="Times New Roman;sans-serif" w:hAnsi="Times New Roman;sans-serif"/>
          <w:b w:val="false"/>
          <w:color w:val="000000"/>
          <w:sz w:val="20"/>
        </w:rPr>
        <w:t>Operations and administrative expense increased $11.0 million, or 28.4%, to $49.8 million for the six months ended June 30, 2023, compared to $38.8 million for the six months ended June 30, 2022. The increase was primarily driven by the beneficial effect of a strong U.S. dollar on foreign exchange translation gains during the prior year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Depreciation and amortization. </w:t>
      </w:r>
      <w:r>
        <w:rPr>
          <w:rFonts w:ascii="Times New Roman;sans-serif" w:hAnsi="Times New Roman;sans-serif"/>
          <w:b w:val="false"/>
          <w:color w:val="000000"/>
          <w:sz w:val="20"/>
        </w:rPr>
        <w:t xml:space="preserve">Depreciation and amortization decreased $2.6 million, or 7.5%, to $31.3 million for the six months ended June 30, 2023, compared to $33.8 million for the six months ended June 30, 2022. This decrease is driven primarily by decreased amortization of capitalized software compared to the prior period.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Amortization of purchased intangibles and acquired capitalized software. </w:t>
      </w:r>
      <w:r>
        <w:rPr>
          <w:rFonts w:ascii="Times New Roman;sans-serif" w:hAnsi="Times New Roman;sans-serif"/>
          <w:b w:val="false"/>
          <w:color w:val="000000"/>
          <w:sz w:val="20"/>
        </w:rPr>
        <w:t>Amortization of purchased intangibles and acquired capitalized software decreased $0.7 million, or 2.2%, to $32.0 million for the six months ended June 30, 2023, compared to $32.8 million for the six months ended June 30, 2022. This decrease was primarily attributable to certain intangible assets being fully amortized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Termination of office leases. </w:t>
      </w:r>
      <w:r>
        <w:rPr>
          <w:rFonts w:ascii="Times New Roman;sans-serif" w:hAnsi="Times New Roman;sans-serif"/>
          <w:b w:val="false"/>
          <w:color w:val="000000"/>
          <w:sz w:val="20"/>
        </w:rPr>
        <w:t>Termination of office leases was $(0.1) million for the six months ended June 30, 2023, compared to $1.4 million for the six months ended June 30, 2022. These expenses are related to the impairment of lease right-of-use assets, leasehold improvements and fixed assets for certain abandoned or vacated office space.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Debt issue cost related to debt refinancing, prepayment and commitment fees.</w:t>
      </w:r>
      <w:r>
        <w:rPr>
          <w:color w:val="000000"/>
        </w:rPr>
        <w:t xml:space="preserve"> </w:t>
      </w:r>
      <w:r>
        <w:rPr>
          <w:rFonts w:ascii="Times New Roman;sans-serif" w:hAnsi="Times New Roman;sans-serif"/>
          <w:b w:val="false"/>
          <w:color w:val="000000"/>
          <w:sz w:val="20"/>
        </w:rPr>
        <w:t>Expense from debt issue cost related to debt refinancing, prepayment and commitment fees decreased $23.2 million, or 85.4%, to $3.9 million for the six months ended June 30, 2023, compared to $27.1 million for the six months ended June 30, 2022. The decrease was primarily driven by the acceleration of deferred debt issuance costs as a result of refinancing our long-term debt transaction in January 2022. See Note 8 "Borrowings" of Part I Item 1 “Financial Statements” of this Quarterly Report on Form 10-Q for additional details.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Transaction advisory fees and expenses.</w:t>
      </w:r>
      <w:r>
        <w:rPr>
          <w:color w:val="000000"/>
        </w:rPr>
        <w:t xml:space="preserve"> </w:t>
      </w:r>
      <w:r>
        <w:rPr>
          <w:rFonts w:ascii="Times New Roman;sans-serif" w:hAnsi="Times New Roman;sans-serif"/>
          <w:b w:val="false"/>
          <w:color w:val="000000"/>
          <w:sz w:val="20"/>
        </w:rPr>
        <w:t>Transaction advisory fees and expenses were immaterial for the six months ended June 30, 2023, compared to $1.0 million for the six months ended June 30, 2022. These expenses were primarily incurred in relation to our strategic investment portfolio.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Financing interest expense on long term borrowings. </w:t>
      </w:r>
      <w:r>
        <w:rPr>
          <w:rFonts w:ascii="Times New Roman;sans-serif" w:hAnsi="Times New Roman;sans-serif"/>
          <w:b w:val="false"/>
          <w:color w:val="000000"/>
          <w:sz w:val="20"/>
        </w:rPr>
        <w:t xml:space="preserve">Financing interest expense on long-term borrowings increased $5.7 million, or 13.2%, to $49.1 million for the six months ended June 30, 2023, compared to $43.4 million for the six months ended June 30, 2022. This increase was attributable to the increase in outstanding principal as a result of refinancing our long-term debt in January 2022, as described in further detail below, and the effect of higher interest rates.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Provision for income taxes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 was $30.6 million and 18.0% for the six months ended June 30, 2023, compared to a provision for income taxes and effective tax rate of $66.7 million and 16.0% for the six months ended June 30,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$698.7 million in Cash and cash equivalents. This balance is maintained primarily to support operating activities, for capital expenditures and for short-term access to liquidity, and for other general corporate purposes. As of June 30, 2023, we had borrowings under our prime brokerage credit facilities of approximately $140.6 million, borrowings under our broker dealer facilities of $115.0 million, and long-term debt outstanding in an aggregate principal amount of approximately $1,806.3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U.S. broker-dealer subsidiary, as discussed in Note 8 "Borrowings" of Part I Item 1 “Financial Statements” of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Short-term Liquidity and Capital Resources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Long-term Liquidity and Capital Resources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will be sufficient to fund capital demands.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Tax Receivable Agreements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IPO and certain reorganization transactions undertaken in connection therewith,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4 "Tax Receivable Agreements" of Part I Item 1 “Financial Statements” of this Quarterly Report on Form 10-Q are expected to range from approximately $36.4 thousand to $22.0 million per year over the next 15 years. Such payments will occur only after we have filed our U.S. federal and state income tax returns and realized the cash tax savings from the favorable tax attributes. We made our first payment of $7.0 million in February 2017, and subsequent payments of $12.4 million in September 2018, $13.3 million in March 2020, $16.5 million in April 2021, $21.3 million in March 2022, and $23.3 million in April 2023. Future payments under the tax receivable agreements in respect of subsequent exchanges would be in addition to these amounts. We currently expect to fund these payments from realized cash tax savings from the favorable tax attributes.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Regulatory Capital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U.S. subsidiary, Virtu Americas LLC ("VAL") is subject to separate regulation and capital requirements in the U.S. and other jurisdictions. VAL is a registered U.S. broker-dealer, and its primary regulators include the SEC and the Financial Industry Regulatory Authority ("FINRA"). In June 2023 our U.S. subsidiary RFQ-Hub Americas LLC ("RAL") became a registered U.S. broker-dealer and as such is subject to regulation and capital requirements from its primary regulators, the SEC and FINRA.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and FINRA for certain capital withdrawals. VAL is also subject to rules set forth by NYSE and is required to maintain a certain level of capital in connection with the operation of its designated market maker business.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Canadian subsidiaries, Virtu Canada Corp (f/k/a Virtu ITG Canada Corp.) and Virtu Financial Canada ULC, are subject to regulatory capital requirements and periodic requirements to report their regulatory capital and submit other regulatory reports set forth by the Canadian Investment Regulatory Organization. Our Irish subsidiaries, Virtu Financial Ireland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Limited ("VFIL") and Virtu Europe Trading Limited ("VETL") (f/k/a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VETL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and Virtu ITG Hong Kong Limited are also subject to local regulatory capital requirements and are regulated by the Australian Securities and Investments Commission, the Securities and Futures Commission of Hong Kong, respectively. Virtu ITG Singapore Pte. Limited and Virtu Financial Singapore Pte. Ltd. have similar regulatory requirements and are regulated by the Monetary Authority of Singapore.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19 "Regulatory Requirement" of Part I Item 1 “Financial Statements” of this Quarterly Report on Form 10-Q for a discussion of regulatory capital requirements of our regulated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Broker Dealer Credit Facilities, Short-Term Bank Loans, and Prime Brokerage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various broker-dealer facilities and short-term credit facilities as part of our daily trading operations. See Note 8 "Borrowings" of Part I Item 1 “Financial Statements” of this Quarterly Report on Form 10-Q for details on our various credit facilities. As of June 30, 2023, there was an outstanding principal balance on our broker-dealer facilities of $115.0 million, and the outstanding aggregate short-term credit facilities with various prime brokers and other financial institutions from which the Company receives execution or clearing services was approximately $140.6 million, which was netted within Receivables from broker-dealers and clearing organizations on the Condensed Consolidated Statements of Financial Condition of Part I Item 1 “Financial Statements” of this Quarterly Report on Form 10-Q.</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though no borrowings were made. The Founder Member is an affiliate of Mr. Vincent Viola, the Company’s founder and Chairman Emeritus. Upon the execution of and in consideration for the Lender’s commitments under the Founder Member Loan Facility, the Company delivered to the Founder Member a warrant to purchase shares of the Company’s Class A Common Stock, as described below.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was entitled to purchase up to 3,000,000 shares of Class A Common Stock on or after May 22, 2020 and up to and including January 15, 2022 at a price of $22.98.</w:t>
      </w:r>
      <w:r>
        <w:rPr>
          <w:color w:val="EE2724"/>
        </w:rPr>
        <w:t xml:space="preserve"> </w:t>
      </w:r>
      <w:r>
        <w:rPr>
          <w:rFonts w:ascii="Times New Roman;sans-serif" w:hAnsi="Times New Roman;sans-serif"/>
          <w:b w:val="false"/>
          <w:color w:val="000000"/>
          <w:sz w:val="20"/>
        </w:rPr>
        <w:t>The Warrant was exercised on December 17, 2021 for 3,000,000 shares of the Company's Class A Common Stock. The Warrant and Class A Common Stock issued pursuant to the Warrant were offered, issued and sold, in reliance on the exemption from the registration requirements of the Securities Act, set forth under Section 4(a)(2) of the Securities Act relating to sales by an issuer not involving any public offering.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On January 13, 2022 (the “Credit Agreement Closing Date”), Virtu Financial, VFH Parent LLC, a Delaware limited liability company and a subsidiary of Virtu Financial (“VFH”),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On the Credit Agreement Closing Date, VFH and Virtu Financial entered into the Credit Agreement. The Credit Agreement provides (i) a senior secured first lien term loan in an aggregate</w:t>
      </w:r>
      <w:r>
        <w:rPr>
          <w:color w:val="000000"/>
        </w:rPr>
        <w:t xml:space="preserve"> </w:t>
      </w:r>
      <w:r>
        <w:rPr>
          <w:rFonts w:ascii="Times New Roman;sans-serif" w:hAnsi="Times New Roman;sans-serif"/>
          <w:b w:val="false"/>
          <w:color w:val="000000"/>
          <w:sz w:val="20"/>
        </w:rPr>
        <w:t>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Secured Overnight Financing Rate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facility under the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the term loans will mature on January 13, 2029. The term loans amortize in annual installments equal to 1.0% of the original aggregate principal amount of the term loans. The revolving commitments will terminate on January 13, 2025. As of June 30, 2023, $1,782.0 million was outstanding under the term loans. We were in compliance with all applicable covenants under the Credit Agreement as of June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2019, the Company entered into a five-year $525 million floating-to-fixed interest rate swap agreement. In January 2020, the Company entered into a five-year $1,000.0 million floating-to-fixed interest rate swap agreement. These two interest rate swaps met the criteria to be considered and were designated as qualifying cash flow hedges under ASC 815 in the first quarter of 2020, and they effectively fixed interest payment obligations on $525.0 million and $1,000.0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main sources of liquidity are cash flow from the operations of our subsidiaries, our broker-dealer credit facilities (as described above), margin financing provided by our prime brokers and cash on hand.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primary sources and uses of cash for the six months ended June 30, 2023, and 2022.</w:t>
      </w:r>
    </w:p>
    <w:p>
      <w:pPr>
        <w:pStyle w:val="TextBody"/>
        <w:bidi w:val="0"/>
        <w:spacing w:before="0" w:after="0"/>
        <w:jc w:val="left"/>
        <w:rPr/>
      </w:pPr>
      <w:r>
        <w:rPr/>
      </w:r>
    </w:p>
    <w:tbl>
      <w:tblPr>
        <w:tblW w:w="7529" w:type="dxa"/>
        <w:jc w:val="center"/>
        <w:tblInd w:w="0" w:type="dxa"/>
        <w:tblLayout w:type="fixed"/>
        <w:tblCellMar>
          <w:top w:w="28" w:type="dxa"/>
          <w:left w:w="28" w:type="dxa"/>
          <w:bottom w:w="28" w:type="dxa"/>
          <w:right w:w="28" w:type="dxa"/>
        </w:tblCellMar>
      </w:tblPr>
      <w:tblGrid>
        <w:gridCol w:w="1584"/>
        <w:gridCol w:w="1395"/>
        <w:gridCol w:w="1401"/>
        <w:gridCol w:w="109"/>
        <w:gridCol w:w="109"/>
        <w:gridCol w:w="109"/>
        <w:gridCol w:w="196"/>
        <w:gridCol w:w="811"/>
        <w:gridCol w:w="109"/>
        <w:gridCol w:w="109"/>
        <w:gridCol w:w="109"/>
        <w:gridCol w:w="109"/>
        <w:gridCol w:w="196"/>
        <w:gridCol w:w="811"/>
        <w:gridCol w:w="109"/>
        <w:gridCol w:w="109"/>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(292,435)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(271,183)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$26.4 million for the six months ended June 30, 2023, compared to net cash provided by operating activities of $57.6 million for the six months ended June 30, 2022. The change in net cash used in operating activities was primarily attributable to lower net income, as well as increases in operating assets, net of operating liabilities, related to our trading activities for the six months ended June 30, 2023 compared to the prior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which includes cash used with respect to capitalized software and cash used in the acquisition of property and equipment, was $55.1 million for the six months ended June 30, 2023, compared with net cash provided by investing activities of $4.0 million for the six months ended June 30, 2022. Net cash provided by investing activities for the six months ended June 30, 2022 included cash proceeds from the sale of strategic 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$215.1 million for the six months ended June 30, 2023, compared to $307.8 million for the six months ended June 30, 2022. The cash used in financing activities for the six months ended June 30, 2023 was primarily attributable to $145.7 million in dividends to stockholders and distributions made to noncontrolling interests and $135.0 million in purchases of treasury stock. The cash used in financing activities of $307.8 million during the same period of 2022 primarily reflects $228.8 million net dividends to stockholders and distributions to noncontrolling interests, and $353.1 million purchase of treasury stock, partially offset by $164.4 million of net proceeds from long term borrowings, and an increase of $94.9 million in short-term borrowings.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6, 2020, the Company's Board of Directors authorized a new share repurchase program of up to $100.0 million in Class A common stock and Virtu Financial Units by December 31, 2021.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11, 2021, the Company's Board of Directors authorized the expansion of the Company's share repurchase program, increasing the total authorized amount by $70.0 million to $170.0 million in Class A Common Stock and Virtu Financial Units up to December 31, 2021.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3, 2021, the Company's Board of Directors authorized the expansion of the Company's current share repurchase program, increasing the total authorized amount by $750 million to $1,220 million and extended the duration through November 3,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June 30, 2023, the Company repurchased approximately 38.5 million shares of Class A Common Stock and Virtu Financial Units for approximately $1,016.7 million. As of June 30, 2023, the Company has approximately of $203.3 million remaining capacity for future purchases of shares of Class A Common Stock and Virtu Financial Units under the program.</w: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Valuation of Financial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Level 1 — Unadjusted quoted prices in active markets that are accessible at the measurement date for identical, unrestricted assets or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Level 2 — Quoted prices in markets that are not active and financial instruments for which all significant inputs are observable, either directly or indirectly; 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Level 3 — Prices or valuations that require inputs that are both significant to the fair value measurement and unobservable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Condensed Consolidated Financial Statements See Note 9 "Financial Assets and Liabilities" of Part I Item 1 “Financial Statements” of this Quarterly Report on Form 10-Q for further information about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Trading Income,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Dividends Income/Interest and Dividends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interest expense are accrued in accordance with contractual rates. Interest income consists of income earned on collateralized financing arrangements and on cash held by brokers and banks. Interest expense includes interest expense from collateralized transactions, margin and related short-term lending facilities. Dividends are recorded on the ex-dividend date, and interest is recognized on an accrual basis.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Commissions, net and Technology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Workflow technology revenues consist of order and trade execution management and order routing services we provide through our front-end workflow solutions and network capabilities.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(i)the commission value for each customer for the products and services it receives, which is priced using the value for similar stand-alone subscription arrangements; and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(ii)a calculated ratio of the commission value for the products and services relative to the total amount of commissions generated from the customer.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At year end there is no future assessment that would affect grants with a performance condition. We record as treasury stock shares repurchased from employees for the purpose of settling tax liabilities incurred upon the issuance of common stock, the vesting of RSUs or the exercise of stock options.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 estimates discussed above are reasonable. However, if actual results are not consistent with our estimates or assumptions, we may be exposed to losses or gains that could be material.</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Tax Receivable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general economic conditions;</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limitations on accessing capital;</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fluctuations in foreign exchange rates or other developments in equity and credit markets;</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 xml:space="preserve">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 </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cost factors such as increases in raw materials, labor, or other costs that have a negative effect on earnings and cash flows;</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overall financial performance such as negative or declining cash flows or a decline in actual or planned revenue or earnings compared with actual and projected results of relevant prior periods;</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 xml:space="preserve">other relevant entity-specific events such as changes in management, key personnel, strategy, or customers, contemplation of bankruptcy, or litigation.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after assessing the totality of such events or circumstances, an entity determines that it is not more likely than not that the fair value of a reporting unit is less than its carrying amount, then no further goodwill impairment testing is necessary.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 Our estimate of goodwill impairment, if indicated based on results of the qualitative assessment, is highly dependent on our estimate of a reporting unit’s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assess goodwill for impairment on an annual basis as of July 1st and on an interim basis when certain events or circumstances exist. In the impairment assessment as of July 1, 2022, we performed a qualitative assessment as described above for each reporting unit. No impairment of goodwill was identified.</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w:t>
      </w:r>
      <w:r>
        <w:rPr>
          <w:color w:val="263238"/>
        </w:rPr>
        <w:t xml:space="preserve"> </w:t>
      </w:r>
      <w:r>
        <w:rPr>
          <w:rFonts w:ascii="Times New Roman;sans-serif" w:hAnsi="Times New Roman;sans-serif"/>
          <w:b w:val="false"/>
          <w:color w:val="000000"/>
          <w:sz w:val="20"/>
        </w:rPr>
        <w:t>We amortize finite-lived intangible assets over their estimated useful lives. Our largest finite-lived intangible asset is customer relationships, which is being amortized over an estimated useful life of ten years. Had we used a shorter estimated useful life of seven years, the Company would have recorded an additional $5.4 million and $10.8 million of amortization expense for the three and six months ended June 30, 2023, and 2022, respectively. We test finite-lived intangible assets for impairment when impairment indicators are present, and if impaired, they are written down to fair value.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 the ordinary course of business. The risks primarily relate to changes in the value of financial instruments due to factors such as market prices, interest rates, and currency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Depository Receipts (“ADRs”), options, bonds, futures, spot currencies and commodities. Substantially all of the financial instruments we trade are liquid and can be liquidated within a short time frame at low cost.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maintain inventories of exchange-listed and other equity securities, and to a lesser extent, fixed income securities and listed equity options. The fair value of these financial instruments at June 30, 2023 and December 31, 2022 was $6.5 billion and $4.6 billion, respectively, in long positions and $5.8 billion and $4.2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 Derivative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Futures Contracts</w:t>
      </w:r>
      <w:r>
        <w:rPr>
          <w:rFonts w:ascii="Times New Roman;sans-serif" w:hAnsi="Times New Roman;sans-serif"/>
          <w:b w:val="false"/>
          <w:color w:val="000000"/>
          <w:sz w:val="20"/>
        </w:rPr>
        <w:t>. As part of our proprietary market making trading strategies, we use futures contracts to gain exposure to changes in values of 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Due from Broker-Dealers and Clearing Organizations</w:t>
      </w:r>
      <w:r>
        <w:rPr>
          <w:rFonts w:ascii="Times New Roman;sans-serif" w:hAnsi="Times New Roman;sans-serif"/>
          <w:b w:val="false"/>
          <w:color w:val="000000"/>
          <w:sz w:val="20"/>
        </w:rPr>
        <w:t>. Management periodically evaluates our counterparty credit exposures to various brokers and clearing organizations with a view to limiting potential losses resulting from counterparty insolvency.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16.8% and 20.7% of our total revenues for the six months ended June 30, 2023 and 2022, respectively, were denominated in non-U.S. dollar currencies. We estimate that a hypothetical 10% adverse change in the value of the U.S. dollar relative to our foreign denominated earnings would have resulted in decreases in total revenues of $18.9 million and $27.1 million for the six months ended June 30, 2023 and 2022, respectively.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Instruments with Off Balance Sheet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June 30, 2023. Based upon that evaluation, our Chief Executive Officer and Chief Financial Officer concluded that, as of June 30, 2023,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to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change in our internal control over financial reporting (as defined in Rule 13a-15(f) under the Exchange Act) occurred during the three months ended June 30, 2023 that has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in the “Legal Proceedings” section in Note 14 "Commitments, Contingencies and Guarantees" to the Company’s Condensed Consolidated Financial Statements included in Part I Item 1 “Financial Statements”, which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described in Part I Item 1A. “Risk Factors” in our 2022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share repurchases for the three months ended June 30, 2023 were as follows: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736"/>
        <w:gridCol w:w="414"/>
        <w:gridCol w:w="419"/>
        <w:gridCol w:w="109"/>
        <w:gridCol w:w="109"/>
        <w:gridCol w:w="109"/>
        <w:gridCol w:w="660"/>
        <w:gridCol w:w="418"/>
        <w:gridCol w:w="419"/>
        <w:gridCol w:w="109"/>
        <w:gridCol w:w="109"/>
        <w:gridCol w:w="109"/>
        <w:gridCol w:w="258"/>
        <w:gridCol w:w="734"/>
        <w:gridCol w:w="143"/>
        <w:gridCol w:w="109"/>
        <w:gridCol w:w="109"/>
        <w:gridCol w:w="109"/>
        <w:gridCol w:w="867"/>
        <w:gridCol w:w="657"/>
        <w:gridCol w:w="659"/>
        <w:gridCol w:w="109"/>
        <w:gridCol w:w="109"/>
        <w:gridCol w:w="109"/>
        <w:gridCol w:w="350"/>
        <w:gridCol w:w="1880"/>
        <w:gridCol w:w="283"/>
      </w:tblGrid>
      <w:tr>
        <w:trPr/>
        <w:tc>
          <w:tcPr>
            <w:tcW w:w="73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w:t>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April 1, 2023 -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 Virtu Financial Units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836,246 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836,246 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228,873,408 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May 1, 2023 - May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 Virtu Financial Units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955,944 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955,944 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211,825,972 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1, 2023 -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 Virtu Financial Units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482,768 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473,621 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203,222,414 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Common Stock / Virtu Financial Unit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2,274,958 </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2,265,811 </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the repurchase of 9,147 shares from employees in order to satisfy statutory tax withholding requirements upon the net settlement of equity awards for the three months ended June 30, 2023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2020, the Company's Board of Directors authorized a new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Additionally, on November 3, 2021 the Company's Board of Directors authorized the expansion of the program by an additional $750 million to $1,220 million and extending the duration of the program through November 3, 2023.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June 30, 2023, the Company repurchased approximately 38.5 million shares of Class A Common Stock and Virtu Financial Units for approximately $1,016.7 million. As of June 30, 2023, the Company has approximately $203.3 million remaining capacity for future purchases of shares of Class A Common Stock and Virtu Financial Units under the program.</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583"/>
        <w:gridCol w:w="2479"/>
        <w:gridCol w:w="3540"/>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0"/>
              <w:jc w:val="left"/>
              <w:rPr/>
            </w:pPr>
            <w:hyperlink w:anchor="exhibit31q223.htm">
              <w:r>
                <w:rPr>
                  <w:rStyle w:val="InternetLink"/>
                  <w:rFonts w:ascii="Times New Roman;sans-serif" w:hAnsi="Times New Roman;sans-serif"/>
                  <w:b w:val="false"/>
                  <w:color w:val="0000FF"/>
                  <w:sz w:val="20"/>
                  <w:u w:val="single"/>
                </w:rPr>
                <w:t>Second Amended and Restated Certificate of Incorporation of the Registrant.</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Second Amended and Restated Certificate of Incorporation of the Registrant (Redline Version) (incorporated herein by reference to Appendix A to the Company’s Definitive Proxy Statement on Schedule 14A (File No. 001-37352), filed on April 27, 2023).</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 of the Registrant (incorporated herein by reference to Exhibit 3.2 to the Company’s Quarterly Report on Form 10-Q, as amended (File No. 001-37352), filed on May 29, 2015).</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11q223.htm">
              <w:r>
                <w:rPr>
                  <w:rStyle w:val="InternetLink"/>
                  <w:rFonts w:ascii="Times New Roman;sans-serif" w:hAnsi="Times New Roman;sans-serif"/>
                  <w:b w:val="false"/>
                  <w:color w:val="0000FF"/>
                  <w:sz w:val="20"/>
                  <w:u w:val="single"/>
                </w:rPr>
                <w:t xml:space="preserve">Certification of Chief Executive Officer required by Rule 13a-14(a)/15d-14(a) under the Securities Exchange Act of 1934, as amended, as adopted pursuant to Section 302 of the Sarbanes-Oxley Act of 2002. </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12q223.htm">
              <w:r>
                <w:rPr>
                  <w:rStyle w:val="InternetLink"/>
                  <w:rFonts w:ascii="Times New Roman;sans-serif" w:hAnsi="Times New Roman;sans-serif"/>
                  <w:b w:val="false"/>
                  <w:color w:val="0000FF"/>
                  <w:sz w:val="20"/>
                  <w:u w:val="single"/>
                </w:rPr>
                <w:t xml:space="preserve">Certification of Chief Financial Officer required by Rule 13a-14(a)/15d-14(a) under the Securities Exchange Act of 1934, as amended, as adopted pursuant to Section 302 of the Sarbanes-Oxley Act of 2002. </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21q223.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22q223.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Document</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Management contract or compensatory plan or arrangement.</w:t>
      </w:r>
    </w:p>
    <w:p>
      <w:pPr>
        <w:pStyle w:val="TextBody"/>
        <w:bidi w:val="0"/>
        <w:spacing w:before="0" w:after="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799" w:type="dxa"/>
        <w:jc w:val="center"/>
        <w:tblInd w:w="0" w:type="dxa"/>
        <w:tblLayout w:type="fixed"/>
        <w:tblCellMar>
          <w:top w:w="28" w:type="dxa"/>
          <w:left w:w="28" w:type="dxa"/>
          <w:bottom w:w="28" w:type="dxa"/>
          <w:right w:w="28" w:type="dxa"/>
        </w:tblCellMar>
      </w:tblPr>
      <w:tblGrid>
        <w:gridCol w:w="249"/>
        <w:gridCol w:w="220"/>
        <w:gridCol w:w="221"/>
        <w:gridCol w:w="404"/>
        <w:gridCol w:w="404"/>
        <w:gridCol w:w="407"/>
        <w:gridCol w:w="275"/>
        <w:gridCol w:w="275"/>
        <w:gridCol w:w="275"/>
        <w:gridCol w:w="603"/>
        <w:gridCol w:w="603"/>
        <w:gridCol w:w="863"/>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 Financial, Inc.</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28, 2023</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A. Cifu</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A. Cifu</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28, 2023</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P. Galvin</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P. Galvin</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180"/>
        <w:jc w:val="center"/>
        <w:rPr/>
      </w:pPr>
      <w:r>
        <w:rPr/>
      </w:r>
    </w:p>
    <w:p>
      <w:pPr>
        <w:pStyle w:val="TextBody"/>
        <w:bidi w:val="0"/>
        <w:spacing w:lineRule="auto" w:line="240" w:before="0" w:after="180"/>
        <w:jc w:val="center"/>
        <w:rPr>
          <w:rFonts w:ascii="Arial;sans-serif" w:hAnsi="Arial;sans-serif"/>
          <w:b w:val="false"/>
          <w:color w:val="000000"/>
          <w:sz w:val="20"/>
        </w:rPr>
      </w:pPr>
      <w:r>
        <w:rPr>
          <w:rFonts w:ascii="Arial;sans-serif" w:hAnsi="Arial;sans-serif"/>
          <w:b w:val="false"/>
          <w:color w:val="000000"/>
          <w:sz w:val="20"/>
        </w:rPr>
        <w:t>SECOND AMENDED AND RESTATED</w:t>
      </w:r>
    </w:p>
    <w:p>
      <w:pPr>
        <w:pStyle w:val="TextBody"/>
        <w:bidi w:val="0"/>
        <w:spacing w:lineRule="auto" w:line="240" w:before="0" w:after="180"/>
        <w:jc w:val="center"/>
        <w:rPr>
          <w:rFonts w:ascii="Arial;sans-serif" w:hAnsi="Arial;sans-serif"/>
          <w:b w:val="false"/>
          <w:color w:val="000000"/>
          <w:sz w:val="20"/>
        </w:rPr>
      </w:pPr>
      <w:r>
        <w:rPr>
          <w:rFonts w:ascii="Arial;sans-serif" w:hAnsi="Arial;sans-serif"/>
          <w:b w:val="false"/>
          <w:color w:val="000000"/>
          <w:sz w:val="20"/>
        </w:rPr>
        <w:t>CERTIFICATE OF INCORPORATION</w:t>
      </w:r>
    </w:p>
    <w:p>
      <w:pPr>
        <w:pStyle w:val="TextBody"/>
        <w:bidi w:val="0"/>
        <w:spacing w:lineRule="auto" w:line="240" w:before="0" w:after="180"/>
        <w:jc w:val="center"/>
        <w:rPr>
          <w:rFonts w:ascii="Arial;sans-serif" w:hAnsi="Arial;sans-serif"/>
          <w:b w:val="false"/>
          <w:color w:val="000000"/>
          <w:sz w:val="20"/>
        </w:rPr>
      </w:pPr>
      <w:r>
        <w:rPr>
          <w:rFonts w:ascii="Arial;sans-serif" w:hAnsi="Arial;sans-serif"/>
          <w:b w:val="false"/>
          <w:color w:val="000000"/>
          <w:sz w:val="20"/>
        </w:rPr>
        <w:t>of</w:t>
      </w:r>
    </w:p>
    <w:p>
      <w:pPr>
        <w:pStyle w:val="TextBody"/>
        <w:bidi w:val="0"/>
        <w:spacing w:lineRule="auto" w:line="240" w:before="0" w:after="180"/>
        <w:jc w:val="center"/>
        <w:rPr>
          <w:rFonts w:ascii="Arial;sans-serif" w:hAnsi="Arial;sans-serif"/>
          <w:b w:val="false"/>
          <w:color w:val="000000"/>
          <w:sz w:val="20"/>
        </w:rPr>
      </w:pPr>
      <w:r>
        <w:rPr>
          <w:rFonts w:ascii="Arial;sans-serif" w:hAnsi="Arial;sans-serif"/>
          <w:b w:val="false"/>
          <w:color w:val="000000"/>
          <w:sz w:val="20"/>
        </w:rPr>
        <w:t>VIRTU FINANCIAL, INC.</w:t>
      </w:r>
    </w:p>
    <w:p>
      <w:pPr>
        <w:pStyle w:val="TextBody"/>
        <w:bidi w:val="0"/>
        <w:spacing w:lineRule="auto" w:line="240" w:before="0" w:after="180"/>
        <w:jc w:val="center"/>
        <w:rPr>
          <w:rFonts w:ascii="Arial;sans-serif" w:hAnsi="Arial;sans-serif"/>
          <w:b w:val="false"/>
          <w:color w:val="000000"/>
          <w:sz w:val="20"/>
        </w:rPr>
      </w:pPr>
      <w:r>
        <w:rPr>
          <w:rFonts w:ascii="Arial;sans-serif" w:hAnsi="Arial;sans-serif"/>
          <w:b w:val="false"/>
          <w:color w:val="000000"/>
          <w:sz w:val="20"/>
        </w:rPr>
        <w:t>(Pursuant to Section 242 and 245 of</w:t>
        <w:br/>
        <w:t>the General Corporation Law of the State of Delaware)</w:t>
      </w:r>
    </w:p>
    <w:p>
      <w:pPr>
        <w:pStyle w:val="TextBody"/>
        <w:bidi w:val="0"/>
        <w:spacing w:lineRule="auto" w:line="240" w:before="0" w:after="180"/>
        <w:ind w:left="0" w:right="0" w:firstLine="1220"/>
        <w:jc w:val="left"/>
        <w:rPr/>
      </w:pPr>
      <w:r>
        <w:rPr>
          <w:rFonts w:ascii="Arial;sans-serif" w:hAnsi="Arial;sans-serif"/>
          <w:b w:val="false"/>
          <w:color w:val="000000"/>
          <w:sz w:val="20"/>
        </w:rPr>
        <w:t>Virtu Financial, Inc., a corporation organized and existing under the laws of the State of Delaware (the “</w:t>
      </w:r>
      <w:r>
        <w:rPr>
          <w:rFonts w:ascii="Arial;sans-serif" w:hAnsi="Arial;sans-serif"/>
          <w:b w:val="false"/>
          <w:color w:val="000000"/>
          <w:sz w:val="20"/>
          <w:u w:val="single"/>
        </w:rPr>
        <w:t>Corporation</w:t>
      </w:r>
      <w:r>
        <w:rPr>
          <w:color w:val="000000"/>
        </w:rPr>
        <w:t>”</w:t>
      </w:r>
      <w:r>
        <w:rPr>
          <w:rFonts w:ascii="Arial;sans-serif" w:hAnsi="Arial;sans-serif"/>
          <w:b w:val="false"/>
          <w:color w:val="000000"/>
          <w:sz w:val="20"/>
        </w:rPr>
        <w:t>), hereby certifies as follows:</w:t>
      </w:r>
    </w:p>
    <w:p>
      <w:pPr>
        <w:pStyle w:val="TextBody"/>
        <w:bidi w:val="0"/>
        <w:spacing w:lineRule="auto" w:line="240" w:before="0" w:after="180"/>
        <w:ind w:left="0" w:right="0" w:firstLine="1120"/>
        <w:jc w:val="left"/>
        <w:rPr/>
      </w:pPr>
      <w:r>
        <w:rPr>
          <w:rFonts w:ascii="Arial;sans-serif" w:hAnsi="Arial;sans-serif"/>
          <w:b w:val="false"/>
          <w:color w:val="000000"/>
          <w:sz w:val="20"/>
        </w:rPr>
        <w:t>FIRST: The name of the Corporation is Virtu Financial, Inc. The date of filing of its original certificate of incorporation (the “</w:t>
      </w:r>
      <w:r>
        <w:rPr>
          <w:rFonts w:ascii="Arial;sans-serif" w:hAnsi="Arial;sans-serif"/>
          <w:b w:val="false"/>
          <w:color w:val="000000"/>
          <w:sz w:val="20"/>
          <w:u w:val="single"/>
        </w:rPr>
        <w:t>Original Certificate of Incorporation</w:t>
      </w:r>
      <w:r>
        <w:rPr>
          <w:color w:val="000000"/>
        </w:rPr>
        <w:t>”</w:t>
      </w:r>
      <w:r>
        <w:rPr>
          <w:rFonts w:ascii="Arial;sans-serif" w:hAnsi="Arial;sans-serif"/>
          <w:b w:val="false"/>
          <w:color w:val="000000"/>
          <w:sz w:val="20"/>
        </w:rPr>
        <w:t>) with the Secretary of State of the State of Delaware was October 17, 2013.</w:t>
      </w:r>
    </w:p>
    <w:p>
      <w:pPr>
        <w:pStyle w:val="TextBody"/>
        <w:bidi w:val="0"/>
        <w:spacing w:lineRule="auto" w:line="240" w:before="0" w:after="180"/>
        <w:ind w:left="0" w:right="0" w:firstLine="1120"/>
        <w:jc w:val="left"/>
        <w:rPr>
          <w:rFonts w:ascii="Arial;sans-serif" w:hAnsi="Arial;sans-serif"/>
          <w:b w:val="false"/>
          <w:color w:val="000000"/>
          <w:sz w:val="20"/>
        </w:rPr>
      </w:pPr>
      <w:r>
        <w:rPr>
          <w:rFonts w:ascii="Arial;sans-serif" w:hAnsi="Arial;sans-serif"/>
          <w:b w:val="false"/>
          <w:color w:val="000000"/>
          <w:sz w:val="20"/>
        </w:rPr>
        <w:t>SECOND: The Original Certificate of Incorporation was last amended and restated by the Amended and Restated Certificate of Incorporation filed with the Secretary of State of the State of Delaware on April 15, 2015.</w:t>
      </w:r>
    </w:p>
    <w:p>
      <w:pPr>
        <w:pStyle w:val="TextBody"/>
        <w:bidi w:val="0"/>
        <w:spacing w:lineRule="auto" w:line="240" w:before="0" w:after="180"/>
        <w:ind w:left="0" w:right="0" w:firstLine="1120"/>
        <w:jc w:val="left"/>
        <w:rPr/>
      </w:pPr>
      <w:r>
        <w:rPr>
          <w:rFonts w:ascii="Arial;sans-serif" w:hAnsi="Arial;sans-serif"/>
          <w:b w:val="false"/>
          <w:color w:val="000000"/>
          <w:sz w:val="20"/>
        </w:rPr>
        <w:t>THIRD: This Amended and Restated Certificate of Incorporation (this “</w:t>
      </w:r>
      <w:r>
        <w:rPr>
          <w:rFonts w:ascii="Arial;sans-serif" w:hAnsi="Arial;sans-serif"/>
          <w:b w:val="false"/>
          <w:color w:val="000000"/>
          <w:sz w:val="20"/>
          <w:u w:val="single"/>
        </w:rPr>
        <w:t>Amended Certificate of Incorporation</w:t>
      </w:r>
      <w:r>
        <w:rPr>
          <w:color w:val="000000"/>
        </w:rPr>
        <w:t>”</w:t>
      </w:r>
      <w:r>
        <w:rPr>
          <w:rFonts w:ascii="Arial;sans-serif" w:hAnsi="Arial;sans-serif"/>
          <w:b w:val="false"/>
          <w:color w:val="000000"/>
          <w:sz w:val="20"/>
        </w:rPr>
        <w:t>) amends and restates in its entirety the Corporation’s certificate of incorporation as currently in effect and has been duly adopted in accordance with the provisions of Sections 242 and 245 of the General Corporation Law of the State of Delaware (as from time to time in effect, the “</w:t>
      </w:r>
      <w:r>
        <w:rPr>
          <w:rFonts w:ascii="Arial;sans-serif" w:hAnsi="Arial;sans-serif"/>
          <w:b w:val="false"/>
          <w:color w:val="000000"/>
          <w:sz w:val="20"/>
          <w:u w:val="single"/>
        </w:rPr>
        <w:t>General Corporation Law</w:t>
      </w:r>
      <w:r>
        <w:rPr>
          <w:color w:val="000000"/>
        </w:rPr>
        <w:t>”</w:t>
      </w:r>
      <w:r>
        <w:rPr>
          <w:rFonts w:ascii="Arial;sans-serif" w:hAnsi="Arial;sans-serif"/>
          <w:b w:val="false"/>
          <w:color w:val="000000"/>
          <w:sz w:val="20"/>
        </w:rPr>
        <w:t>), by written consent of the holders of all of the outstanding stock entitled to vote thereon in accordance with the provisions of Section 228 of the General Corporation Law.</w:t>
      </w:r>
    </w:p>
    <w:p>
      <w:pPr>
        <w:pStyle w:val="TextBody"/>
        <w:bidi w:val="0"/>
        <w:spacing w:lineRule="auto" w:line="240" w:before="0" w:after="180"/>
        <w:ind w:left="0" w:right="0" w:firstLine="1120"/>
        <w:jc w:val="left"/>
        <w:rPr>
          <w:rFonts w:ascii="Arial;sans-serif" w:hAnsi="Arial;sans-serif"/>
          <w:b w:val="false"/>
          <w:color w:val="000000"/>
          <w:sz w:val="20"/>
        </w:rPr>
      </w:pPr>
      <w:r>
        <w:rPr>
          <w:rFonts w:ascii="Arial;sans-serif" w:hAnsi="Arial;sans-serif"/>
          <w:b w:val="false"/>
          <w:color w:val="000000"/>
          <w:sz w:val="20"/>
        </w:rPr>
        <w:t>FOURTH: This Amended Certificate of Incorporation amends and restates in its entirety the original certificate of incorporation of the Corporation to read as follows:</w:t>
      </w:r>
    </w:p>
    <w:p>
      <w:pPr>
        <w:pStyle w:val="TextBody"/>
        <w:bidi w:val="0"/>
        <w:spacing w:lineRule="auto" w:line="240" w:before="0" w:after="180"/>
        <w:ind w:left="0" w:right="0" w:firstLine="1080"/>
        <w:jc w:val="left"/>
        <w:rPr/>
      </w:pPr>
      <w:r>
        <w:rPr>
          <w:rFonts w:ascii="Arial;sans-serif" w:hAnsi="Arial;sans-serif"/>
          <w:b w:val="false"/>
          <w:color w:val="000000"/>
          <w:sz w:val="20"/>
        </w:rPr>
        <w:t>1.</w:t>
      </w:r>
      <w:r>
        <w:rPr>
          <w:rFonts w:ascii="Arial;sans-serif" w:hAnsi="Arial;sans-serif"/>
          <w:b w:val="false"/>
          <w:color w:val="000000"/>
          <w:sz w:val="20"/>
          <w:u w:val="single"/>
        </w:rPr>
        <w:t>Name</w:t>
      </w:r>
      <w:r>
        <w:rPr>
          <w:rFonts w:ascii="Arial;sans-serif" w:hAnsi="Arial;sans-serif"/>
          <w:b w:val="false"/>
          <w:color w:val="000000"/>
          <w:sz w:val="20"/>
        </w:rPr>
        <w:t>. The name of the Corporation is Virtu Financial, Inc.</w:t>
      </w:r>
    </w:p>
    <w:p>
      <w:pPr>
        <w:pStyle w:val="TextBody"/>
        <w:bidi w:val="0"/>
        <w:spacing w:lineRule="auto" w:line="240" w:before="0" w:after="180"/>
        <w:ind w:left="0" w:right="0" w:firstLine="1080"/>
        <w:jc w:val="left"/>
        <w:rPr/>
      </w:pPr>
      <w:r>
        <w:rPr>
          <w:rFonts w:ascii="Arial;sans-serif" w:hAnsi="Arial;sans-serif"/>
          <w:b w:val="false"/>
          <w:color w:val="000000"/>
          <w:sz w:val="20"/>
        </w:rPr>
        <w:t>2.</w:t>
      </w:r>
      <w:r>
        <w:rPr>
          <w:rFonts w:ascii="Arial;sans-serif" w:hAnsi="Arial;sans-serif"/>
          <w:b w:val="false"/>
          <w:color w:val="000000"/>
          <w:sz w:val="20"/>
          <w:u w:val="single"/>
        </w:rPr>
        <w:t>Address; Registered Office and Agent</w:t>
      </w:r>
      <w:r>
        <w:rPr>
          <w:rFonts w:ascii="Arial;sans-serif" w:hAnsi="Arial;sans-serif"/>
          <w:b w:val="false"/>
          <w:color w:val="000000"/>
          <w:sz w:val="20"/>
        </w:rPr>
        <w:t>. The address of the Corporation’s registered office in the State of Delaware is Corporation Trust Center, 1209 Orange Street, City of Wilmington, County of New Castle, State of Delaware 19801, and the name of its registered agent at such address is The Corporation Trust Company.</w:t>
      </w:r>
    </w:p>
    <w:p>
      <w:pPr>
        <w:pStyle w:val="TextBody"/>
        <w:bidi w:val="0"/>
        <w:spacing w:lineRule="auto" w:line="240" w:before="0" w:after="180"/>
        <w:ind w:left="0" w:right="0" w:firstLine="1080"/>
        <w:jc w:val="left"/>
        <w:rPr/>
      </w:pPr>
      <w:r>
        <w:rPr>
          <w:rFonts w:ascii="Arial;sans-serif" w:hAnsi="Arial;sans-serif"/>
          <w:b w:val="false"/>
          <w:color w:val="000000"/>
          <w:sz w:val="20"/>
        </w:rPr>
        <w:t>3.</w:t>
      </w:r>
      <w:r>
        <w:rPr>
          <w:rFonts w:ascii="Arial;sans-serif" w:hAnsi="Arial;sans-serif"/>
          <w:b w:val="false"/>
          <w:color w:val="000000"/>
          <w:sz w:val="20"/>
          <w:u w:val="single"/>
        </w:rPr>
        <w:t>Purposes</w:t>
      </w:r>
      <w:r>
        <w:rPr>
          <w:rFonts w:ascii="Arial;sans-serif" w:hAnsi="Arial;sans-serif"/>
          <w:b w:val="false"/>
          <w:color w:val="000000"/>
          <w:sz w:val="20"/>
        </w:rPr>
        <w:t>. The purpose of the Corporation is to engage in any lawful act or activity for which corporations may be organized under the General Corporation Law.</w:t>
      </w:r>
    </w:p>
    <w:p>
      <w:pPr>
        <w:pStyle w:val="TextBody"/>
        <w:bidi w:val="0"/>
        <w:spacing w:lineRule="auto" w:line="240" w:before="0" w:after="180"/>
        <w:ind w:left="0" w:right="0" w:firstLine="1080"/>
        <w:jc w:val="left"/>
        <w:rPr/>
      </w:pPr>
      <w:r>
        <w:rPr>
          <w:rFonts w:ascii="Arial;sans-serif" w:hAnsi="Arial;sans-serif"/>
          <w:b w:val="false"/>
          <w:color w:val="000000"/>
          <w:sz w:val="20"/>
        </w:rPr>
        <w:t>4.</w:t>
      </w:r>
      <w:r>
        <w:rPr>
          <w:rFonts w:ascii="Arial;sans-serif" w:hAnsi="Arial;sans-serif"/>
          <w:b w:val="false"/>
          <w:color w:val="000000"/>
          <w:sz w:val="20"/>
          <w:u w:val="single"/>
        </w:rPr>
        <w:t>Number of Shares</w:t>
      </w:r>
      <w:r>
        <w:rPr>
          <w:rFonts w:ascii="Arial;sans-serif" w:hAnsi="Arial;sans-serif"/>
          <w:b w:val="false"/>
          <w:color w:val="000000"/>
          <w:sz w:val="20"/>
        </w:rPr>
        <w:t>.</w:t>
      </w:r>
    </w:p>
    <w:p>
      <w:pPr>
        <w:pStyle w:val="TextBody"/>
        <w:bidi w:val="0"/>
        <w:spacing w:lineRule="auto" w:line="240" w:before="0" w:after="0"/>
        <w:ind w:left="0" w:right="0" w:firstLine="1800"/>
        <w:jc w:val="left"/>
        <w:rPr/>
      </w:pPr>
      <w:r>
        <w:rPr>
          <w:rFonts w:ascii="Arial;sans-serif" w:hAnsi="Arial;sans-serif"/>
          <w:b w:val="false"/>
          <w:color w:val="000000"/>
          <w:sz w:val="20"/>
        </w:rPr>
        <w:t>4.1</w:t>
      </w:r>
      <w:r>
        <w:rPr>
          <w:rFonts w:ascii="Arial;sans-serif" w:hAnsi="Arial;sans-serif"/>
          <w:b w:val="false"/>
          <w:color w:val="000000"/>
          <w:sz w:val="20"/>
        </w:rPr>
        <w:t>The total number of shares of all classes of stock that the Corporation shall have authority to issue is 1,490,000,000 shares, consisting of:</w:t>
      </w:r>
    </w:p>
    <w:p>
      <w:pPr>
        <w:pStyle w:val="TextBody"/>
        <w:bidi w:val="0"/>
        <w:spacing w:lineRule="auto" w:line="240" w:before="180" w:after="180"/>
        <w:jc w:val="left"/>
        <w:rPr/>
      </w:pPr>
      <w:r>
        <w:rPr>
          <w:rFonts w:ascii="Arial;sans-serif" w:hAnsi="Arial;sans-serif"/>
          <w:b w:val="false"/>
          <w:color w:val="000000"/>
          <w:sz w:val="20"/>
        </w:rPr>
        <w:t>(i) 1,440,000,000 shares of common stock, divided into (a) 1,000,000,000 shares of Class A common stock, with the par value of $0.00001 per share (the “</w:t>
      </w:r>
      <w:r>
        <w:rPr>
          <w:rFonts w:ascii="Arial;sans-serif" w:hAnsi="Arial;sans-serif"/>
          <w:b w:val="false"/>
          <w:color w:val="000000"/>
          <w:sz w:val="20"/>
          <w:u w:val="single"/>
        </w:rPr>
        <w:t>Class A Common Stock</w:t>
      </w:r>
      <w:r>
        <w:rPr>
          <w:color w:val="000000"/>
        </w:rPr>
        <w:t>”</w:t>
      </w:r>
      <w:r>
        <w:rPr>
          <w:rFonts w:ascii="Arial;sans-serif" w:hAnsi="Arial;sans-serif"/>
          <w:b w:val="false"/>
          <w:color w:val="000000"/>
          <w:sz w:val="20"/>
        </w:rPr>
        <w:t>), (b) 175,000,000 shares of Class B common stock, with the par value of $0.00001 per share (the “</w:t>
      </w:r>
      <w:r>
        <w:rPr>
          <w:rFonts w:ascii="Arial;sans-serif" w:hAnsi="Arial;sans-serif"/>
          <w:b w:val="false"/>
          <w:color w:val="000000"/>
          <w:sz w:val="20"/>
          <w:u w:val="single"/>
        </w:rPr>
        <w:t>Class B Common Stock</w:t>
      </w:r>
      <w:r>
        <w:rPr>
          <w:color w:val="000000"/>
        </w:rPr>
        <w:t xml:space="preserve">” </w:t>
      </w:r>
      <w:r>
        <w:rPr>
          <w:rFonts w:ascii="Arial;sans-serif" w:hAnsi="Arial;sans-serif"/>
          <w:b w:val="false"/>
          <w:color w:val="000000"/>
          <w:sz w:val="20"/>
        </w:rPr>
        <w:t>and, together with Class A Common Stock, the “</w:t>
      </w:r>
      <w:r>
        <w:rPr>
          <w:rFonts w:ascii="Arial;sans-serif" w:hAnsi="Arial;sans-serif"/>
          <w:b w:val="false"/>
          <w:color w:val="000000"/>
          <w:sz w:val="20"/>
          <w:u w:val="single"/>
        </w:rPr>
        <w:t>Economic Common Stock</w:t>
      </w:r>
      <w:r>
        <w:rPr>
          <w:color w:val="000000"/>
        </w:rPr>
        <w:t>”</w:t>
      </w:r>
      <w:r>
        <w:rPr>
          <w:rFonts w:ascii="Arial;sans-serif" w:hAnsi="Arial;sans-serif"/>
          <w:b w:val="false"/>
          <w:color w:val="000000"/>
          <w:sz w:val="20"/>
        </w:rPr>
        <w:t>), (c) 90,000,000 shares of Class C common stock, with the par value of $0.00001 per share (the “</w:t>
      </w:r>
      <w:r>
        <w:rPr>
          <w:rFonts w:ascii="Arial;sans-serif" w:hAnsi="Arial;sans-serif"/>
          <w:b w:val="false"/>
          <w:color w:val="000000"/>
          <w:sz w:val="20"/>
          <w:u w:val="single"/>
        </w:rPr>
        <w:t>Class C Common Stock</w:t>
      </w:r>
      <w:r>
        <w:rPr>
          <w:color w:val="000000"/>
        </w:rPr>
        <w:t>”</w:t>
      </w:r>
      <w:r>
        <w:rPr>
          <w:rFonts w:ascii="Arial;sans-serif" w:hAnsi="Arial;sans-serif"/>
          <w:b w:val="false"/>
          <w:color w:val="000000"/>
          <w:sz w:val="20"/>
        </w:rPr>
        <w:t>), and (d) 175,000,000 shares of Class D common stock, with the par value of $0.00001 per share (the “</w:t>
      </w:r>
      <w:r>
        <w:rPr>
          <w:rFonts w:ascii="Arial;sans-serif" w:hAnsi="Arial;sans-serif"/>
          <w:b w:val="false"/>
          <w:color w:val="000000"/>
          <w:sz w:val="20"/>
          <w:u w:val="single"/>
        </w:rPr>
        <w:t>Class D Common Stock</w:t>
      </w:r>
      <w:r>
        <w:rPr>
          <w:color w:val="000000"/>
        </w:rPr>
        <w:t xml:space="preserve">” </w:t>
      </w:r>
      <w:r>
        <w:rPr>
          <w:rFonts w:ascii="Arial;sans-serif" w:hAnsi="Arial;sans-serif"/>
          <w:b w:val="false"/>
          <w:color w:val="000000"/>
          <w:sz w:val="20"/>
        </w:rPr>
        <w:t>and, together with the Class C Common Stock, the “</w:t>
      </w:r>
      <w:r>
        <w:rPr>
          <w:rFonts w:ascii="Arial;sans-serif" w:hAnsi="Arial;sans-serif"/>
          <w:b w:val="false"/>
          <w:color w:val="000000"/>
          <w:sz w:val="20"/>
          <w:u w:val="single"/>
        </w:rPr>
        <w:t>Non-Economic Common Stock</w:t>
      </w:r>
      <w:r>
        <w:rPr>
          <w:color w:val="000000"/>
        </w:rPr>
        <w:t xml:space="preserve">” </w:t>
      </w:r>
      <w:r>
        <w:rPr>
          <w:rFonts w:ascii="Arial;sans-serif" w:hAnsi="Arial;sans-serif"/>
          <w:b w:val="false"/>
          <w:color w:val="000000"/>
          <w:sz w:val="20"/>
        </w:rPr>
        <w:t>and collectively with the Class A Common Stock, the Class B Common Stock and the Class C Common Stock, the “</w:t>
      </w:r>
      <w:r>
        <w:rPr>
          <w:rFonts w:ascii="Arial;sans-serif" w:hAnsi="Arial;sans-serif"/>
          <w:b w:val="false"/>
          <w:color w:val="000000"/>
          <w:sz w:val="20"/>
          <w:u w:val="single"/>
        </w:rPr>
        <w:t>Common Stock</w:t>
      </w:r>
      <w:r>
        <w:rPr>
          <w:color w:val="000000"/>
        </w:rPr>
        <w:t>”</w:t>
      </w:r>
      <w:r>
        <w:rPr>
          <w:rFonts w:ascii="Arial;sans-serif" w:hAnsi="Arial;sans-serif"/>
          <w:b w:val="false"/>
          <w:color w:val="000000"/>
          <w:sz w:val="20"/>
        </w:rPr>
        <w:t>); and (ii) 50,000,000 shares of preferred stock, with the par value of $0.00001 per share (the “</w:t>
      </w:r>
      <w:r>
        <w:rPr>
          <w:rFonts w:ascii="Arial;sans-serif" w:hAnsi="Arial;sans-serif"/>
          <w:b w:val="false"/>
          <w:color w:val="000000"/>
          <w:sz w:val="20"/>
          <w:u w:val="single"/>
        </w:rPr>
        <w:t>Preferred Stock</w:t>
      </w:r>
      <w:r>
        <w:rPr>
          <w:color w:val="000000"/>
        </w:rPr>
        <w:t>”</w:t>
      </w:r>
      <w:r>
        <w:rPr>
          <w:rFonts w:ascii="Arial;sans-serif" w:hAnsi="Arial;sans-serif"/>
          <w:b w:val="false"/>
          <w:color w:val="000000"/>
          <w:sz w:val="20"/>
        </w:rPr>
        <w:t>).</w:t>
      </w:r>
    </w:p>
    <w:p>
      <w:pPr>
        <w:pStyle w:val="TextBody"/>
        <w:bidi w:val="0"/>
        <w:spacing w:lineRule="auto" w:line="240" w:before="0" w:after="0"/>
        <w:ind w:left="0" w:right="0" w:firstLine="1800"/>
        <w:jc w:val="left"/>
        <w:rPr/>
      </w:pPr>
      <w:r>
        <w:rPr>
          <w:rFonts w:ascii="Arial;sans-serif" w:hAnsi="Arial;sans-serif"/>
          <w:b w:val="false"/>
          <w:color w:val="000000"/>
          <w:sz w:val="20"/>
        </w:rPr>
        <w:t>4.2</w:t>
      </w:r>
      <w:r>
        <w:rPr>
          <w:rFonts w:ascii="Arial;sans-serif" w:hAnsi="Arial;sans-serif"/>
          <w:b w:val="false"/>
          <w:color w:val="000000"/>
          <w:sz w:val="20"/>
        </w:rPr>
        <w:t>Subject to the rights of the holders of any one or more series of Preferred Stock then outstanding, the number of authorized shares of any class of the Common Stock or the Preferred Stock may be increased or decreased, in each case by the affirmative vote of the holders of a majority of the total voting power of the outstanding shares of capital stock of the Corporation entitled to vote thereon, voting together as a single class, irrespective of the provisions of Section 242(b)(2) of the General Corporation Law, and no vote of the holders of any class of the Common Stock or the Preferred Stock voting separately as a class will be required therefor. Notwithstanding the immediately preceding sentence, the number of authorized shares of any particular class may not be decreased below the number of shares of such class then outstanding, plus:</w:t>
      </w:r>
    </w:p>
    <w:p>
      <w:pPr>
        <w:pStyle w:val="TextBody"/>
        <w:bidi w:val="0"/>
        <w:spacing w:lineRule="auto" w:line="240" w:before="180" w:after="180"/>
        <w:ind w:left="0" w:right="0" w:firstLine="2434"/>
        <w:jc w:val="left"/>
        <w:rPr/>
      </w:pPr>
      <w:r>
        <w:rPr>
          <w:rFonts w:ascii="Arial;sans-serif" w:hAnsi="Arial;sans-serif"/>
          <w:b w:val="false"/>
          <w:color w:val="000000"/>
          <w:sz w:val="20"/>
        </w:rPr>
        <w:t>(i)</w:t>
      </w:r>
      <w:r>
        <w:rPr>
          <w:rFonts w:ascii="Arial;sans-serif" w:hAnsi="Arial;sans-serif"/>
          <w:b w:val="false"/>
          <w:color w:val="000000"/>
          <w:sz w:val="20"/>
        </w:rPr>
        <w:t xml:space="preserve">in the case of Class A Common Stock, the number of shares of Class A Common Stock issuable in connection with (x) the conversion of all shares of Class B Common Stock issuable as described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80" w:after="180"/>
        <w:jc w:val="left"/>
        <w:rPr>
          <w:rFonts w:ascii="Arial;sans-serif" w:hAnsi="Arial;sans-serif"/>
          <w:b w:val="false"/>
          <w:color w:val="000000"/>
          <w:sz w:val="20"/>
        </w:rPr>
      </w:pPr>
      <w:r>
        <w:rPr>
          <w:rFonts w:ascii="Arial;sans-serif" w:hAnsi="Arial;sans-serif"/>
          <w:b w:val="false"/>
          <w:color w:val="000000"/>
          <w:sz w:val="20"/>
        </w:rPr>
        <w:t>in clause (ii) below, (y) the exchange of all outstanding shares of Class C Common Stock and all shares of Class C Common Stock issuable as described in clause (iii) below, together with the corresponding Common Units constituting the remainder of any Class C Paired Interests in which such shares are included, pursuant to Section 2.01 of the Exchange Agreement and (z) the exercise of outstanding options, warrants, exchange rights, conversion rights or similar rights for Class A Common Stock;</w:t>
      </w:r>
    </w:p>
    <w:p>
      <w:pPr>
        <w:pStyle w:val="TextBody"/>
        <w:bidi w:val="0"/>
        <w:spacing w:lineRule="auto" w:line="240" w:before="0" w:after="180"/>
        <w:ind w:left="0" w:right="0" w:firstLine="2440"/>
        <w:jc w:val="left"/>
        <w:rPr/>
      </w:pPr>
      <w:r>
        <w:rPr>
          <w:rFonts w:ascii="Arial;sans-serif" w:hAnsi="Arial;sans-serif"/>
          <w:b w:val="false"/>
          <w:color w:val="000000"/>
          <w:sz w:val="20"/>
        </w:rPr>
        <w:t>(ii)</w:t>
      </w:r>
      <w:r>
        <w:rPr>
          <w:rFonts w:ascii="Arial;sans-serif" w:hAnsi="Arial;sans-serif"/>
          <w:b w:val="false"/>
          <w:color w:val="000000"/>
          <w:sz w:val="20"/>
        </w:rPr>
        <w:t>in the case of Class B Common Stock, the number of shares of Class B Common Stock issuable in connection with (x) the exchange of all outstanding shares of Class D Common Stock and all shares of Class D Common Stock issuable as described in clause (iv) below, together with the corresponding Common Units constituting the remainder of any Class D Paired Interests in which such shares are included, pursuant to Section 2.01 of the Exchange Agreement and (y) the exercise of outstanding options, warrants, exchange rights, conversion rights or similar rights for Class B Common Stock;</w:t>
      </w:r>
    </w:p>
    <w:p>
      <w:pPr>
        <w:pStyle w:val="TextBody"/>
        <w:bidi w:val="0"/>
        <w:spacing w:lineRule="auto" w:line="240" w:before="0" w:after="180"/>
        <w:ind w:left="0" w:right="0" w:firstLine="2440"/>
        <w:jc w:val="left"/>
        <w:rPr/>
      </w:pPr>
      <w:r>
        <w:rPr>
          <w:rFonts w:ascii="Arial;sans-serif" w:hAnsi="Arial;sans-serif"/>
          <w:b w:val="false"/>
          <w:color w:val="000000"/>
          <w:sz w:val="20"/>
        </w:rPr>
        <w:t>(iii)</w:t>
      </w:r>
      <w:r>
        <w:rPr>
          <w:rFonts w:ascii="Arial;sans-serif" w:hAnsi="Arial;sans-serif"/>
          <w:b w:val="false"/>
          <w:color w:val="000000"/>
          <w:sz w:val="20"/>
        </w:rPr>
        <w:t>in the case of Class C Common Stock, the number of shares of Class C Common Stock issuable in connection with (x)the conversion of all outstanding shares of Class D Common Stock, (y) the conversion of all shares of Class D Common Stock issuable as described in clause (iv) below and (z) the exercise of outstanding options, warrants, exchange rights, conversion rights or similar rights for Class C Common Stock; and</w:t>
      </w:r>
    </w:p>
    <w:p>
      <w:pPr>
        <w:pStyle w:val="TextBody"/>
        <w:bidi w:val="0"/>
        <w:spacing w:lineRule="auto" w:line="240" w:before="0" w:after="180"/>
        <w:ind w:left="0" w:right="0" w:firstLine="2440"/>
        <w:jc w:val="left"/>
        <w:rPr/>
      </w:pPr>
      <w:r>
        <w:rPr>
          <w:rFonts w:ascii="Arial;sans-serif" w:hAnsi="Arial;sans-serif"/>
          <w:b w:val="false"/>
          <w:color w:val="000000"/>
          <w:sz w:val="20"/>
        </w:rPr>
        <w:t>(iv)</w:t>
      </w:r>
      <w:r>
        <w:rPr>
          <w:rFonts w:ascii="Arial;sans-serif" w:hAnsi="Arial;sans-serif"/>
          <w:b w:val="false"/>
          <w:color w:val="000000"/>
          <w:sz w:val="20"/>
        </w:rPr>
        <w:t>in the case of Class D Common Stock, the number of shares of Class D Common Stock issuable in connection with the exercise of outstanding options, warrants, exchange rights, conversion rights or similar rights for Class D Common Stock.</w:t>
      </w:r>
    </w:p>
    <w:p>
      <w:pPr>
        <w:pStyle w:val="TextBody"/>
        <w:bidi w:val="0"/>
        <w:spacing w:lineRule="auto" w:line="240" w:before="0" w:after="180"/>
        <w:ind w:left="0" w:right="0" w:firstLine="1080"/>
        <w:jc w:val="left"/>
        <w:rPr/>
      </w:pPr>
      <w:r>
        <w:rPr>
          <w:rFonts w:ascii="Arial;sans-serif" w:hAnsi="Arial;sans-serif"/>
          <w:b w:val="false"/>
          <w:color w:val="000000"/>
          <w:sz w:val="20"/>
        </w:rPr>
        <w:t>5.</w:t>
      </w:r>
      <w:r>
        <w:rPr>
          <w:rFonts w:ascii="Arial;sans-serif" w:hAnsi="Arial;sans-serif"/>
          <w:b w:val="false"/>
          <w:color w:val="000000"/>
          <w:sz w:val="20"/>
          <w:u w:val="single"/>
        </w:rPr>
        <w:t>Classes of Shares</w:t>
      </w:r>
      <w:r>
        <w:rPr>
          <w:rFonts w:ascii="Arial;sans-serif" w:hAnsi="Arial;sans-serif"/>
          <w:b w:val="false"/>
          <w:color w:val="000000"/>
          <w:sz w:val="20"/>
        </w:rPr>
        <w:t>. The designation, relative rights, preferences and limitations of the shares of each class of stock are as follows:</w:t>
      </w:r>
    </w:p>
    <w:p>
      <w:pPr>
        <w:pStyle w:val="TextBody"/>
        <w:bidi w:val="0"/>
        <w:spacing w:lineRule="auto" w:line="240" w:before="0" w:after="0"/>
        <w:ind w:left="0" w:right="0" w:firstLine="1800"/>
        <w:jc w:val="left"/>
        <w:rPr/>
      </w:pPr>
      <w:r>
        <w:rPr>
          <w:rFonts w:ascii="Arial;sans-serif" w:hAnsi="Arial;sans-serif"/>
          <w:b w:val="false"/>
          <w:color w:val="000000"/>
          <w:sz w:val="20"/>
        </w:rPr>
        <w:t>5.1</w:t>
      </w:r>
      <w:r>
        <w:rPr>
          <w:rFonts w:ascii="Arial;sans-serif" w:hAnsi="Arial;sans-serif"/>
          <w:b w:val="false"/>
          <w:color w:val="000000"/>
          <w:sz w:val="20"/>
          <w:u w:val="single"/>
        </w:rPr>
        <w:t>Common Stock</w:t>
      </w:r>
      <w:r>
        <w:rPr>
          <w:rFonts w:ascii="Arial;sans-serif" w:hAnsi="Arial;sans-serif"/>
          <w:b w:val="false"/>
          <w:color w:val="000000"/>
          <w:sz w:val="20"/>
        </w:rPr>
        <w:t>.</w:t>
      </w:r>
    </w:p>
    <w:p>
      <w:pPr>
        <w:pStyle w:val="TextBody"/>
        <w:bidi w:val="0"/>
        <w:spacing w:lineRule="auto" w:line="240" w:before="180" w:after="180"/>
        <w:jc w:val="left"/>
        <w:rPr/>
      </w:pPr>
      <w:r>
        <w:rPr>
          <w:rFonts w:ascii="Arial;sans-serif" w:hAnsi="Arial;sans-serif"/>
          <w:b w:val="false"/>
          <w:color w:val="000000"/>
          <w:sz w:val="20"/>
        </w:rPr>
        <w:t>(i)</w:t>
      </w:r>
      <w:r>
        <w:rPr>
          <w:rFonts w:ascii="Arial;sans-serif" w:hAnsi="Arial;sans-serif"/>
          <w:b w:val="false"/>
          <w:color w:val="000000"/>
          <w:sz w:val="20"/>
          <w:u w:val="single"/>
        </w:rPr>
        <w:t>Voting Rights</w:t>
      </w:r>
      <w:r>
        <w:rPr>
          <w:rFonts w:ascii="Arial;sans-serif" w:hAnsi="Arial;sans-serif"/>
          <w:b w:val="false"/>
          <w:color w:val="000000"/>
          <w:sz w:val="20"/>
        </w:rPr>
        <w:t>.</w:t>
      </w:r>
    </w:p>
    <w:p>
      <w:pPr>
        <w:pStyle w:val="TextBody"/>
        <w:bidi w:val="0"/>
        <w:spacing w:lineRule="auto" w:line="240" w:before="0" w:after="180"/>
        <w:ind w:left="0" w:right="0" w:firstLine="3040"/>
        <w:jc w:val="left"/>
        <w:rPr/>
      </w:pPr>
      <w:r>
        <w:rPr>
          <w:rFonts w:ascii="Arial;sans-serif" w:hAnsi="Arial;sans-serif"/>
          <w:b w:val="false"/>
          <w:color w:val="000000"/>
          <w:sz w:val="20"/>
        </w:rPr>
        <w:t>(1)</w:t>
      </w:r>
      <w:r>
        <w:rPr>
          <w:rFonts w:ascii="Arial;sans-serif" w:hAnsi="Arial;sans-serif"/>
          <w:b w:val="false"/>
          <w:color w:val="000000"/>
          <w:sz w:val="20"/>
        </w:rPr>
        <w:t>Each holder of Class A Common Stock or Class C Common Stock, as such, will be entitled to one vote for each share of Class A Common Stock or Class C Common Stock held of record by such holder on all matters on which stockholders generally are entitled to vote, and each holder of Class B Common Stock or Class D Common Stock, as such, will be entitled to ten votes for each share of Class B Common Stock or Class D Common Stock held of record by such holder on all matters on which stockholders generally are entitled to vote, except that, in each case, to the fullest extent permitted by law and subject to Section 5.1(i)(2), holders of shares of each class of Common Stock, as such, will have no voting power with respect to, and will not be entitled to vote on, any amendment to this Amended Certificate of Incorporation (including any certificate of designations relating to any series of Preferred Stock) that relates solely to the terms of any outstanding Preferred Stock if the holders of such Preferred Stock are entitled to vote as a separate class thereon under this Amended Certificate of Incorporation (including any certificate of designations relating to any series of Preferred Stock) or under the General Corporation Law.</w:t>
      </w:r>
    </w:p>
    <w:p>
      <w:pPr>
        <w:pStyle w:val="TextBody"/>
        <w:bidi w:val="0"/>
        <w:spacing w:lineRule="auto" w:line="240" w:before="0" w:after="180"/>
        <w:ind w:left="0" w:right="0" w:firstLine="3040"/>
        <w:jc w:val="left"/>
        <w:rPr/>
      </w:pPr>
      <w:r>
        <w:rPr>
          <w:rFonts w:ascii="Arial;sans-serif" w:hAnsi="Arial;sans-serif"/>
          <w:b w:val="false"/>
          <w:color w:val="000000"/>
          <w:sz w:val="20"/>
        </w:rPr>
        <w:t>(2)</w:t>
      </w:r>
      <w:r>
        <w:rPr>
          <w:rFonts w:ascii="Arial;sans-serif" w:hAnsi="Arial;sans-serif"/>
          <w:b w:val="false"/>
          <w:color w:val="000000"/>
          <w:sz w:val="20"/>
        </w:rPr>
        <w:t>(a) The holders of the outstanding shares of Class A Common Stock and Class C Common Stock, voting together as a single class, shall be entitled to vote separately upon any amendment to this Amended Certificate of Incorporation (including by merger, consolidation, reorganization or similar event) that would alter or change the powers, preferences, or special rights of such classes of Common Stock in a manner that is disproportionately adverse as compared to the Class B Common Stock or Class D Common Stock and (b) the holders of the outstanding shares of Class B Common Stock and Class D Common Stock, voting together as a single class, shall be entitled to vote separately upon any amendment to this Amended Certificate of Incorporation (including by merger, consolidation, reorganization or similar event) that would alter or change the powers, preferences, or special rights of such classes of Common Stock in a manner that is disproportionately adverse as compared to the Class A Common Stock or Class C Common Stock, it being understood that any merger, consolidation or other business combination shall not be deemed an amendment hereof if such merger, consolidation or other business combination (x) constitutes a Disposition Event in which holders of Paired Interests are required to exchange such Paired Interests pursuant to Section 2.03 of the Exchange Agreement in such Disposition Event and receive consideration in such Disposition Event in accordance with the terms of the Exchange Agreement as in effect prior to such Disposition Event or (y) would be permitted by Section 5.1(iv).</w:t>
      </w:r>
    </w:p>
    <w:p>
      <w:pPr>
        <w:pStyle w:val="TextBody"/>
        <w:bidi w:val="0"/>
        <w:spacing w:lineRule="auto" w:line="240" w:before="0" w:after="180"/>
        <w:ind w:left="0" w:right="0" w:firstLine="3040"/>
        <w:jc w:val="left"/>
        <w:rPr/>
      </w:pPr>
      <w:r>
        <w:rPr>
          <w:rFonts w:ascii="Arial;sans-serif" w:hAnsi="Arial;sans-serif"/>
          <w:b w:val="false"/>
          <w:color w:val="000000"/>
          <w:sz w:val="20"/>
        </w:rPr>
        <w:t>(3)</w:t>
      </w:r>
      <w:r>
        <w:rPr>
          <w:rFonts w:ascii="Arial;sans-serif" w:hAnsi="Arial;sans-serif"/>
          <w:b w:val="false"/>
          <w:color w:val="000000"/>
          <w:sz w:val="20"/>
        </w:rPr>
        <w:t>Except as otherwise required in this Amended Certificate of Incorporation or by applicable law, the holders of Common Stock will vote together as a single class on all matters (or, if any holders of Preferred Stock are entitled to vote together with the holders of Common Stock, as a single class with the holders of Preferred Stock).</w:t>
      </w:r>
    </w:p>
    <w:p>
      <w:pPr>
        <w:pStyle w:val="TextBody"/>
        <w:bidi w:val="0"/>
        <w:spacing w:lineRule="auto" w:line="240" w:before="180" w:after="180"/>
        <w:jc w:val="left"/>
        <w:rPr/>
      </w:pPr>
      <w:r>
        <w:rPr>
          <w:rFonts w:ascii="Arial;sans-serif" w:hAnsi="Arial;sans-serif"/>
          <w:b w:val="false"/>
          <w:color w:val="000000"/>
          <w:sz w:val="20"/>
        </w:rPr>
        <w:t>(ii)</w:t>
      </w:r>
      <w:r>
        <w:rPr>
          <w:rFonts w:ascii="Arial;sans-serif" w:hAnsi="Arial;sans-serif"/>
          <w:b w:val="false"/>
          <w:color w:val="000000"/>
          <w:sz w:val="20"/>
          <w:u w:val="single"/>
        </w:rPr>
        <w:t>Dividends; Stock Splits or Combinations</w:t>
      </w:r>
      <w:r>
        <w:rPr>
          <w:rFonts w:ascii="Arial;sans-serif" w:hAnsi="Arial;sans-serif"/>
          <w:b w:val="false"/>
          <w:color w:val="000000"/>
          <w:sz w:val="20"/>
        </w:rPr>
        <w:t>.</w:t>
      </w:r>
    </w:p>
    <w:p>
      <w:pPr>
        <w:pStyle w:val="TextBody"/>
        <w:bidi w:val="0"/>
        <w:spacing w:lineRule="auto" w:line="240" w:before="0" w:after="180"/>
        <w:ind w:left="0" w:right="0" w:firstLine="3040"/>
        <w:jc w:val="left"/>
        <w:rPr/>
      </w:pPr>
      <w:r>
        <w:rPr>
          <w:rFonts w:ascii="Arial;sans-serif" w:hAnsi="Arial;sans-serif"/>
          <w:b w:val="false"/>
          <w:color w:val="000000"/>
          <w:sz w:val="20"/>
        </w:rPr>
        <w:t>(1)</w:t>
      </w:r>
      <w:r>
        <w:rPr>
          <w:rFonts w:ascii="Arial;sans-serif" w:hAnsi="Arial;sans-serif"/>
          <w:b w:val="false"/>
          <w:color w:val="000000"/>
          <w:sz w:val="20"/>
        </w:rPr>
        <w:t xml:space="preserve">Subject to applicable law and the rights, if any, of the holders of any outstanding series of Preferred Stock or any class or series of stock having a preference senior to or the right to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jc w:val="left"/>
        <w:rPr/>
      </w:pPr>
      <w:r>
        <w:rPr>
          <w:rFonts w:ascii="Arial;sans-serif" w:hAnsi="Arial;sans-serif"/>
          <w:b w:val="false"/>
          <w:color w:val="000000"/>
          <w:sz w:val="20"/>
        </w:rPr>
        <w:t xml:space="preserve">participate with the Economic Common Stock with respect to the payment of dividends, dividends of cash or property may be declared and paid on the Economic Common Stock out of the assets of the Corporation that are by law available therefor, at the times and in the amounts as the board of directors of the Corporation (the </w:t>
      </w:r>
      <w:r>
        <w:rPr>
          <w:color w:val="000000"/>
          <w:u w:val="single"/>
        </w:rPr>
        <w:t>“</w:t>
      </w:r>
      <w:r>
        <w:rPr>
          <w:rFonts w:ascii="Arial;sans-serif" w:hAnsi="Arial;sans-serif"/>
          <w:b w:val="false"/>
          <w:color w:val="000000"/>
          <w:sz w:val="20"/>
          <w:u w:val="single"/>
        </w:rPr>
        <w:t>Board</w:t>
      </w:r>
      <w:r>
        <w:rPr>
          <w:color w:val="000000"/>
        </w:rPr>
        <w:t>”</w:t>
      </w:r>
      <w:r>
        <w:rPr>
          <w:rFonts w:ascii="Arial;sans-serif" w:hAnsi="Arial;sans-serif"/>
          <w:b w:val="false"/>
          <w:color w:val="000000"/>
          <w:sz w:val="20"/>
        </w:rPr>
        <w:t>) in its discretion may determine.</w:t>
      </w:r>
    </w:p>
    <w:p>
      <w:pPr>
        <w:pStyle w:val="TextBody"/>
        <w:bidi w:val="0"/>
        <w:spacing w:lineRule="auto" w:line="240" w:before="0" w:after="180"/>
        <w:ind w:left="0" w:right="0" w:firstLine="3040"/>
        <w:jc w:val="left"/>
        <w:rPr/>
      </w:pPr>
      <w:r>
        <w:rPr>
          <w:rFonts w:ascii="Arial;sans-serif" w:hAnsi="Arial;sans-serif"/>
          <w:b w:val="false"/>
          <w:color w:val="000000"/>
          <w:sz w:val="20"/>
        </w:rPr>
        <w:t>(2)</w:t>
      </w:r>
      <w:r>
        <w:rPr>
          <w:rFonts w:ascii="Arial;sans-serif" w:hAnsi="Arial;sans-serif"/>
          <w:b w:val="false"/>
          <w:color w:val="000000"/>
          <w:sz w:val="20"/>
        </w:rPr>
        <w:t>Dividends of cash or property may not be declared or paid on the Class A Common Stock unless a dividend of the same amount and same type of cash or property (or combination thereof) is concurrently declared or paid on the Class B Common Stock. Dividends of cash or property may not be declared or paid on the Class B Common Stock unless a dividend of the same amount and same type of cash or property (or combination thereof) is concurrently declared or paid on the Class A Common Stock.</w:t>
      </w:r>
    </w:p>
    <w:p>
      <w:pPr>
        <w:pStyle w:val="TextBody"/>
        <w:bidi w:val="0"/>
        <w:spacing w:lineRule="auto" w:line="240" w:before="0" w:after="180"/>
        <w:ind w:left="0" w:right="0" w:firstLine="3040"/>
        <w:jc w:val="left"/>
        <w:rPr/>
      </w:pPr>
      <w:r>
        <w:rPr>
          <w:rFonts w:ascii="Arial;sans-serif" w:hAnsi="Arial;sans-serif"/>
          <w:b w:val="false"/>
          <w:color w:val="000000"/>
          <w:sz w:val="20"/>
        </w:rPr>
        <w:t>(3)</w:t>
      </w:r>
      <w:r>
        <w:rPr>
          <w:rFonts w:ascii="Arial;sans-serif" w:hAnsi="Arial;sans-serif"/>
          <w:b w:val="false"/>
          <w:color w:val="000000"/>
          <w:sz w:val="20"/>
        </w:rPr>
        <w:t>Except as provided in Section 5.1 (ii)(4) with respect to stock dividends, dividends of cash or property may not be declared or paid on the Non-Economic Common Stock.</w:t>
      </w:r>
    </w:p>
    <w:p>
      <w:pPr>
        <w:pStyle w:val="TextBody"/>
        <w:bidi w:val="0"/>
        <w:spacing w:lineRule="auto" w:line="240" w:before="0" w:after="180"/>
        <w:ind w:left="0" w:right="0" w:firstLine="3040"/>
        <w:jc w:val="left"/>
        <w:rPr/>
      </w:pPr>
      <w:r>
        <w:rPr>
          <w:rFonts w:ascii="Arial;sans-serif" w:hAnsi="Arial;sans-serif"/>
          <w:b w:val="false"/>
          <w:color w:val="000000"/>
          <w:sz w:val="20"/>
        </w:rPr>
        <w:t>(4)</w:t>
      </w:r>
      <w:r>
        <w:rPr>
          <w:rFonts w:ascii="Arial;sans-serif" w:hAnsi="Arial;sans-serif"/>
          <w:b w:val="false"/>
          <w:color w:val="000000"/>
          <w:sz w:val="20"/>
        </w:rPr>
        <w:t>In no event will any stock dividend, stock split, reverse stock split, combination of stock, reclassification or recapitalization be declared or made on any class of Common Stock (each, a “</w:t>
      </w:r>
      <w:r>
        <w:rPr>
          <w:rFonts w:ascii="Arial;sans-serif" w:hAnsi="Arial;sans-serif"/>
          <w:b w:val="false"/>
          <w:color w:val="000000"/>
          <w:sz w:val="20"/>
          <w:u w:val="single"/>
        </w:rPr>
        <w:t>Stock Adjustment</w:t>
      </w:r>
      <w:r>
        <w:rPr>
          <w:color w:val="000000"/>
        </w:rPr>
        <w:t>”</w:t>
      </w:r>
      <w:r>
        <w:rPr>
          <w:rFonts w:ascii="Arial;sans-serif" w:hAnsi="Arial;sans-serif"/>
          <w:b w:val="false"/>
          <w:color w:val="000000"/>
          <w:sz w:val="20"/>
        </w:rPr>
        <w:t>) unless (a) a corresponding Stock Adjustment for all other classes of Common Stock not so adjusted at the time outstanding is made in the same proportion and the same manner and (b) the Stock Adjustment has been reflected in the same economically equivalent manner on all Common Units. Stock dividends with respect to each class of Common Stock may only be paid with shares of stock of the same class of Common Stock.</w:t>
      </w:r>
    </w:p>
    <w:p>
      <w:pPr>
        <w:pStyle w:val="TextBody"/>
        <w:bidi w:val="0"/>
        <w:spacing w:lineRule="auto" w:line="240" w:before="0" w:after="180"/>
        <w:ind w:left="0" w:right="0" w:firstLine="3040"/>
        <w:jc w:val="left"/>
        <w:rPr/>
      </w:pPr>
      <w:r>
        <w:rPr>
          <w:rFonts w:ascii="Arial;sans-serif" w:hAnsi="Arial;sans-serif"/>
          <w:b w:val="false"/>
          <w:color w:val="000000"/>
          <w:sz w:val="20"/>
        </w:rPr>
        <w:t>(5)</w:t>
      </w:r>
      <w:r>
        <w:rPr>
          <w:rFonts w:ascii="Arial;sans-serif" w:hAnsi="Arial;sans-serif"/>
          <w:b w:val="false"/>
          <w:color w:val="000000"/>
          <w:sz w:val="20"/>
        </w:rPr>
        <w:t>Notwithstanding anything to the contrary, if a dividend in the form of capital stock of a subsidiary of the Corporation is declared or paid on the Class A Common Stock and the Class B Common Stock, the relative per share voting rights of the capital stock of such subsidiary so distributed in respect of the Class A Common Stock and the Class B Common Stock shall be in the same proportion as the relative voting rights of a share of Class A Common Stock and a share of Class B Common Stock.</w:t>
      </w:r>
    </w:p>
    <w:p>
      <w:pPr>
        <w:pStyle w:val="TextBody"/>
        <w:bidi w:val="0"/>
        <w:spacing w:lineRule="auto" w:line="240" w:before="180" w:after="180"/>
        <w:ind w:left="0" w:right="0" w:firstLine="2520"/>
        <w:jc w:val="left"/>
        <w:rPr/>
      </w:pPr>
      <w:r>
        <w:rPr>
          <w:rFonts w:ascii="Arial;sans-serif" w:hAnsi="Arial;sans-serif"/>
          <w:b w:val="false"/>
          <w:color w:val="000000"/>
          <w:sz w:val="20"/>
        </w:rPr>
        <w:t>(iii)</w:t>
      </w:r>
      <w:r>
        <w:rPr>
          <w:rFonts w:ascii="Arial;sans-serif" w:hAnsi="Arial;sans-serif"/>
          <w:b w:val="false"/>
          <w:color w:val="000000"/>
          <w:sz w:val="20"/>
          <w:u w:val="single"/>
        </w:rPr>
        <w:t>Liquidation</w:t>
      </w:r>
      <w:r>
        <w:rPr>
          <w:rFonts w:ascii="Arial;sans-serif" w:hAnsi="Arial;sans-serif"/>
          <w:b w:val="false"/>
          <w:color w:val="000000"/>
          <w:sz w:val="20"/>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Common Stock will be entitled to receive, </w:t>
      </w:r>
      <w:r>
        <w:rPr>
          <w:rFonts w:ascii="Arial;sans-serif" w:hAnsi="Arial;sans-serif"/>
          <w:b w:val="false"/>
          <w:i/>
          <w:color w:val="000000"/>
          <w:sz w:val="20"/>
        </w:rPr>
        <w:t>pari passu,</w:t>
      </w:r>
      <w:r>
        <w:rPr>
          <w:color w:val="000000"/>
        </w:rPr>
        <w:t xml:space="preserve"> </w:t>
      </w:r>
      <w:r>
        <w:rPr>
          <w:rFonts w:ascii="Arial;sans-serif" w:hAnsi="Arial;sans-serif"/>
          <w:b w:val="false"/>
          <w:color w:val="000000"/>
          <w:sz w:val="20"/>
        </w:rPr>
        <w:t>an amount per share equal to the par value thereof, and thereafter the holders of all outstanding shares of Economic Common Stock will be entitled to receive the remaining assets of the Corporation available for distribution ratably in proportion to the number of shares of Economic Common Stock. Without limiting the rights of the holders of Non-Economic Common Stock to exchange their shares of Non-Economic Common Stock, together with the corresponding Common Units constituting the remainder of any Paired Interests in which such shares are included, for shares of Economic Common Stock in accordance with Section 2.01 of the Exchange Agreement (or for the consideration payable in respect of shares of Economic Common Stock in such voluntary or involuntary liquidation, dissolution or winding up), the holders of shares of Non-Economic Common Stock, as such, will not be entitled to receive, with respect to such shares, any assets of the Corporation in excess of the par value thereof, in the event of any voluntary or involuntary liquidation, dissolution or winding up of the affairs of the Corporation.</w:t>
      </w:r>
    </w:p>
    <w:p>
      <w:pPr>
        <w:pStyle w:val="TextBody"/>
        <w:bidi w:val="0"/>
        <w:spacing w:lineRule="auto" w:line="240" w:before="180" w:after="180"/>
        <w:ind w:left="0" w:right="0" w:firstLine="2520"/>
        <w:jc w:val="left"/>
        <w:rPr/>
      </w:pPr>
      <w:r>
        <w:rPr>
          <w:rFonts w:ascii="Arial;sans-serif" w:hAnsi="Arial;sans-serif"/>
          <w:b w:val="false"/>
          <w:color w:val="000000"/>
          <w:sz w:val="20"/>
        </w:rPr>
        <w:t>(iv)</w:t>
      </w:r>
      <w:r>
        <w:rPr>
          <w:rFonts w:ascii="Arial;sans-serif" w:hAnsi="Arial;sans-serif"/>
          <w:b w:val="false"/>
          <w:color w:val="000000"/>
          <w:sz w:val="20"/>
          <w:u w:val="single"/>
        </w:rPr>
        <w:t>Merger, Consolidation, Tender or Exchange Offer</w:t>
      </w:r>
      <w:r>
        <w:rPr>
          <w:rFonts w:ascii="Arial;sans-serif" w:hAnsi="Arial;sans-serif"/>
          <w:b w:val="false"/>
          <w:color w:val="000000"/>
          <w:sz w:val="20"/>
        </w:rPr>
        <w:t xml:space="preserve">. Except as expressly provided in this Article 5, the Economic Common Stock shall have the same rights and privileges and rank equally, share ratably and be identical in all respects as to all matters, and the Non-Economic Common Stock shall have the same rights and privileges and rank equally, share ratably and be identical as to all matters. Without limiting the generality of the foregoing, (1) in the event of a merger, consolidation or other business combination requiring the approval of the holders of the Corporation’s capital stock entitled to vote thereon (whether or not the Corporation is the surviving entity), the holders of the Class A Common Stock shall have the right to receive, or the right to elect to receive, the same form of consideration, if any, as the holders of the Class B Common Stock and the holders of the Class A Common Stock shall have the right to receive, or the right to elect to receive, at least the same amount of consideration, if any, on a per share basis as the holders of the Class B Common Stock, and the holders of the Class C Common Stock shall have the right to receive, or the right to elect to receive, the same form of consideration (if any) as the holders of the Class D Common Stock and the holders of the Class C Common Stock shall have the right to receive, or the right to elect to receive, at least the same amount of consideration (if any) on a per share basis as the holders of the Class D Common Stock and (2) in the event of (a) any tender or exchange offer to acquire any shares of Common Stock by any third party pursuant to an agreement to which the Corporation is a party or (b) any tender or exchange offer by the Corporation to acquire any shares of Common Stock, pursuant to the terms of the applicable tender or exchange offer, the holders of the Class A Common Stock shall have the right to receive, or the right to elect to receive, the same form of consideration as the holders of the Class B Common Stock and the holders of the Class A Common Stock shall have the right to receive, or the right to elect to receive, at least the same amount of consideration on a per share basis as the holders of the Class B Common Stock, and the holders of the Class C Common Stock shall have the right to receive, or the right to elect to receive, the same form of consideration (if any) as the holders of the Class D Common Stock and the holders of the Class C Common Stock shall have the right to receive, or the right to elect to receive, at least the same amount of consideration (if any) on a per share basis as the holders of the Class D Common Stock; provided that, for the purposes of the foregoing clauses (1) and (2) and notwithstanding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80" w:after="180"/>
        <w:jc w:val="left"/>
        <w:rPr>
          <w:rFonts w:ascii="Arial;sans-serif" w:hAnsi="Arial;sans-serif"/>
          <w:b w:val="false"/>
          <w:color w:val="000000"/>
          <w:sz w:val="20"/>
        </w:rPr>
      </w:pPr>
      <w:r>
        <w:rPr>
          <w:rFonts w:ascii="Arial;sans-serif" w:hAnsi="Arial;sans-serif"/>
          <w:b w:val="false"/>
          <w:color w:val="000000"/>
          <w:sz w:val="20"/>
        </w:rPr>
        <w:t>the first sentence of this Section 5.1(iv), (i) in the event any such consideration includes securities, (I) the consideration payable to holders of Class A Common Stock shall be deemed the same form of consideration and at least the same amount of consideration on a per share basis as the holders of Class B Common Stock on a per share basis if the only difference in the per share distribution to the holders of Class B Common Stock is that the securities distributed to such holders have not more than ten times the voting power of any securities distributed to the holder of a share of Class A Common Stock and (II) the consideration payable to holders of Class D Common Stock shall be deemed the same form of consideration and at least the same amount of consideration on a per share basis as the holders of Class C Common Stock on a per share basis if the only difference in the per share distribution to the holders of Class D Common Stock is that the securities distributed to such holders have not more than ten times the voting power of any securities distributed to the holder of a share of Class C Common Stock (in each case, so long as such securities issued to the holders of Class B Common Stock or the Class D Common Stock, as the case may be, remain subject to automatic conversion on terms no more favorable to such holders than those set forth in Section 6.2) and (ii) payments under or in respect of the tax receivable or similar agreement entered by the Corporation from time to time with any holders of Common Stock and/or securities of Virtu Financial shall not be considered part of the consideration payable in respect of any share of Common Stock.</w:t>
      </w:r>
    </w:p>
    <w:p>
      <w:pPr>
        <w:pStyle w:val="TextBody"/>
        <w:bidi w:val="0"/>
        <w:spacing w:lineRule="auto" w:line="240" w:before="0" w:after="0"/>
        <w:ind w:left="0" w:right="0" w:firstLine="1800"/>
        <w:jc w:val="left"/>
        <w:rPr/>
      </w:pPr>
      <w:r>
        <w:rPr>
          <w:rFonts w:ascii="Arial;sans-serif" w:hAnsi="Arial;sans-serif"/>
          <w:b w:val="false"/>
          <w:color w:val="000000"/>
          <w:sz w:val="20"/>
        </w:rPr>
        <w:t>5.1</w:t>
      </w:r>
      <w:r>
        <w:rPr>
          <w:rFonts w:ascii="Arial;sans-serif" w:hAnsi="Arial;sans-serif"/>
          <w:b w:val="false"/>
          <w:color w:val="000000"/>
          <w:sz w:val="20"/>
          <w:u w:val="single"/>
        </w:rPr>
        <w:t>Preferred Stock</w:t>
      </w:r>
      <w:r>
        <w:rPr>
          <w:rFonts w:ascii="Arial;sans-serif" w:hAnsi="Arial;sans-serif"/>
          <w:b w:val="false"/>
          <w:color w:val="000000"/>
          <w:sz w:val="20"/>
        </w:rPr>
        <w:t>. Shares of Preferred Stock may be issued from time to time in one or more series of any number of shares, provided that the aggregate 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 Each series of shares of Preferred Stock: (i) may have such voting rights or powers, full or limited, if any; (ii) may be subject to redemption at such time or times and at such prices, if any; (iii) may be entitled to receive dividends (which may be cumulative or non-cumulative) at such rate or rates, on such conditions and at such times, and payable in preference to, or in such relation to, the dividends payable on any other class or classes or series of stock, if any; (iv) may have such rights upon the voluntary or involuntary liquidation, winding up or dissolution of, upon any distribution of the assets of, or in the event of any merger, sale or consolidation of, the Corporation, if any; (v) may be made convertible into or exchangeable for, shares of any other class or classes or of any other series of the same or any other class or classes of stock of the Corporation (or any other securities of the Corporation or any other Person) at such price or prices or at such rates of exchange and with such adjustments, if any; (vi) may be entitled to the benefit of a sinking fund to be applied to the purchase or redemption of shares of such series in such amount or amounts, if any; (vii)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(viii) may be subject to restrictions on transfer or registration of transfer, or on the amount of shares that may be owned by any Person or group of Persons; and (ix)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pStyle w:val="TextBody"/>
        <w:bidi w:val="0"/>
        <w:spacing w:lineRule="auto" w:line="240" w:before="180" w:after="180"/>
        <w:ind w:left="0" w:right="0" w:firstLine="1080"/>
        <w:jc w:val="left"/>
        <w:rPr/>
      </w:pPr>
      <w:r>
        <w:rPr>
          <w:rFonts w:ascii="Arial;sans-serif" w:hAnsi="Arial;sans-serif"/>
          <w:b w:val="false"/>
          <w:color w:val="000000"/>
          <w:sz w:val="20"/>
        </w:rPr>
        <w:t>6.</w:t>
      </w:r>
      <w:r>
        <w:rPr>
          <w:rFonts w:ascii="Arial;sans-serif" w:hAnsi="Arial;sans-serif"/>
          <w:b w:val="false"/>
          <w:color w:val="000000"/>
          <w:sz w:val="20"/>
          <w:u w:val="single"/>
        </w:rPr>
        <w:t>Conversion and Exchange of Shares</w:t>
      </w:r>
      <w:r>
        <w:rPr>
          <w:rFonts w:ascii="Arial;sans-serif" w:hAnsi="Arial;sans-serif"/>
          <w:b w:val="false"/>
          <w:color w:val="000000"/>
          <w:sz w:val="20"/>
        </w:rPr>
        <w:t>.</w:t>
      </w:r>
    </w:p>
    <w:p>
      <w:pPr>
        <w:pStyle w:val="TextBody"/>
        <w:bidi w:val="0"/>
        <w:spacing w:lineRule="auto" w:line="240" w:before="0" w:after="0"/>
        <w:ind w:left="0" w:right="0" w:firstLine="1800"/>
        <w:jc w:val="left"/>
        <w:rPr/>
      </w:pPr>
      <w:r>
        <w:rPr>
          <w:rFonts w:ascii="Arial;sans-serif" w:hAnsi="Arial;sans-serif"/>
          <w:b w:val="false"/>
          <w:color w:val="000000"/>
          <w:sz w:val="20"/>
        </w:rPr>
        <w:t>6.1</w:t>
      </w:r>
      <w:r>
        <w:rPr>
          <w:rFonts w:ascii="Arial;sans-serif" w:hAnsi="Arial;sans-serif"/>
          <w:b w:val="false"/>
          <w:color w:val="000000"/>
          <w:sz w:val="20"/>
          <w:u w:val="single"/>
        </w:rPr>
        <w:t>Voluntary Conversion of Class B Common Stock and Class D Common Stock</w:t>
      </w:r>
      <w:r>
        <w:rPr>
          <w:rFonts w:ascii="Arial;sans-serif" w:hAnsi="Arial;sans-serif"/>
          <w:b w:val="false"/>
          <w:color w:val="000000"/>
          <w:sz w:val="20"/>
        </w:rPr>
        <w:t>.</w:t>
      </w:r>
    </w:p>
    <w:p>
      <w:pPr>
        <w:pStyle w:val="TextBody"/>
        <w:bidi w:val="0"/>
        <w:spacing w:lineRule="auto" w:line="240" w:before="180" w:after="180"/>
        <w:ind w:left="0" w:right="0" w:firstLine="2430"/>
        <w:jc w:val="left"/>
        <w:rPr/>
      </w:pPr>
      <w:r>
        <w:rPr>
          <w:rFonts w:ascii="Arial;sans-serif" w:hAnsi="Arial;sans-serif"/>
          <w:b w:val="false"/>
          <w:color w:val="000000"/>
          <w:sz w:val="20"/>
        </w:rPr>
        <w:t>(i)</w:t>
      </w:r>
      <w:r>
        <w:rPr>
          <w:rFonts w:ascii="Arial;sans-serif" w:hAnsi="Arial;sans-serif"/>
          <w:b w:val="false"/>
          <w:color w:val="000000"/>
          <w:sz w:val="20"/>
        </w:rPr>
        <w:t>Each share of Class B Common Stock or Class D Common Stock may be converted into one fully paid and non-assessable share of Class A Common Stock or Class C Common Stock, respectively, at any time at the option of the holder of such share of Class B Common Stock or Class D Common Stock. In order to exercise the conversion privilege, the holder of any shares of Class B Common Stock or Class D Common Stock to be converted shall present and surrender the certificate or certificates representing such shares (if certificated) during usual business hours at the principal executive offices of the Corporation or, if any agent for the registration or transfer of shares of Class B Common Stock or Class D Common Stock is then duly appointed and acting (the “</w:t>
      </w:r>
      <w:r>
        <w:rPr>
          <w:rFonts w:ascii="Arial;sans-serif" w:hAnsi="Arial;sans-serif"/>
          <w:b w:val="false"/>
          <w:color w:val="000000"/>
          <w:sz w:val="20"/>
          <w:u w:val="single"/>
        </w:rPr>
        <w:t>Class B Transfer Agent</w:t>
      </w:r>
      <w:r>
        <w:rPr>
          <w:color w:val="000000"/>
        </w:rPr>
        <w:t xml:space="preserve">” </w:t>
      </w:r>
      <w:r>
        <w:rPr>
          <w:rFonts w:ascii="Arial;sans-serif" w:hAnsi="Arial;sans-serif"/>
          <w:b w:val="false"/>
          <w:color w:val="000000"/>
          <w:sz w:val="20"/>
        </w:rPr>
        <w:t>and the “</w:t>
      </w:r>
      <w:r>
        <w:rPr>
          <w:rFonts w:ascii="Arial;sans-serif" w:hAnsi="Arial;sans-serif"/>
          <w:b w:val="false"/>
          <w:color w:val="000000"/>
          <w:sz w:val="20"/>
          <w:u w:val="single"/>
        </w:rPr>
        <w:t>Class D Transfer Agent</w:t>
      </w:r>
      <w:r>
        <w:rPr>
          <w:rFonts w:ascii="Arial;sans-serif" w:hAnsi="Arial;sans-serif"/>
          <w:b w:val="false"/>
          <w:color w:val="000000"/>
          <w:sz w:val="20"/>
        </w:rPr>
        <w:t xml:space="preserve">,” respectively), at the office of the Class B Transfer Agent or Class D Transfer Agent, as applicable, accompanied by written notice that the holder elects to convert the shares of Class B Common Stock or Class D Common Stock, as applicable, represented by such certificate or certificates, to the extent specified in such notice. If required by the Corporation, any certificate for shares of Class B Common Stock or Class D Common Stock surrendered for conversion shall be accompanied by instruments of transfer, in form reasonably satisfactory to the Corporation and the Class B Transfer Agent or Class D Transfer Agent, as applicable, duly executed by the holder of such shares or such holder’s duly authorized representative. As promptly as practicable after the receipt of such notice and the surrender of the certificate or certificates representing such shares of Class B Common Stock or Class D Common Stock as aforesaid and in any event within three (3) days of the receipt of such notice and certificates, if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80" w:after="180"/>
        <w:jc w:val="left"/>
        <w:rPr>
          <w:rFonts w:ascii="Arial;sans-serif" w:hAnsi="Arial;sans-serif"/>
          <w:b w:val="false"/>
          <w:color w:val="000000"/>
          <w:sz w:val="20"/>
        </w:rPr>
      </w:pPr>
      <w:r>
        <w:rPr>
          <w:rFonts w:ascii="Arial;sans-serif" w:hAnsi="Arial;sans-serif"/>
          <w:b w:val="false"/>
          <w:color w:val="000000"/>
          <w:sz w:val="20"/>
        </w:rPr>
        <w:t>such shares are certificated, the Corporation shall issue and deliver at such office to such holder, or on such holder’s written order, a certificate or certificates for the number of full shares of Class A Common Stock or Class C Common Stock, as applicable, (if certificated) issuable upon the conversion of such shares. To the extent such shares of Class B Common Stock or Class D Common Stock as aforesaid are settled through the facilities of The Depository Trust Company, the Corporation shall, upon such holder’s written order, issue and deliver the number of full shares of Class A Common Stock or Class C Common Stock, as applicable, issuable upon the conversion of such shares through the facilities of The Depository Trust Company to the account of the participant of The Depository Trust Company designated by such holder. Each conversion of shares of Class B Common Stock or Class D Common Stock shall be deemed to have been effected on (i) the date on which such notice shall have been received by the Corporation, the Class B Transfer Agent or the Class D Transfer Agent, as applicable (subject to receipt by the Corporation, the Class B Transfer Agent or the Class D Transfer Agent, as applicable, within five (5) Business Days thereafter of any required instruments of transfer as aforesaid), or (ii) such later date specified in or pursuant to such notice, and the Person or Persons in whose name or names any certificate or certificates for shares of Class A Common Stock or Class C Common Stock shall be issuable upon such conversion as aforesaid shall be deemed to have become on said date the holder or holders of record of the shares represented thereby.</w:t>
      </w:r>
    </w:p>
    <w:p>
      <w:pPr>
        <w:pStyle w:val="TextBody"/>
        <w:bidi w:val="0"/>
        <w:spacing w:lineRule="auto" w:line="240" w:before="180" w:after="180"/>
        <w:ind w:left="0" w:right="0" w:firstLine="2430"/>
        <w:jc w:val="left"/>
        <w:rPr/>
      </w:pPr>
      <w:r>
        <w:rPr>
          <w:rFonts w:ascii="Arial;sans-serif" w:hAnsi="Arial;sans-serif"/>
          <w:b w:val="false"/>
          <w:color w:val="000000"/>
          <w:sz w:val="20"/>
        </w:rPr>
        <w:t>(ii)</w:t>
      </w:r>
      <w:r>
        <w:rPr>
          <w:rFonts w:ascii="Arial;sans-serif" w:hAnsi="Arial;sans-serif"/>
          <w:b w:val="false"/>
          <w:color w:val="000000"/>
          <w:sz w:val="20"/>
        </w:rPr>
        <w:t>Notwithstanding anything in this Section 6.1 to the contrary, any holder may withdraw or amend a notice of conversion, in whole or in part, prior to the effectiveness of the conversion, at any time prior to 5:00 p.m., New York City time, on the Business Day immediately preceding the date of the conversion (or any such later time as may be required by applicable law) by delivery of a written notice of withdrawal to the Corporation, the Class B Transfer Agent or the Class D Transfer Agent, as applicable, specifying (1) if applicable, the certificate numbers of the withdrawn shares of Class B Common Stock or Class D Common Stock, (2) if any, the number of shares of Class B Common Stock or Class D Common Stock as to which the notice of conversion remains in effect and (3) if the holder so determines, a new conversion date or any other new or revised information permitted in a notice of conversion. A notice of conversion may specify that the conversion is to be contingent (including as to timing) upon the consummation of a purchase by another Person (whether in a tender or exchange offer, an underwritten offering or otherwise) of shares of the Class A Common Stock or Class C Common Stock into which the Class B Common Stock or Class D Common Stock, respectively, is convertible, or contingent (including as to timing) upon the closing of an announced merger, consolidation or other transaction or event in which the Class A Common Stock or Class C Common Stock would be exchanged or converted or become exchangeable for or convertible into cash or other securities or property.</w:t>
      </w:r>
    </w:p>
    <w:p>
      <w:pPr>
        <w:pStyle w:val="TextBody"/>
        <w:bidi w:val="0"/>
        <w:spacing w:lineRule="auto" w:line="240" w:before="0" w:after="180"/>
        <w:ind w:left="0" w:right="0" w:firstLine="1800"/>
        <w:jc w:val="left"/>
        <w:rPr/>
      </w:pPr>
      <w:r>
        <w:rPr>
          <w:rFonts w:ascii="Arial;sans-serif" w:hAnsi="Arial;sans-serif"/>
          <w:b w:val="false"/>
          <w:color w:val="000000"/>
          <w:sz w:val="20"/>
        </w:rPr>
        <w:t>6.2</w:t>
      </w:r>
      <w:r>
        <w:rPr>
          <w:rFonts w:ascii="Arial;sans-serif" w:hAnsi="Arial;sans-serif"/>
          <w:b w:val="false"/>
          <w:color w:val="000000"/>
          <w:sz w:val="20"/>
          <w:u w:val="single"/>
        </w:rPr>
        <w:t>Automatic Conversion of Class B Common Stock and Class D Common Stock</w:t>
      </w:r>
      <w:r>
        <w:rPr>
          <w:rFonts w:ascii="Arial;sans-serif" w:hAnsi="Arial;sans-serif"/>
          <w:b w:val="false"/>
          <w:color w:val="000000"/>
          <w:sz w:val="20"/>
        </w:rPr>
        <w:t>.</w:t>
      </w:r>
    </w:p>
    <w:p>
      <w:pPr>
        <w:pStyle w:val="TextBody"/>
        <w:bidi w:val="0"/>
        <w:spacing w:lineRule="auto" w:line="240" w:before="180" w:after="180"/>
        <w:ind w:left="0" w:right="0" w:firstLine="2430"/>
        <w:jc w:val="left"/>
        <w:rPr/>
      </w:pPr>
      <w:r>
        <w:rPr>
          <w:rFonts w:ascii="Arial;sans-serif" w:hAnsi="Arial;sans-serif"/>
          <w:b w:val="false"/>
          <w:color w:val="000000"/>
          <w:sz w:val="20"/>
        </w:rPr>
        <w:t>(i)</w:t>
      </w:r>
      <w:r>
        <w:rPr>
          <w:rFonts w:ascii="Arial;sans-serif" w:hAnsi="Arial;sans-serif"/>
          <w:b w:val="false"/>
          <w:color w:val="000000"/>
          <w:sz w:val="20"/>
        </w:rPr>
        <w:t>Each outstanding share of Class B Common Stock or Class D Common Stock will, automatically and without further action on the part of the Corporation or any holder of Class B Common Stock or Class D Common Stock, convert into one fully paid and non-assessable share of Class A Common Stock or Class C Common Stock, respectively, (a) immediately prior to any Transfer of such Class B Common Stock or Class D Common Stock, as applicable, by the initial registered holder thereof, other than a Transfer to any Permitted Transferee or (b) upon the occurrence of the Triggering Event. Upon any conversion pursuant to this Section 6.2, the certificate or certificates that represented immediately prior thereto the shares of Class B Common Stock or Class D Common Stock that were so converted, automatically and without further action, shall represent the same number of shares of Class A Common Stock or Class C Common Stock, respectively, without the need for surrender or exchange thereof. As promptly as practicable following a conversion pursuant to this Section 6.2, the Corporation shall deliver or cause to be delivered to any holder whose shares of Class B Common Stock or Class D Common Stock have been converted as a result of such conversion the number of shares of Class A Common Stock or Class C Common Stock deliverable upon such conversion, as applicable, registered in the name of such holder. To the extent such shares are settled through the facilities of The Depository Trust Company, the Corporation will, upon the written instruction of such holder, deliver the shares of Class A Common Stock or Class C Common Stock deliverable to such holder, through the facilities of The Depository Trust Company, to the account of the participant of The Depository Trust Company designated by such holder. Each share of Class B Common Stock and Class D Common Stock that is converted pursuant to this Section 6.2 shall thereupon be retired by the Corporation and shall not be available for reissuance.</w:t>
      </w:r>
    </w:p>
    <w:p>
      <w:pPr>
        <w:pStyle w:val="TextBody"/>
        <w:bidi w:val="0"/>
        <w:spacing w:lineRule="auto" w:line="240" w:before="180" w:after="180"/>
        <w:ind w:left="0" w:right="0" w:firstLine="2430"/>
        <w:jc w:val="left"/>
        <w:rPr/>
      </w:pPr>
      <w:r>
        <w:rPr>
          <w:rFonts w:ascii="Arial;sans-serif" w:hAnsi="Arial;sans-serif"/>
          <w:b w:val="false"/>
          <w:color w:val="000000"/>
          <w:sz w:val="20"/>
        </w:rPr>
        <w:t>(ii)</w:t>
      </w:r>
      <w:r>
        <w:rPr>
          <w:rFonts w:ascii="Arial;sans-serif" w:hAnsi="Arial;sans-serif"/>
          <w:b w:val="false"/>
          <w:color w:val="000000"/>
          <w:sz w:val="20"/>
        </w:rPr>
        <w:t>The Corporation may, from time to time, establish such policies and procedures relating to the conversion of the Class B Common Stock and Class D Common Stock and the general administration of its multi-class common stock structure, including the issuance of stock certificates with respect thereto, as it may deem necessary or advisable, and may request that holders of shares of Class B Common Stock or Class D Common Stock furnish affidavits or other proof to the Corporation as it deems necessary to verify the ownership of Class B Common Stock or Class D Common Stock, as applicable, and to confirm that a conversion to Class A Common Stock or Class C Common Stock, respectively has not occurred.</w:t>
      </w:r>
    </w:p>
    <w:p>
      <w:pPr>
        <w:pStyle w:val="TextBody"/>
        <w:bidi w:val="0"/>
        <w:spacing w:lineRule="auto" w:line="240" w:before="0" w:after="180"/>
        <w:ind w:left="0" w:right="0" w:firstLine="1800"/>
        <w:jc w:val="left"/>
        <w:rPr/>
      </w:pPr>
      <w:r>
        <w:rPr>
          <w:rFonts w:ascii="Arial;sans-serif" w:hAnsi="Arial;sans-serif"/>
          <w:b w:val="false"/>
          <w:color w:val="000000"/>
          <w:sz w:val="20"/>
        </w:rPr>
        <w:t>6.3</w:t>
      </w:r>
      <w:r>
        <w:rPr>
          <w:rFonts w:ascii="Arial;sans-serif" w:hAnsi="Arial;sans-serif"/>
          <w:b w:val="false"/>
          <w:color w:val="000000"/>
          <w:sz w:val="20"/>
          <w:u w:val="single"/>
        </w:rPr>
        <w:t>Unconverted Shares</w:t>
      </w:r>
      <w:r>
        <w:rPr>
          <w:rFonts w:ascii="Arial;sans-serif" w:hAnsi="Arial;sans-serif"/>
          <w:b w:val="false"/>
          <w:color w:val="000000"/>
          <w:sz w:val="20"/>
        </w:rPr>
        <w:t>. If less than all of the shares of Class B Common Stock or Class D Common Stock evidenced by a certificate or certificates surrendered to the Corporation are converted, the Corporation shall execute and deliver to, or upon the written order of, the holder of such certificate or certificates a new certificate or certificates evidencing the number of shares of Common Stock which are not converted without charge to the holder.</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ind w:left="0" w:right="0" w:firstLine="1800"/>
        <w:jc w:val="left"/>
        <w:rPr/>
      </w:pPr>
      <w:r>
        <w:rPr>
          <w:rFonts w:ascii="Arial;sans-serif" w:hAnsi="Arial;sans-serif"/>
          <w:b w:val="false"/>
          <w:color w:val="000000"/>
          <w:sz w:val="20"/>
        </w:rPr>
        <w:t>6.4</w:t>
      </w:r>
      <w:r>
        <w:rPr>
          <w:rFonts w:ascii="Arial;sans-serif" w:hAnsi="Arial;sans-serif"/>
          <w:b w:val="false"/>
          <w:color w:val="000000"/>
          <w:sz w:val="20"/>
          <w:u w:val="single"/>
        </w:rPr>
        <w:t>No Conversion Rights of Class A Common Stock and Class C Common Stock</w:t>
      </w:r>
      <w:r>
        <w:rPr>
          <w:rFonts w:ascii="Arial;sans-serif" w:hAnsi="Arial;sans-serif"/>
          <w:b w:val="false"/>
          <w:color w:val="000000"/>
          <w:sz w:val="20"/>
        </w:rPr>
        <w:t>. The Class A Common Stock and Class C Common Stock shall not have any conversion rights.</w:t>
      </w:r>
    </w:p>
    <w:p>
      <w:pPr>
        <w:pStyle w:val="TextBody"/>
        <w:bidi w:val="0"/>
        <w:spacing w:lineRule="auto" w:line="240" w:before="0" w:after="180"/>
        <w:ind w:left="0" w:right="0" w:firstLine="1800"/>
        <w:jc w:val="left"/>
        <w:rPr/>
      </w:pPr>
      <w:r>
        <w:rPr>
          <w:rFonts w:ascii="Arial;sans-serif" w:hAnsi="Arial;sans-serif"/>
          <w:b w:val="false"/>
          <w:color w:val="000000"/>
          <w:sz w:val="20"/>
        </w:rPr>
        <w:t>6.5</w:t>
      </w:r>
      <w:r>
        <w:rPr>
          <w:rFonts w:ascii="Arial;sans-serif" w:hAnsi="Arial;sans-serif"/>
          <w:b w:val="false"/>
          <w:color w:val="000000"/>
          <w:sz w:val="20"/>
          <w:u w:val="single"/>
        </w:rPr>
        <w:t>Reservation of Shares of Class A Common Stock for Conversion Right</w:t>
      </w:r>
      <w:r>
        <w:rPr>
          <w:rFonts w:ascii="Arial;sans-serif" w:hAnsi="Arial;sans-serif"/>
          <w:b w:val="false"/>
          <w:color w:val="000000"/>
          <w:sz w:val="20"/>
        </w:rPr>
        <w:t>. The Corporation will at all times reserve and keep available out of its authorized and unissued shares of Class A Common Stock, solely for the purposes of conversions of Class B Common Stock, the number of shares of Class A Common Stock that are issuable upon conversion of all outstanding shares of Class B Common Stock, including any shares of Class B Common Stock issuable upon the exchange of all outstanding shares of Class D Common Stock, together with the corresponding Common Units constituting the remainder of any Class D Paired Interests in which such shares are included, pursuant to Section 2.01 of the Exchange Agreement. The Corporation covenants that all the shares of Class A Common Stock that are issued upon conversion of such Class B Common Stock will, upon issuance, be validly issued, fully paid and non-assessable.</w:t>
      </w:r>
    </w:p>
    <w:p>
      <w:pPr>
        <w:pStyle w:val="TextBody"/>
        <w:bidi w:val="0"/>
        <w:spacing w:lineRule="auto" w:line="240" w:before="0" w:after="180"/>
        <w:ind w:left="0" w:right="0" w:firstLine="1800"/>
        <w:jc w:val="left"/>
        <w:rPr/>
      </w:pPr>
      <w:r>
        <w:rPr>
          <w:rFonts w:ascii="Arial;sans-serif" w:hAnsi="Arial;sans-serif"/>
          <w:b w:val="false"/>
          <w:color w:val="000000"/>
          <w:sz w:val="20"/>
        </w:rPr>
        <w:t>6.6</w:t>
      </w:r>
      <w:r>
        <w:rPr>
          <w:rFonts w:ascii="Arial;sans-serif" w:hAnsi="Arial;sans-serif"/>
          <w:b w:val="false"/>
          <w:color w:val="000000"/>
          <w:sz w:val="20"/>
          <w:u w:val="single"/>
        </w:rPr>
        <w:t>Reservation of Shares of Class C Common Stock for Conversion Right</w:t>
      </w:r>
      <w:r>
        <w:rPr>
          <w:rFonts w:ascii="Arial;sans-serif" w:hAnsi="Arial;sans-serif"/>
          <w:b w:val="false"/>
          <w:color w:val="000000"/>
          <w:sz w:val="20"/>
        </w:rPr>
        <w:t>. The Corporation will at all times reserve and keep available out of its authorized and unissued shares of Class C Common Stock, solely for the purposes of conversions of Class D Common Stock, the number of shares of Class C Common Stock that are issuable upon conversion of all outstanding shares of Class D Common Stock. The Corporation covenants that all the shares of Class C Common Stock that are issued upon conversion of Class D Common Stock will, upon issuance, be validly issued, fully paid and non-assessable.</w:t>
      </w:r>
    </w:p>
    <w:p>
      <w:pPr>
        <w:pStyle w:val="TextBody"/>
        <w:bidi w:val="0"/>
        <w:spacing w:lineRule="auto" w:line="240" w:before="0" w:after="180"/>
        <w:ind w:left="0" w:right="0" w:firstLine="1800"/>
        <w:jc w:val="left"/>
        <w:rPr/>
      </w:pPr>
      <w:r>
        <w:rPr>
          <w:rFonts w:ascii="Arial;sans-serif" w:hAnsi="Arial;sans-serif"/>
          <w:b w:val="false"/>
          <w:color w:val="000000"/>
          <w:sz w:val="20"/>
        </w:rPr>
        <w:t>6.7</w:t>
      </w:r>
      <w:r>
        <w:rPr>
          <w:rFonts w:ascii="Arial;sans-serif" w:hAnsi="Arial;sans-serif"/>
          <w:b w:val="false"/>
          <w:color w:val="000000"/>
          <w:sz w:val="20"/>
          <w:u w:val="single"/>
        </w:rPr>
        <w:t>Retirement of Non-Economic Common Stock</w:t>
      </w:r>
      <w:r>
        <w:rPr>
          <w:rFonts w:ascii="Arial;sans-serif" w:hAnsi="Arial;sans-serif"/>
          <w:b w:val="false"/>
          <w:color w:val="000000"/>
          <w:sz w:val="20"/>
        </w:rPr>
        <w:t>. In the event that no Class D Paired Interests remain exchangeable for shares of Class B Common Stock, the Class D Common Stock will be transferred to the Corporation and thereupon shall be retired. In the event that no Class C Paired Interests remain exchangeable for shares of Class A Common Stock, the Class C Common Stock will be transferred to the Corporation and thereupon shall be retired. In the event that any outstanding share of Non-Economic Common Stock shall cease to be held by a holder of Common Units, such share shall automatically and without further action on the part of the Corporation or its holder be transferred to the Corporation and thereupon shall be retired and cease to be outstanding and may not be reissued by the Corporation.</w:t>
      </w:r>
    </w:p>
    <w:p>
      <w:pPr>
        <w:pStyle w:val="TextBody"/>
        <w:bidi w:val="0"/>
        <w:spacing w:lineRule="auto" w:line="240" w:before="0" w:after="180"/>
        <w:ind w:left="0" w:right="0" w:firstLine="1800"/>
        <w:jc w:val="left"/>
        <w:rPr/>
      </w:pPr>
      <w:r>
        <w:rPr>
          <w:rFonts w:ascii="Arial;sans-serif" w:hAnsi="Arial;sans-serif"/>
          <w:b w:val="false"/>
          <w:color w:val="000000"/>
          <w:sz w:val="20"/>
        </w:rPr>
        <w:t>6.8</w:t>
      </w:r>
      <w:r>
        <w:rPr>
          <w:rFonts w:ascii="Arial;sans-serif" w:hAnsi="Arial;sans-serif"/>
          <w:b w:val="false"/>
          <w:color w:val="000000"/>
          <w:sz w:val="20"/>
          <w:u w:val="single"/>
        </w:rPr>
        <w:t>Distributions with Respect to Converted Shares</w:t>
      </w:r>
      <w:r>
        <w:rPr>
          <w:rFonts w:ascii="Arial;sans-serif" w:hAnsi="Arial;sans-serif"/>
          <w:b w:val="false"/>
          <w:color w:val="000000"/>
          <w:sz w:val="20"/>
        </w:rPr>
        <w:t>. No conversion pursuant to this Article 6 shall impair the right of the converting stockholder to receive any dividends or other distributions payable on shares so converted in respect of a record date that occurs prior to the effective date for such conversion. For the avoidance of doubt, no converting stockholder shall be entitled to receive, in respect of a single record date, dividends or other distributions both on shares that are converted by such stockholder and on shares received by such stockholder in such conversion.</w:t>
      </w:r>
    </w:p>
    <w:p>
      <w:pPr>
        <w:pStyle w:val="TextBody"/>
        <w:bidi w:val="0"/>
        <w:spacing w:lineRule="auto" w:line="240" w:before="0" w:after="180"/>
        <w:ind w:left="0" w:right="0" w:firstLine="1800"/>
        <w:jc w:val="left"/>
        <w:rPr/>
      </w:pPr>
      <w:r>
        <w:rPr>
          <w:rFonts w:ascii="Arial;sans-serif" w:hAnsi="Arial;sans-serif"/>
          <w:b w:val="false"/>
          <w:color w:val="000000"/>
          <w:sz w:val="20"/>
        </w:rPr>
        <w:t>6.9</w:t>
      </w:r>
      <w:r>
        <w:rPr>
          <w:rFonts w:ascii="Arial;sans-serif" w:hAnsi="Arial;sans-serif"/>
          <w:b w:val="false"/>
          <w:color w:val="000000"/>
          <w:sz w:val="20"/>
          <w:u w:val="single"/>
        </w:rPr>
        <w:t>Exchange of Class C Common Stock and Class D Common Stock</w:t>
      </w:r>
      <w:r>
        <w:rPr>
          <w:rFonts w:ascii="Arial;sans-serif" w:hAnsi="Arial;sans-serif"/>
          <w:b w:val="false"/>
          <w:color w:val="000000"/>
          <w:sz w:val="20"/>
        </w:rPr>
        <w:t>. Shares of Class C Common Stock or Class D Common Stock may be exchanged, together with the corresponding Common Units constituting the remainder of any Class C Paired Interests or Class D Paired Interests in which such shares are included, as applicable, at any time and from time to time for shares of Class A Common Stock or Class B Common Stock, respectively, in accordance with Section 2.01 of the Exchange Agreement.</w:t>
      </w:r>
    </w:p>
    <w:p>
      <w:pPr>
        <w:pStyle w:val="TextBody"/>
        <w:bidi w:val="0"/>
        <w:spacing w:lineRule="auto" w:line="240" w:before="0" w:after="180"/>
        <w:ind w:left="0" w:right="0" w:firstLine="1800"/>
        <w:jc w:val="left"/>
        <w:rPr/>
      </w:pPr>
      <w:r>
        <w:rPr>
          <w:rFonts w:ascii="Arial;sans-serif" w:hAnsi="Arial;sans-serif"/>
          <w:b w:val="false"/>
          <w:color w:val="000000"/>
          <w:sz w:val="20"/>
        </w:rPr>
        <w:t>6.10</w:t>
      </w:r>
      <w:r>
        <w:rPr>
          <w:rFonts w:ascii="Arial;sans-serif" w:hAnsi="Arial;sans-serif"/>
          <w:b w:val="false"/>
          <w:color w:val="000000"/>
          <w:sz w:val="20"/>
          <w:u w:val="single"/>
        </w:rPr>
        <w:t>Taxes</w:t>
      </w:r>
      <w:r>
        <w:rPr>
          <w:rFonts w:ascii="Arial;sans-serif" w:hAnsi="Arial;sans-serif"/>
          <w:b w:val="false"/>
          <w:color w:val="000000"/>
          <w:sz w:val="20"/>
        </w:rPr>
        <w:t xml:space="preserve">. The issuance of shares of Economic Common Stock upon the exercise by holders of shares of Non-Economic Common Stock of their right under Section 2.01 of the Exchange Agreement to exchange Paired Interests will be made without charge to the holders of the shares of Non-Economic Common Stock for any transfer taxes, stamp taxes or duties or other similar tax in respect of the issuance;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that if any such shares of Economic Common Stock are to be issued in a name other than that of the then record holder of the shares of Non-Economic Common Stock being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pStyle w:val="TextBody"/>
        <w:bidi w:val="0"/>
        <w:spacing w:lineRule="auto" w:line="240" w:before="180" w:after="180"/>
        <w:ind w:left="0" w:right="0" w:firstLine="1080"/>
        <w:jc w:val="left"/>
        <w:rPr/>
      </w:pPr>
      <w:r>
        <w:rPr>
          <w:rFonts w:ascii="Arial;sans-serif" w:hAnsi="Arial;sans-serif"/>
          <w:b w:val="false"/>
          <w:color w:val="000000"/>
          <w:sz w:val="20"/>
        </w:rPr>
        <w:t>7.</w:t>
      </w:r>
      <w:r>
        <w:rPr>
          <w:rFonts w:ascii="Arial;sans-serif" w:hAnsi="Arial;sans-serif"/>
          <w:b w:val="false"/>
          <w:color w:val="000000"/>
          <w:sz w:val="20"/>
          <w:u w:val="single"/>
        </w:rPr>
        <w:t>Board of Directors</w:t>
      </w:r>
      <w:r>
        <w:rPr>
          <w:rFonts w:ascii="Arial;sans-serif" w:hAnsi="Arial;sans-serif"/>
          <w:b w:val="false"/>
          <w:color w:val="000000"/>
          <w:sz w:val="20"/>
        </w:rPr>
        <w:t>.</w:t>
      </w:r>
    </w:p>
    <w:p>
      <w:pPr>
        <w:pStyle w:val="TextBody"/>
        <w:bidi w:val="0"/>
        <w:spacing w:lineRule="auto" w:line="240" w:before="0" w:after="180"/>
        <w:ind w:left="0" w:right="0" w:firstLine="1800"/>
        <w:jc w:val="left"/>
        <w:rPr/>
      </w:pPr>
      <w:r>
        <w:rPr>
          <w:rFonts w:ascii="Arial;sans-serif" w:hAnsi="Arial;sans-serif"/>
          <w:b w:val="false"/>
          <w:color w:val="000000"/>
          <w:sz w:val="20"/>
        </w:rPr>
        <w:t>7.1</w:t>
      </w:r>
      <w:r>
        <w:rPr>
          <w:rFonts w:ascii="Arial;sans-serif" w:hAnsi="Arial;sans-serif"/>
          <w:b w:val="false"/>
          <w:color w:val="000000"/>
          <w:sz w:val="20"/>
          <w:u w:val="single"/>
        </w:rPr>
        <w:t>Number of Directors</w:t>
      </w:r>
      <w:r>
        <w:rPr>
          <w:rFonts w:ascii="Arial;sans-serif" w:hAnsi="Arial;sans-serif"/>
          <w:b w:val="false"/>
          <w:color w:val="000000"/>
          <w:sz w:val="20"/>
        </w:rPr>
        <w:t>.</w:t>
      </w:r>
    </w:p>
    <w:p>
      <w:pPr>
        <w:pStyle w:val="TextBody"/>
        <w:bidi w:val="0"/>
        <w:spacing w:lineRule="auto" w:line="240" w:before="180" w:after="180"/>
        <w:ind w:left="0" w:right="0" w:firstLine="2460"/>
        <w:jc w:val="left"/>
        <w:rPr/>
      </w:pPr>
      <w:r>
        <w:rPr>
          <w:rFonts w:ascii="Arial;sans-serif" w:hAnsi="Arial;sans-serif"/>
          <w:b w:val="false"/>
          <w:color w:val="000000"/>
          <w:sz w:val="20"/>
        </w:rPr>
        <w:t>(i)</w:t>
      </w:r>
      <w:r>
        <w:rPr>
          <w:rFonts w:ascii="Arial;sans-serif" w:hAnsi="Arial;sans-serif"/>
          <w:b w:val="false"/>
          <w:color w:val="000000"/>
          <w:sz w:val="20"/>
        </w:rPr>
        <w:t>The business and affairs of the Corporation shall be managed by, or under the direction of, the Board. Unless and except to the extent that the Amended and Restated By-laws of the Corporation (as such By-laws may be amended from time to time, the “</w:t>
      </w:r>
      <w:r>
        <w:rPr>
          <w:rFonts w:ascii="Arial;sans-serif" w:hAnsi="Arial;sans-serif"/>
          <w:b w:val="false"/>
          <w:color w:val="000000"/>
          <w:sz w:val="20"/>
          <w:u w:val="single"/>
        </w:rPr>
        <w:t>By-laws</w:t>
      </w:r>
      <w:r>
        <w:rPr>
          <w:color w:val="000000"/>
        </w:rPr>
        <w:t>’”</w:t>
      </w:r>
      <w:r>
        <w:rPr>
          <w:rFonts w:ascii="Arial;sans-serif" w:hAnsi="Arial;sans-serif"/>
          <w:b w:val="false"/>
          <w:color w:val="000000"/>
          <w:sz w:val="20"/>
        </w:rPr>
        <w:t>) shall so require, the election of the directors of the Corporation (the “</w:t>
      </w:r>
      <w:r>
        <w:rPr>
          <w:rFonts w:ascii="Arial;sans-serif" w:hAnsi="Arial;sans-serif"/>
          <w:b w:val="false"/>
          <w:color w:val="000000"/>
          <w:sz w:val="20"/>
          <w:u w:val="single"/>
        </w:rPr>
        <w:t>Directors</w:t>
      </w:r>
      <w:r>
        <w:rPr>
          <w:color w:val="000000"/>
        </w:rPr>
        <w:t>’”</w:t>
      </w:r>
      <w:r>
        <w:rPr>
          <w:rFonts w:ascii="Arial;sans-serif" w:hAnsi="Arial;sans-serif"/>
          <w:b w:val="false"/>
          <w:color w:val="000000"/>
          <w:sz w:val="20"/>
        </w:rPr>
        <w:t>) need not be by written ballot. Except as otherwise provided for or fixed pursuant to the provisions of Section 5.2 of this Amended Certificate of Incorporation relating to the rights of the holders of any series of Preferred Stock to elect additional Directors, the total number of Directors constituting the entire Board shall be not less than three (3) nor more than twenty (20), with the then authorized number of Directors being fixed from time to time by the Board.</w:t>
      </w:r>
    </w:p>
    <w:p>
      <w:pPr>
        <w:pStyle w:val="TextBody"/>
        <w:bidi w:val="0"/>
        <w:spacing w:lineRule="auto" w:line="240" w:before="180" w:after="180"/>
        <w:ind w:left="0" w:right="0" w:firstLine="2460"/>
        <w:jc w:val="left"/>
        <w:rPr/>
      </w:pPr>
      <w:r>
        <w:rPr>
          <w:rFonts w:ascii="Arial;sans-serif" w:hAnsi="Arial;sans-serif"/>
          <w:b w:val="false"/>
          <w:color w:val="000000"/>
          <w:sz w:val="20"/>
        </w:rPr>
        <w:t>(ii)</w:t>
      </w:r>
      <w:r>
        <w:rPr>
          <w:rFonts w:ascii="Arial;sans-serif" w:hAnsi="Arial;sans-serif"/>
          <w:b w:val="false"/>
          <w:color w:val="000000"/>
          <w:sz w:val="20"/>
        </w:rPr>
        <w:t>During any period when the holders of any series of Preferred Stock have the right to elect additional Directors as provided for or fixed pursuant to the provisions of Section 5.2 (“</w:t>
      </w:r>
      <w:r>
        <w:rPr>
          <w:rFonts w:ascii="Arial;sans-serif" w:hAnsi="Arial;sans-serif"/>
          <w:b w:val="false"/>
          <w:color w:val="000000"/>
          <w:sz w:val="20"/>
          <w:u w:val="single"/>
        </w:rPr>
        <w:t xml:space="preserve">Preferred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80" w:after="180"/>
        <w:jc w:val="left"/>
        <w:rPr/>
      </w:pPr>
      <w:r>
        <w:rPr>
          <w:rFonts w:ascii="Arial;sans-serif" w:hAnsi="Arial;sans-serif"/>
          <w:b w:val="false"/>
          <w:color w:val="000000"/>
          <w:sz w:val="20"/>
          <w:u w:val="single"/>
        </w:rPr>
        <w:t>Stock Directors</w:t>
      </w:r>
      <w:r>
        <w:rPr>
          <w:color w:val="000000"/>
        </w:rPr>
        <w:t>”</w:t>
      </w:r>
      <w:r>
        <w:rPr>
          <w:rFonts w:ascii="Arial;sans-serif" w:hAnsi="Arial;sans-serif"/>
          <w:b w:val="false"/>
          <w:color w:val="000000"/>
          <w:sz w:val="20"/>
        </w:rPr>
        <w:t>), upon the commencement, and for the duration, of the period during which such right continues: (i) the then total authorized number of Directors shall automatically be increased by such specified number of Preferred Stock Directors, and the holders of the related Preferred Stock shall be entitled to elect the Preferred Stock Directors pursuant to the provisions of the Board’s designation for the series of Preferred Stock, and (ii) each such Preferred Stock Director shall serve until such Preferred Stock Director’s successor shall have been duly elected and qualified, or until such Preferred Stock Director’s right to hold such office terminates pursuant to such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Preferred Stock, or elected to fill any vacancies resulting from the death, resignation, disqualification or removal of such Preferred Stock Directors, shall forthwith terminate and the total and authorized number of Directors shall be reduced accordingly.</w:t>
      </w:r>
    </w:p>
    <w:p>
      <w:pPr>
        <w:pStyle w:val="TextBody"/>
        <w:bidi w:val="0"/>
        <w:spacing w:lineRule="auto" w:line="240" w:before="0" w:after="180"/>
        <w:ind w:left="0" w:right="0" w:firstLine="1800"/>
        <w:jc w:val="left"/>
        <w:rPr/>
      </w:pPr>
      <w:r>
        <w:rPr>
          <w:rFonts w:ascii="Arial;sans-serif" w:hAnsi="Arial;sans-serif"/>
          <w:b w:val="false"/>
          <w:color w:val="000000"/>
          <w:sz w:val="20"/>
        </w:rPr>
        <w:t>7.2</w:t>
      </w:r>
      <w:r>
        <w:rPr>
          <w:rFonts w:ascii="Arial;sans-serif" w:hAnsi="Arial;sans-serif"/>
          <w:b w:val="false"/>
          <w:color w:val="000000"/>
          <w:sz w:val="20"/>
          <w:u w:val="single"/>
        </w:rPr>
        <w:t>Staggered Board</w:t>
      </w:r>
      <w:r>
        <w:rPr>
          <w:rFonts w:ascii="Arial;sans-serif" w:hAnsi="Arial;sans-serif"/>
          <w:b w:val="false"/>
          <w:color w:val="000000"/>
          <w:sz w:val="20"/>
        </w:rPr>
        <w:t>. The Board (other than Preferred Stock Directors) shall be divided into three (3) classes, as nearly equal in number as possible, designated Class I, Class II and Class III. Class I Directors shall initially serve until the first annual meeting of stockholders following the effectiveness of this Amended Certificate of Incorporation; Class II Directors shall initially serve until the second annual meeting of stockholders following the effectiveness hereof; and Class III Directors shall initially serve until the third annual meeting of stockholders following the effectiveness hereof. Commencing with the first annual meeting of stockholders following the effectiveness hereof, each Director of each class the term of which shall then expire shall be elected to hold office for a three-year term and until such Director’s successor has been duly elected and qualified. In case of any increase or decrease, from time to time, in the number of Directors (other than Preferred Stock Directors), the number of Directors in each class shall be apportioned as nearly equal as possible. The Board is authorized to assign members of the Board already holding office to Class I, Class II and Class III.</w:t>
      </w:r>
    </w:p>
    <w:p>
      <w:pPr>
        <w:pStyle w:val="TextBody"/>
        <w:bidi w:val="0"/>
        <w:spacing w:lineRule="auto" w:line="240" w:before="0" w:after="180"/>
        <w:ind w:left="0" w:right="0" w:firstLine="1800"/>
        <w:jc w:val="left"/>
        <w:rPr/>
      </w:pPr>
      <w:r>
        <w:rPr>
          <w:rFonts w:ascii="Arial;sans-serif" w:hAnsi="Arial;sans-serif"/>
          <w:b w:val="false"/>
          <w:color w:val="000000"/>
          <w:sz w:val="20"/>
        </w:rPr>
        <w:t>7.3</w:t>
      </w:r>
      <w:r>
        <w:rPr>
          <w:rFonts w:ascii="Arial;sans-serif" w:hAnsi="Arial;sans-serif"/>
          <w:b w:val="false"/>
          <w:color w:val="000000"/>
          <w:sz w:val="20"/>
          <w:u w:val="single"/>
        </w:rPr>
        <w:t>Vacancies and Newly Created Directorships</w:t>
      </w:r>
      <w:r>
        <w:rPr>
          <w:rFonts w:ascii="Arial;sans-serif" w:hAnsi="Arial;sans-serif"/>
          <w:b w:val="false"/>
          <w:color w:val="000000"/>
          <w:sz w:val="20"/>
        </w:rPr>
        <w:t>. Subject to the rights of the holders of any one or more series of Preferred Stock then outstanding and subject to obtaining any required stockholder votes or consents under the Stockholders Agreement, newly created directorships resulting from any increase in the authorized number of Directors or any vacancies on the Board resulting from death, resignation, retirement, disqualification, removal from office or other cause shall be filled by the affirmative vote of a majority of the remaining Directors then in office, even if less than a quorum of the Board or, prior to the Triggering Event, by the affirmative vote of the holders of a majority of the total voting power of the outstanding shares of capital stock of the Corporation entitled to vote generally in the election of Directors, voting together as a single class. Any Director so chosen shall hold office until the next election of the class for which such Director shall have been chosen and until his or her successor shall be duly elected and qualified or until such Director’s earlier death, disqualification, resignation or removal. No decrease in the number of Directors shall shorten the term of any Director then in office.</w:t>
      </w:r>
    </w:p>
    <w:p>
      <w:pPr>
        <w:pStyle w:val="TextBody"/>
        <w:bidi w:val="0"/>
        <w:spacing w:lineRule="auto" w:line="240" w:before="0" w:after="180"/>
        <w:ind w:left="0" w:right="0" w:firstLine="1800"/>
        <w:jc w:val="left"/>
        <w:rPr/>
      </w:pPr>
      <w:r>
        <w:rPr>
          <w:rFonts w:ascii="Arial;sans-serif" w:hAnsi="Arial;sans-serif"/>
          <w:b w:val="false"/>
          <w:color w:val="000000"/>
          <w:sz w:val="20"/>
        </w:rPr>
        <w:t>7.4</w:t>
      </w:r>
      <w:r>
        <w:rPr>
          <w:rFonts w:ascii="Arial;sans-serif" w:hAnsi="Arial;sans-serif"/>
          <w:b w:val="false"/>
          <w:color w:val="000000"/>
          <w:sz w:val="20"/>
          <w:u w:val="single"/>
        </w:rPr>
        <w:t>Removal of Directors</w:t>
      </w:r>
      <w:r>
        <w:rPr>
          <w:rFonts w:ascii="Arial;sans-serif" w:hAnsi="Arial;sans-serif"/>
          <w:b w:val="false"/>
          <w:color w:val="000000"/>
          <w:sz w:val="20"/>
        </w:rPr>
        <w:t xml:space="preserve">. Except for Preferred Stock Directors and subject to obtaining any required stockholder votes or consents under the Stockholders Agreement, any Director or the entire Board may be removed from office at any time, but only for cause by the affirmative vote of the holders of seventy-five percent (75%) of the total voting power of the outstanding shares of capital stock of the Corporation entitled to vote generally in the election of Directors, voting together as a single class;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that prior to the Triggering Event, any Director may be removed with or without cause by the affirmative vote of the holders of a majority of the total voting power of the outstanding shares of capital stock of the Corporation entitled to vote generally in the election of Directors, voting together as a single class.</w:t>
      </w:r>
    </w:p>
    <w:p>
      <w:pPr>
        <w:pStyle w:val="TextBody"/>
        <w:bidi w:val="0"/>
        <w:spacing w:lineRule="auto" w:line="240" w:before="180" w:after="180"/>
        <w:ind w:left="0" w:right="0" w:firstLine="1080"/>
        <w:jc w:val="left"/>
        <w:rPr/>
      </w:pPr>
      <w:r>
        <w:rPr>
          <w:rFonts w:ascii="Arial;sans-serif" w:hAnsi="Arial;sans-serif"/>
          <w:b w:val="false"/>
          <w:color w:val="000000"/>
          <w:sz w:val="20"/>
        </w:rPr>
        <w:t>8.</w:t>
      </w:r>
      <w:r>
        <w:rPr>
          <w:rFonts w:ascii="Arial;sans-serif" w:hAnsi="Arial;sans-serif"/>
          <w:b w:val="false"/>
          <w:color w:val="000000"/>
          <w:sz w:val="20"/>
          <w:u w:val="single"/>
        </w:rPr>
        <w:t>Meetings of Stockholders</w:t>
      </w:r>
      <w:r>
        <w:rPr>
          <w:rFonts w:ascii="Arial;sans-serif" w:hAnsi="Arial;sans-serif"/>
          <w:b w:val="false"/>
          <w:color w:val="000000"/>
          <w:sz w:val="20"/>
        </w:rPr>
        <w:t>.</w:t>
      </w:r>
    </w:p>
    <w:p>
      <w:pPr>
        <w:pStyle w:val="TextBody"/>
        <w:bidi w:val="0"/>
        <w:spacing w:lineRule="auto" w:line="240" w:before="0" w:after="180"/>
        <w:ind w:left="0" w:right="0" w:firstLine="1800"/>
        <w:jc w:val="left"/>
        <w:rPr/>
      </w:pPr>
      <w:r>
        <w:rPr>
          <w:rFonts w:ascii="Arial;sans-serif" w:hAnsi="Arial;sans-serif"/>
          <w:b w:val="false"/>
          <w:color w:val="000000"/>
          <w:sz w:val="20"/>
        </w:rPr>
        <w:t>8.1</w:t>
      </w:r>
      <w:r>
        <w:rPr>
          <w:rFonts w:ascii="Arial;sans-serif" w:hAnsi="Arial;sans-serif"/>
          <w:b w:val="false"/>
          <w:color w:val="000000"/>
          <w:sz w:val="20"/>
          <w:u w:val="single"/>
        </w:rPr>
        <w:t>Action by Written Consent</w:t>
      </w:r>
      <w:r>
        <w:rPr>
          <w:rFonts w:ascii="Arial;sans-serif" w:hAnsi="Arial;sans-serif"/>
          <w:b w:val="false"/>
          <w:color w:val="000000"/>
          <w:sz w:val="20"/>
        </w:rPr>
        <w:t>. From and after the Triggering Event, any action required or permitted to be taken by the stockholders of the Corporation may be effected only at a duly called annual or special meeting of stockholders of the Corporation and may not be effected by any consent in writing by such stockholders. Prior to the Triggering Event, any action required or permitted to be taken by the stockholders of the Corporation may be effected by the consent in writing of the holders of a majority of the total voting power of the Corporation entitled to vote thereon, voting together as a single class in lieu of a duly called annual or special meeting of stockholders.</w:t>
      </w:r>
    </w:p>
    <w:p>
      <w:pPr>
        <w:pStyle w:val="TextBody"/>
        <w:bidi w:val="0"/>
        <w:spacing w:lineRule="auto" w:line="240" w:before="0" w:after="180"/>
        <w:ind w:left="0" w:right="0" w:firstLine="1800"/>
        <w:jc w:val="left"/>
        <w:rPr/>
      </w:pPr>
      <w:r>
        <w:rPr>
          <w:rFonts w:ascii="Arial;sans-serif" w:hAnsi="Arial;sans-serif"/>
          <w:b w:val="false"/>
          <w:color w:val="000000"/>
          <w:sz w:val="20"/>
        </w:rPr>
        <w:t>8.2</w:t>
      </w:r>
      <w:r>
        <w:rPr>
          <w:rFonts w:ascii="Arial;sans-serif" w:hAnsi="Arial;sans-serif"/>
          <w:b w:val="false"/>
          <w:color w:val="000000"/>
          <w:sz w:val="20"/>
          <w:u w:val="single"/>
        </w:rPr>
        <w:t>Special Meetings of Stockholders</w:t>
      </w:r>
      <w:r>
        <w:rPr>
          <w:rFonts w:ascii="Arial;sans-serif" w:hAnsi="Arial;sans-serif"/>
          <w:b w:val="false"/>
          <w:color w:val="000000"/>
          <w:sz w:val="20"/>
        </w:rPr>
        <w:t>. Subject to any special rights of the holders of any series of Preferred Stock, and to the requirements of applicable law, special meetings of stockholders of the Corporation may be called only (i) by or at the direction of the Board pursuant to a written resolution adopted by a majority of the total number of Directors that the Corporation would have if there were no vacancies or (ii) by or at the direction of the Chairman, the Vice Chairman or the Chief Executive Officer. In addition, prior to the Triggering Event, special meetings of stockholders of the Corporation may be called by the Secretary of the Corporation at the request of the holders of a majority of the total voting power of the outstanding shares of capital stock of the Corporation entitled to vote generally in the election of Directors, voting together as a single class. Any business transacted at any special meeting of stockholders shall be limited to matters relating to the purpose or purposes stated in the notice of meeting.</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ind w:left="0" w:right="0" w:firstLine="1800"/>
        <w:jc w:val="left"/>
        <w:rPr/>
      </w:pPr>
      <w:r>
        <w:rPr>
          <w:rFonts w:ascii="Arial;sans-serif" w:hAnsi="Arial;sans-serif"/>
          <w:b w:val="false"/>
          <w:color w:val="000000"/>
          <w:sz w:val="20"/>
        </w:rPr>
        <w:t>8.3</w:t>
      </w:r>
      <w:r>
        <w:rPr>
          <w:rFonts w:ascii="Arial;sans-serif" w:hAnsi="Arial;sans-serif"/>
          <w:b w:val="false"/>
          <w:color w:val="000000"/>
          <w:sz w:val="20"/>
          <w:u w:val="single"/>
        </w:rPr>
        <w:t>Election of Directors by Written Ballot</w:t>
      </w:r>
      <w:r>
        <w:rPr>
          <w:rFonts w:ascii="Arial;sans-serif" w:hAnsi="Arial;sans-serif"/>
          <w:b w:val="false"/>
          <w:color w:val="000000"/>
          <w:sz w:val="20"/>
        </w:rPr>
        <w:t>. Unless and except to the extent that the By-laws shall so require, the election of the Directors need not be by written ballot.</w:t>
      </w:r>
    </w:p>
    <w:p>
      <w:pPr>
        <w:pStyle w:val="TextBody"/>
        <w:bidi w:val="0"/>
        <w:spacing w:lineRule="auto" w:line="240" w:before="180" w:after="180"/>
        <w:ind w:left="0" w:right="0" w:firstLine="1080"/>
        <w:jc w:val="left"/>
        <w:rPr/>
      </w:pPr>
      <w:r>
        <w:rPr>
          <w:rFonts w:ascii="Arial;sans-serif" w:hAnsi="Arial;sans-serif"/>
          <w:b w:val="false"/>
          <w:color w:val="000000"/>
          <w:sz w:val="20"/>
        </w:rPr>
        <w:t>9.</w:t>
      </w:r>
      <w:r>
        <w:rPr>
          <w:rFonts w:ascii="Arial;sans-serif" w:hAnsi="Arial;sans-serif"/>
          <w:b w:val="false"/>
          <w:color w:val="000000"/>
          <w:sz w:val="20"/>
          <w:u w:val="single"/>
        </w:rPr>
        <w:t>Business Combinations</w:t>
      </w:r>
      <w:r>
        <w:rPr>
          <w:rFonts w:ascii="Arial;sans-serif" w:hAnsi="Arial;sans-serif"/>
          <w:b w:val="false"/>
          <w:color w:val="000000"/>
          <w:sz w:val="20"/>
        </w:rPr>
        <w:t>.</w:t>
      </w:r>
    </w:p>
    <w:p>
      <w:pPr>
        <w:pStyle w:val="TextBody"/>
        <w:bidi w:val="0"/>
        <w:spacing w:lineRule="auto" w:line="240" w:before="0" w:after="180"/>
        <w:ind w:left="0" w:right="0" w:firstLine="1800"/>
        <w:jc w:val="left"/>
        <w:rPr/>
      </w:pPr>
      <w:r>
        <w:rPr>
          <w:rFonts w:ascii="Arial;sans-serif" w:hAnsi="Arial;sans-serif"/>
          <w:b w:val="false"/>
          <w:color w:val="000000"/>
          <w:sz w:val="20"/>
        </w:rPr>
        <w:t>9.1</w:t>
      </w:r>
      <w:r>
        <w:rPr>
          <w:rFonts w:ascii="Arial;sans-serif" w:hAnsi="Arial;sans-serif"/>
          <w:b w:val="false"/>
          <w:color w:val="000000"/>
          <w:sz w:val="20"/>
          <w:u w:val="single"/>
        </w:rPr>
        <w:t>Section 203 of the General Corporation Law</w:t>
      </w:r>
      <w:r>
        <w:rPr>
          <w:rFonts w:ascii="Arial;sans-serif" w:hAnsi="Arial;sans-serif"/>
          <w:b w:val="false"/>
          <w:color w:val="000000"/>
          <w:sz w:val="20"/>
        </w:rPr>
        <w:t>. The Corporation will not be subject to the provisions of Section 203 of the General Corporation Law.</w:t>
      </w:r>
    </w:p>
    <w:p>
      <w:pPr>
        <w:pStyle w:val="TextBody"/>
        <w:bidi w:val="0"/>
        <w:spacing w:lineRule="auto" w:line="240" w:before="0" w:after="180"/>
        <w:ind w:left="0" w:right="0" w:firstLine="1800"/>
        <w:jc w:val="left"/>
        <w:rPr/>
      </w:pPr>
      <w:r>
        <w:rPr>
          <w:rFonts w:ascii="Arial;sans-serif" w:hAnsi="Arial;sans-serif"/>
          <w:b w:val="false"/>
          <w:color w:val="000000"/>
          <w:sz w:val="20"/>
        </w:rPr>
        <w:t>9.2</w:t>
      </w:r>
      <w:r>
        <w:rPr>
          <w:rFonts w:ascii="Arial;sans-serif" w:hAnsi="Arial;sans-serif"/>
          <w:b w:val="false"/>
          <w:color w:val="000000"/>
          <w:sz w:val="20"/>
          <w:u w:val="single"/>
        </w:rPr>
        <w:t>Limitations on Business Combinations</w:t>
      </w:r>
      <w:r>
        <w:rPr>
          <w:rFonts w:ascii="Arial;sans-serif" w:hAnsi="Arial;sans-serif"/>
          <w:b w:val="false"/>
          <w:color w:val="000000"/>
          <w:sz w:val="20"/>
        </w:rPr>
        <w:t>. Notwithstanding Section 9.1, the Corporation shall not engage in any business combination (as defined below), at any point in time at which the Corporation’s Class A Common Stock is registered under Section 12(b) or 12(g) of the Exchange Act, with any interested stockholder (as defined below) for a period of three (3) years following the time that such stockholder became an interested stockholder, unless:</w:t>
      </w:r>
    </w:p>
    <w:p>
      <w:pPr>
        <w:pStyle w:val="TextBody"/>
        <w:bidi w:val="0"/>
        <w:spacing w:lineRule="auto" w:line="240" w:before="0" w:after="200"/>
        <w:ind w:left="0" w:right="0" w:firstLine="2440"/>
        <w:jc w:val="left"/>
        <w:rPr/>
      </w:pPr>
      <w:r>
        <w:rPr>
          <w:rFonts w:ascii="Arial;sans-serif" w:hAnsi="Arial;sans-serif"/>
          <w:b w:val="false"/>
          <w:color w:val="000000"/>
          <w:sz w:val="20"/>
        </w:rPr>
        <w:t>(i)</w:t>
      </w:r>
      <w:r>
        <w:rPr>
          <w:rFonts w:ascii="Arial;sans-serif" w:hAnsi="Arial;sans-serif"/>
          <w:b w:val="false"/>
          <w:color w:val="000000"/>
          <w:sz w:val="20"/>
        </w:rPr>
        <w:t>prior to such time, the Board approved either the business combination or the transaction which resulted in the stockholder becoming an interested stockholder, or</w:t>
      </w:r>
    </w:p>
    <w:p>
      <w:pPr>
        <w:pStyle w:val="TextBody"/>
        <w:bidi w:val="0"/>
        <w:spacing w:lineRule="auto" w:line="240" w:before="0" w:after="180"/>
        <w:ind w:left="0" w:right="0" w:firstLine="2440"/>
        <w:jc w:val="left"/>
        <w:rPr/>
      </w:pPr>
      <w:r>
        <w:rPr>
          <w:rFonts w:ascii="Arial;sans-serif" w:hAnsi="Arial;sans-serif"/>
          <w:b w:val="false"/>
          <w:color w:val="000000"/>
          <w:sz w:val="20"/>
        </w:rPr>
        <w:t>(ii)</w:t>
      </w:r>
      <w:r>
        <w:rPr>
          <w:rFonts w:ascii="Arial;sans-serif" w:hAnsi="Arial;sans-serif"/>
          <w:b w:val="false"/>
          <w:color w:val="000000"/>
          <w:sz w:val="20"/>
        </w:rPr>
        <w:t>upon consummation of the transaction which resulted in the stockholder becoming an interested stockholder, the interested stockholder owned at least eighty-five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or (ii) employee stock plans in which employee participants do not have the right to determine confidentially whether shares held subject to the plan will be tendered in a tender or exchange offer, or</w:t>
      </w:r>
    </w:p>
    <w:p>
      <w:pPr>
        <w:pStyle w:val="TextBody"/>
        <w:bidi w:val="0"/>
        <w:spacing w:lineRule="auto" w:line="240" w:before="0" w:after="180"/>
        <w:ind w:left="0" w:right="0" w:firstLine="2440"/>
        <w:jc w:val="left"/>
        <w:rPr/>
      </w:pPr>
      <w:r>
        <w:rPr>
          <w:rFonts w:ascii="Arial;sans-serif" w:hAnsi="Arial;sans-serif"/>
          <w:b w:val="false"/>
          <w:color w:val="000000"/>
          <w:sz w:val="20"/>
        </w:rPr>
        <w:t>(iii)</w:t>
      </w:r>
      <w:r>
        <w:rPr>
          <w:rFonts w:ascii="Arial;sans-serif" w:hAnsi="Arial;sans-serif"/>
          <w:b w:val="false"/>
          <w:color w:val="000000"/>
          <w:sz w:val="20"/>
        </w:rPr>
        <w:t>at or subsequent to such time, the business combination is approved by the Board and authorized at an annual or special meeting of stockholders, and not by written consent, by the affirmative vote of at least two thirds of the outstanding voting stock of the Corporation which is not owned by the interested stockholder.</w:t>
      </w:r>
    </w:p>
    <w:p>
      <w:pPr>
        <w:pStyle w:val="TextBody"/>
        <w:bidi w:val="0"/>
        <w:spacing w:lineRule="auto" w:line="240" w:before="0" w:after="180"/>
        <w:ind w:left="0" w:right="0" w:firstLine="1800"/>
        <w:jc w:val="left"/>
        <w:rPr/>
      </w:pPr>
      <w:r>
        <w:rPr>
          <w:rFonts w:ascii="Arial;sans-serif" w:hAnsi="Arial;sans-serif"/>
          <w:b w:val="false"/>
          <w:color w:val="000000"/>
          <w:sz w:val="20"/>
        </w:rPr>
        <w:t>9.3</w:t>
      </w:r>
      <w:r>
        <w:rPr>
          <w:rFonts w:ascii="Arial;sans-serif" w:hAnsi="Arial;sans-serif"/>
          <w:b w:val="false"/>
          <w:color w:val="000000"/>
          <w:sz w:val="20"/>
          <w:u w:val="single"/>
        </w:rPr>
        <w:t>Definitions</w:t>
      </w:r>
      <w:r>
        <w:rPr>
          <w:rFonts w:ascii="Arial;sans-serif" w:hAnsi="Arial;sans-serif"/>
          <w:b w:val="false"/>
          <w:color w:val="000000"/>
          <w:sz w:val="20"/>
        </w:rPr>
        <w:t>. For purposes of this Article 9:</w:t>
      </w:r>
    </w:p>
    <w:p>
      <w:pPr>
        <w:pStyle w:val="TextBody"/>
        <w:bidi w:val="0"/>
        <w:spacing w:lineRule="auto" w:line="240" w:before="0" w:after="180"/>
        <w:ind w:left="0" w:right="0" w:firstLine="2440"/>
        <w:jc w:val="left"/>
        <w:rPr/>
      </w:pPr>
      <w:r>
        <w:rPr>
          <w:rFonts w:ascii="Arial;sans-serif" w:hAnsi="Arial;sans-serif"/>
          <w:b w:val="false"/>
          <w:color w:val="000000"/>
          <w:sz w:val="20"/>
        </w:rPr>
        <w:t>(i)</w:t>
      </w:r>
      <w:r>
        <w:rPr>
          <w:color w:val="000000"/>
        </w:rPr>
        <w:t>“</w:t>
      </w:r>
      <w:r>
        <w:rPr>
          <w:rFonts w:ascii="Arial;sans-serif" w:hAnsi="Arial;sans-serif"/>
          <w:b w:val="false"/>
          <w:color w:val="000000"/>
          <w:sz w:val="20"/>
          <w:u w:val="single"/>
        </w:rPr>
        <w:t>affiliate</w:t>
      </w:r>
      <w:r>
        <w:rPr>
          <w:color w:val="000000"/>
        </w:rPr>
        <w:t xml:space="preserve">” </w:t>
      </w:r>
      <w:r>
        <w:rPr>
          <w:rFonts w:ascii="Arial;sans-serif" w:hAnsi="Arial;sans-serif"/>
          <w:b w:val="false"/>
          <w:color w:val="000000"/>
          <w:sz w:val="20"/>
        </w:rPr>
        <w:t>means a person that directly, or indirectly through one or more intermediaries, controls, or is controlled by, or is under common control with, another person.</w:t>
      </w:r>
    </w:p>
    <w:p>
      <w:pPr>
        <w:pStyle w:val="TextBody"/>
        <w:bidi w:val="0"/>
        <w:spacing w:lineRule="auto" w:line="240" w:before="0" w:after="180"/>
        <w:ind w:left="0" w:right="0" w:firstLine="2440"/>
        <w:jc w:val="left"/>
        <w:rPr/>
      </w:pPr>
      <w:r>
        <w:rPr>
          <w:rFonts w:ascii="Arial;sans-serif" w:hAnsi="Arial;sans-serif"/>
          <w:b w:val="false"/>
          <w:color w:val="000000"/>
          <w:sz w:val="20"/>
        </w:rPr>
        <w:t>(ii)</w:t>
      </w:r>
      <w:r>
        <w:rPr>
          <w:color w:val="000000"/>
        </w:rPr>
        <w:t>“</w:t>
      </w:r>
      <w:r>
        <w:rPr>
          <w:rFonts w:ascii="Arial;sans-serif" w:hAnsi="Arial;sans-serif"/>
          <w:b w:val="false"/>
          <w:color w:val="000000"/>
          <w:sz w:val="20"/>
          <w:u w:val="single"/>
        </w:rPr>
        <w:t>associate</w:t>
      </w:r>
      <w:r>
        <w:rPr>
          <w:rFonts w:ascii="Arial;sans-serif" w:hAnsi="Arial;sans-serif"/>
          <w:b w:val="false"/>
          <w:color w:val="000000"/>
          <w:sz w:val="20"/>
        </w:rPr>
        <w:t>,” when used to indicate a relationship with any person, means: (i) any corporation, partnership, unincorporated association or other entity of which such person is a director, officer or partner or is, directly or indirectly, the owner of twenty- percent (20%) or more of any class of voting stock; (ii) any trust or other estate in which such person has at least a twenty-percent (20%) beneficial interest or as to which such person serves as trustee or in a similar fiduciary capacity; and (iii) any relative or spouse of such person, or any relative of such spouse, who has the same residence as such person.</w:t>
      </w:r>
    </w:p>
    <w:p>
      <w:pPr>
        <w:pStyle w:val="TextBody"/>
        <w:bidi w:val="0"/>
        <w:spacing w:lineRule="auto" w:line="240" w:before="0" w:after="180"/>
        <w:ind w:left="0" w:right="0" w:firstLine="2440"/>
        <w:jc w:val="left"/>
        <w:rPr/>
      </w:pPr>
      <w:r>
        <w:rPr>
          <w:rFonts w:ascii="Arial;sans-serif" w:hAnsi="Arial;sans-serif"/>
          <w:b w:val="false"/>
          <w:color w:val="000000"/>
          <w:sz w:val="20"/>
        </w:rPr>
        <w:t>(iii)</w:t>
      </w:r>
      <w:r>
        <w:rPr>
          <w:color w:val="000000"/>
        </w:rPr>
        <w:t xml:space="preserve"> “</w:t>
      </w:r>
      <w:r>
        <w:rPr>
          <w:rFonts w:ascii="Arial;sans-serif" w:hAnsi="Arial;sans-serif"/>
          <w:b w:val="false"/>
          <w:color w:val="000000"/>
          <w:sz w:val="20"/>
          <w:u w:val="single"/>
        </w:rPr>
        <w:t>business combination</w:t>
      </w:r>
      <w:r>
        <w:rPr>
          <w:rFonts w:ascii="Arial;sans-serif" w:hAnsi="Arial;sans-serif"/>
          <w:b w:val="false"/>
          <w:color w:val="000000"/>
          <w:sz w:val="20"/>
        </w:rPr>
        <w:t>,” when used in reference to the Corporation and any interested stockholder, means:</w:t>
      </w:r>
    </w:p>
    <w:p>
      <w:pPr>
        <w:pStyle w:val="TextBody"/>
        <w:bidi w:val="0"/>
        <w:spacing w:lineRule="auto" w:line="240" w:before="0" w:after="180"/>
        <w:ind w:left="0" w:right="0" w:firstLine="3060"/>
        <w:jc w:val="left"/>
        <w:rPr/>
      </w:pPr>
      <w:r>
        <w:rPr>
          <w:rFonts w:ascii="Arial;sans-serif" w:hAnsi="Arial;sans-serif"/>
          <w:b w:val="false"/>
          <w:color w:val="000000"/>
          <w:sz w:val="20"/>
        </w:rPr>
        <w:t>(1)</w:t>
      </w:r>
      <w:r>
        <w:rPr>
          <w:rFonts w:ascii="Arial;sans-serif" w:hAnsi="Arial;sans-serif"/>
          <w:b w:val="false"/>
          <w:color w:val="000000"/>
          <w:sz w:val="20"/>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9.2 is not applicable to the surviving entity;</w:t>
      </w:r>
    </w:p>
    <w:p>
      <w:pPr>
        <w:pStyle w:val="TextBody"/>
        <w:bidi w:val="0"/>
        <w:spacing w:lineRule="auto" w:line="240" w:before="0" w:after="180"/>
        <w:ind w:left="0" w:right="0" w:firstLine="3060"/>
        <w:jc w:val="left"/>
        <w:rPr/>
      </w:pPr>
      <w:r>
        <w:rPr>
          <w:rFonts w:ascii="Arial;sans-serif" w:hAnsi="Arial;sans-serif"/>
          <w:b w:val="false"/>
          <w:color w:val="000000"/>
          <w:sz w:val="20"/>
        </w:rPr>
        <w:t>(2)</w:t>
      </w:r>
      <w:r>
        <w:rPr>
          <w:rFonts w:ascii="Arial;sans-serif" w:hAnsi="Arial;sans-serif"/>
          <w:b w:val="false"/>
          <w:color w:val="000000"/>
          <w:sz w:val="20"/>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pStyle w:val="TextBody"/>
        <w:bidi w:val="0"/>
        <w:spacing w:lineRule="auto" w:line="240" w:before="0" w:after="200"/>
        <w:ind w:left="0" w:right="0" w:firstLine="3040"/>
        <w:jc w:val="left"/>
        <w:rPr/>
      </w:pPr>
      <w:r>
        <w:rPr>
          <w:rFonts w:ascii="Arial;sans-serif" w:hAnsi="Arial;sans-serif"/>
          <w:b w:val="false"/>
          <w:color w:val="000000"/>
          <w:sz w:val="20"/>
        </w:rPr>
        <w:t>(3)</w:t>
      </w:r>
      <w:r>
        <w:rPr>
          <w:rFonts w:ascii="Arial;sans-serif" w:hAnsi="Arial;sans-serif"/>
          <w:b w:val="false"/>
          <w:color w:val="000000"/>
          <w:sz w:val="20"/>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General Corporation Law;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in no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left"/>
        <w:rPr>
          <w:rFonts w:ascii="Arial;sans-serif" w:hAnsi="Arial;sans-serif"/>
          <w:b w:val="false"/>
          <w:color w:val="000000"/>
          <w:sz w:val="20"/>
        </w:rPr>
      </w:pPr>
      <w:r>
        <w:rPr>
          <w:rFonts w:ascii="Arial;sans-serif" w:hAnsi="Arial;sans-serif"/>
          <w:b w:val="false"/>
          <w:color w:val="000000"/>
          <w:sz w:val="20"/>
        </w:rPr>
        <w:t>case under items (c)-(e) of this subsection (3) shall there be an increase in the interested stockholder’s proportionate share of the stock of any class or series of the Corporation or of the voting stock of the Corporation (except as a result of immaterial changes due to fractional share adjustments);</w:t>
      </w:r>
    </w:p>
    <w:p>
      <w:pPr>
        <w:pStyle w:val="TextBody"/>
        <w:bidi w:val="0"/>
        <w:spacing w:lineRule="auto" w:line="240" w:before="0" w:after="200"/>
        <w:ind w:left="0" w:right="0" w:firstLine="3040"/>
        <w:jc w:val="left"/>
        <w:rPr/>
      </w:pPr>
      <w:r>
        <w:rPr>
          <w:rFonts w:ascii="Arial;sans-serif" w:hAnsi="Arial;sans-serif"/>
          <w:b w:val="false"/>
          <w:color w:val="000000"/>
          <w:sz w:val="20"/>
        </w:rPr>
        <w:t>(4)</w:t>
      </w:r>
      <w:r>
        <w:rPr>
          <w:rFonts w:ascii="Arial;sans-serif" w:hAnsi="Arial;sans-serif"/>
          <w:b w:val="false"/>
          <w:color w:val="000000"/>
          <w:sz w:val="20"/>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pStyle w:val="TextBody"/>
        <w:bidi w:val="0"/>
        <w:spacing w:lineRule="auto" w:line="240" w:before="0" w:after="200"/>
        <w:ind w:left="0" w:right="0" w:firstLine="3040"/>
        <w:jc w:val="left"/>
        <w:rPr/>
      </w:pPr>
      <w:r>
        <w:rPr>
          <w:rFonts w:ascii="Arial;sans-serif" w:hAnsi="Arial;sans-serif"/>
          <w:b w:val="false"/>
          <w:color w:val="000000"/>
          <w:sz w:val="20"/>
        </w:rPr>
        <w:t>(5)</w:t>
      </w:r>
      <w:r>
        <w:rPr>
          <w:rFonts w:ascii="Arial;sans-serif" w:hAnsi="Arial;sans-serif"/>
          <w:b w:val="false"/>
          <w:color w:val="000000"/>
          <w:sz w:val="20"/>
        </w:rPr>
        <w:t>any receipt by the interested stockholder of the benefit, directly or indirectly (except proportionately as a stockholder of the Corporation), of any loans, advances, guarantees, pledges, or other financial benefits (other than those expressly permitted in subsections (1)-(4) above) provided by or through the Corporation or any direct or indirect majority-owned subsidiary.</w:t>
      </w:r>
    </w:p>
    <w:p>
      <w:pPr>
        <w:pStyle w:val="TextBody"/>
        <w:bidi w:val="0"/>
        <w:spacing w:lineRule="auto" w:line="240" w:before="0" w:after="180"/>
        <w:ind w:left="0" w:right="0" w:firstLine="2440"/>
        <w:jc w:val="left"/>
        <w:rPr/>
      </w:pPr>
      <w:r>
        <w:rPr>
          <w:rFonts w:ascii="Arial;sans-serif" w:hAnsi="Arial;sans-serif"/>
          <w:b w:val="false"/>
          <w:color w:val="000000"/>
          <w:sz w:val="20"/>
        </w:rPr>
        <w:t>(iv)</w:t>
      </w:r>
      <w:r>
        <w:rPr>
          <w:color w:val="000000"/>
        </w:rPr>
        <w:t xml:space="preserve"> “</w:t>
      </w:r>
      <w:r>
        <w:rPr>
          <w:rFonts w:ascii="Arial;sans-serif" w:hAnsi="Arial;sans-serif"/>
          <w:b w:val="false"/>
          <w:color w:val="000000"/>
          <w:sz w:val="20"/>
          <w:u w:val="single"/>
        </w:rPr>
        <w:t>control</w:t>
      </w:r>
      <w:r>
        <w:rPr>
          <w:rFonts w:ascii="Arial;sans-serif" w:hAnsi="Arial;sans-serif"/>
          <w:b w:val="false"/>
          <w:color w:val="000000"/>
          <w:sz w:val="20"/>
        </w:rPr>
        <w:t>,” including the terms “</w:t>
      </w:r>
      <w:r>
        <w:rPr>
          <w:rFonts w:ascii="Arial;sans-serif" w:hAnsi="Arial;sans-serif"/>
          <w:b w:val="false"/>
          <w:color w:val="000000"/>
          <w:sz w:val="20"/>
          <w:u w:val="single"/>
        </w:rPr>
        <w:t>controlling</w:t>
      </w:r>
      <w:r>
        <w:rPr>
          <w:rFonts w:ascii="Arial;sans-serif" w:hAnsi="Arial;sans-serif"/>
          <w:b w:val="false"/>
          <w:color w:val="000000"/>
          <w:sz w:val="20"/>
        </w:rPr>
        <w:t>,” “</w:t>
      </w:r>
      <w:r>
        <w:rPr>
          <w:rFonts w:ascii="Arial;sans-serif" w:hAnsi="Arial;sans-serif"/>
          <w:b w:val="false"/>
          <w:color w:val="000000"/>
          <w:sz w:val="20"/>
          <w:u w:val="single"/>
        </w:rPr>
        <w:t>controlled by</w:t>
      </w:r>
      <w:r>
        <w:rPr>
          <w:color w:val="000000"/>
        </w:rPr>
        <w:t xml:space="preserve">” </w:t>
      </w:r>
      <w:r>
        <w:rPr>
          <w:rFonts w:ascii="Arial;sans-serif" w:hAnsi="Arial;sans-serif"/>
          <w:b w:val="false"/>
          <w:color w:val="000000"/>
          <w:sz w:val="20"/>
        </w:rPr>
        <w:t>and “</w:t>
      </w:r>
      <w:r>
        <w:rPr>
          <w:rFonts w:ascii="Arial;sans-serif" w:hAnsi="Arial;sans-serif"/>
          <w:b w:val="false"/>
          <w:color w:val="000000"/>
          <w:sz w:val="20"/>
          <w:u w:val="single"/>
        </w:rPr>
        <w:t>under common control with</w:t>
      </w:r>
      <w:r>
        <w:rPr>
          <w:rFonts w:ascii="Arial;sans-serif" w:hAnsi="Arial;sans-serif"/>
          <w:b w:val="false"/>
          <w:color w:val="000000"/>
          <w:sz w:val="20"/>
        </w:rPr>
        <w:t>,” means the possession, directly or indirectly, of the power to direct or cause the direction of the management and policies of a person, whether through the ownership of voting stock, by contract, or otherwise. A person who is the owner of twenty percent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9, as an agent, bank, broker, nominee, custodian or trustee for one or more owners who do not individually or as a group have control of such entity.</w:t>
      </w:r>
    </w:p>
    <w:p>
      <w:pPr>
        <w:pStyle w:val="TextBody"/>
        <w:bidi w:val="0"/>
        <w:spacing w:lineRule="auto" w:line="240" w:before="0" w:after="180"/>
        <w:ind w:left="0" w:right="0" w:firstLine="2440"/>
        <w:jc w:val="left"/>
        <w:rPr/>
      </w:pPr>
      <w:r>
        <w:rPr>
          <w:rFonts w:ascii="Arial;sans-serif" w:hAnsi="Arial;sans-serif"/>
          <w:b w:val="false"/>
          <w:color w:val="000000"/>
          <w:sz w:val="20"/>
        </w:rPr>
        <w:t>(v)</w:t>
      </w:r>
      <w:r>
        <w:rPr>
          <w:color w:val="000000"/>
        </w:rPr>
        <w:t>“</w:t>
      </w:r>
      <w:r>
        <w:rPr>
          <w:rFonts w:ascii="Arial;sans-serif" w:hAnsi="Arial;sans-serif"/>
          <w:b w:val="false"/>
          <w:color w:val="000000"/>
          <w:sz w:val="20"/>
          <w:u w:val="single"/>
        </w:rPr>
        <w:t>interested stockholder</w:t>
      </w:r>
      <w:r>
        <w:rPr>
          <w:color w:val="000000"/>
        </w:rPr>
        <w:t xml:space="preserve">” </w:t>
      </w:r>
      <w:r>
        <w:rPr>
          <w:rFonts w:ascii="Arial;sans-serif" w:hAnsi="Arial;sans-serif"/>
          <w:b w:val="false"/>
          <w:color w:val="000000"/>
          <w:sz w:val="20"/>
        </w:rPr>
        <w:t xml:space="preserve">means any person (other than the Corporation or any direct or indirect majority- owned subsidiary of the Corporation) that (i) is the owner of fifteen percent (15%) or more of the outstanding voting stock of the Corporation, or (ii) is an affiliate or associate of the Corporation and was the owner of fifteen percent (15%) or more of the outstanding voting stock of the Corporation at any time within the three (3) year period immediately prior to the date on which it is sought to be determined whether such person is an interested stockholder, and the affiliates and associates of such person;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the term “interested stockholder” shall not include (a) the Principal Stockholders or Principal Stockholder transferees or (b) any person whose ownership of shares in excess of the fifteen percent (15%) limitation set forth herein is the result of any action taken solely by the Corporation; </w:t>
      </w:r>
      <w:r>
        <w:rPr>
          <w:rFonts w:ascii="Arial;sans-serif" w:hAnsi="Arial;sans-serif"/>
          <w:b w:val="false"/>
          <w:color w:val="000000"/>
          <w:sz w:val="20"/>
          <w:u w:val="single"/>
        </w:rPr>
        <w:t>provided</w:t>
      </w:r>
      <w:r>
        <w:rPr>
          <w:color w:val="000000"/>
        </w:rPr>
        <w:t xml:space="preserve"> </w:t>
      </w:r>
      <w:r>
        <w:rPr>
          <w:rFonts w:ascii="Arial;sans-serif" w:hAnsi="Arial;sans-serif"/>
          <w:b w:val="false"/>
          <w:color w:val="000000"/>
          <w:sz w:val="20"/>
        </w:rPr>
        <w:t>that such person specified in this clause (b)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pStyle w:val="TextBody"/>
        <w:bidi w:val="0"/>
        <w:spacing w:lineRule="auto" w:line="240" w:before="0" w:after="180"/>
        <w:ind w:left="0" w:right="0" w:firstLine="2440"/>
        <w:jc w:val="left"/>
        <w:rPr/>
      </w:pPr>
      <w:r>
        <w:rPr>
          <w:rFonts w:ascii="Arial;sans-serif" w:hAnsi="Arial;sans-serif"/>
          <w:b w:val="false"/>
          <w:color w:val="000000"/>
          <w:sz w:val="20"/>
        </w:rPr>
        <w:t>(vi)</w:t>
      </w:r>
      <w:r>
        <w:rPr>
          <w:color w:val="000000"/>
        </w:rPr>
        <w:t>“</w:t>
      </w:r>
      <w:r>
        <w:rPr>
          <w:rFonts w:ascii="Arial;sans-serif" w:hAnsi="Arial;sans-serif"/>
          <w:b w:val="false"/>
          <w:color w:val="000000"/>
          <w:sz w:val="20"/>
          <w:u w:val="single"/>
        </w:rPr>
        <w:t>owner</w:t>
      </w:r>
      <w:r>
        <w:rPr>
          <w:rFonts w:ascii="Arial;sans-serif" w:hAnsi="Arial;sans-serif"/>
          <w:b w:val="false"/>
          <w:color w:val="000000"/>
          <w:sz w:val="20"/>
        </w:rPr>
        <w:t>,” including the terms “</w:t>
      </w:r>
      <w:r>
        <w:rPr>
          <w:rFonts w:ascii="Arial;sans-serif" w:hAnsi="Arial;sans-serif"/>
          <w:b w:val="false"/>
          <w:color w:val="000000"/>
          <w:sz w:val="20"/>
          <w:u w:val="single"/>
        </w:rPr>
        <w:t>own</w:t>
      </w:r>
      <w:r>
        <w:rPr>
          <w:color w:val="000000"/>
        </w:rPr>
        <w:t xml:space="preserve">” </w:t>
      </w:r>
      <w:r>
        <w:rPr>
          <w:rFonts w:ascii="Arial;sans-serif" w:hAnsi="Arial;sans-serif"/>
          <w:b w:val="false"/>
          <w:color w:val="000000"/>
          <w:sz w:val="20"/>
        </w:rPr>
        <w:t>and “</w:t>
      </w:r>
      <w:r>
        <w:rPr>
          <w:rFonts w:ascii="Arial;sans-serif" w:hAnsi="Arial;sans-serif"/>
          <w:b w:val="false"/>
          <w:color w:val="000000"/>
          <w:sz w:val="20"/>
          <w:u w:val="single"/>
        </w:rPr>
        <w:t>owned</w:t>
      </w:r>
      <w:r>
        <w:rPr>
          <w:rFonts w:ascii="Arial;sans-serif" w:hAnsi="Arial;sans-serif"/>
          <w:b w:val="false"/>
          <w:color w:val="000000"/>
          <w:sz w:val="20"/>
        </w:rPr>
        <w:t>,” when used with respect to any stock, means a person that individually or with or through any of its affiliates or associates:</w:t>
      </w:r>
    </w:p>
    <w:p>
      <w:pPr>
        <w:pStyle w:val="TextBody"/>
        <w:bidi w:val="0"/>
        <w:spacing w:lineRule="auto" w:line="240" w:before="0" w:after="200"/>
        <w:ind w:left="0" w:right="0" w:firstLine="3040"/>
        <w:jc w:val="left"/>
        <w:rPr/>
      </w:pPr>
      <w:r>
        <w:rPr>
          <w:rFonts w:ascii="Arial;sans-serif" w:hAnsi="Arial;sans-serif"/>
          <w:b w:val="false"/>
          <w:color w:val="000000"/>
          <w:sz w:val="20"/>
        </w:rPr>
        <w:t>(1)</w:t>
      </w:r>
      <w:r>
        <w:rPr>
          <w:rFonts w:ascii="Arial;sans-serif" w:hAnsi="Arial;sans-serif"/>
          <w:b w:val="false"/>
          <w:color w:val="000000"/>
          <w:sz w:val="20"/>
        </w:rPr>
        <w:t>beneficially owns such stock, directly or indirectly; or</w:t>
      </w:r>
    </w:p>
    <w:p>
      <w:pPr>
        <w:pStyle w:val="TextBody"/>
        <w:bidi w:val="0"/>
        <w:spacing w:lineRule="auto" w:line="240" w:before="0" w:after="200"/>
        <w:ind w:left="0" w:right="0" w:firstLine="3040"/>
        <w:jc w:val="left"/>
        <w:rPr/>
      </w:pPr>
      <w:r>
        <w:rPr>
          <w:rFonts w:ascii="Arial;sans-serif" w:hAnsi="Arial;sans-serif"/>
          <w:b w:val="false"/>
          <w:color w:val="000000"/>
          <w:sz w:val="20"/>
        </w:rPr>
        <w:t>(2)</w:t>
      </w:r>
      <w:r>
        <w:rPr>
          <w:rFonts w:ascii="Arial;sans-serif" w:hAnsi="Arial;sans-serif"/>
          <w:b w:val="false"/>
          <w:color w:val="000000"/>
          <w:sz w:val="20"/>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pStyle w:val="TextBody"/>
        <w:bidi w:val="0"/>
        <w:spacing w:lineRule="auto" w:line="240" w:before="0" w:after="200"/>
        <w:ind w:left="0" w:right="0" w:firstLine="3040"/>
        <w:jc w:val="left"/>
        <w:rPr/>
      </w:pPr>
      <w:r>
        <w:rPr>
          <w:rFonts w:ascii="Arial;sans-serif" w:hAnsi="Arial;sans-serif"/>
          <w:b w:val="false"/>
          <w:color w:val="000000"/>
          <w:sz w:val="20"/>
        </w:rPr>
        <w:t>(3)</w:t>
      </w:r>
      <w:r>
        <w:rPr>
          <w:rFonts w:ascii="Arial;sans-serif" w:hAnsi="Arial;sans-serif"/>
          <w:b w:val="false"/>
          <w:color w:val="000000"/>
          <w:sz w:val="20"/>
        </w:rPr>
        <w:t>has any agreement, arrangement or understanding for the purpose of acquiring, holding, voting (except voting pursuant to a revocable proxy or consent as described in item (b) of subsection (2) above), or disposing of such stock with any other person that beneficially owns, or whose affiliates or associates beneficially own, directly or indirectly, such stock.</w:t>
      </w:r>
    </w:p>
    <w:p>
      <w:pPr>
        <w:pStyle w:val="TextBody"/>
        <w:bidi w:val="0"/>
        <w:spacing w:lineRule="auto" w:line="240" w:before="0" w:after="180"/>
        <w:ind w:left="0" w:right="0" w:firstLine="2440"/>
        <w:jc w:val="left"/>
        <w:rPr/>
      </w:pPr>
      <w:r>
        <w:rPr>
          <w:rFonts w:ascii="Arial;sans-serif" w:hAnsi="Arial;sans-serif"/>
          <w:b w:val="false"/>
          <w:color w:val="000000"/>
          <w:sz w:val="20"/>
        </w:rPr>
        <w:t>(vii)</w:t>
      </w:r>
      <w:r>
        <w:rPr>
          <w:color w:val="000000"/>
        </w:rPr>
        <w:t>“</w:t>
      </w:r>
      <w:r>
        <w:rPr>
          <w:rFonts w:ascii="Arial;sans-serif" w:hAnsi="Arial;sans-serif"/>
          <w:b w:val="false"/>
          <w:color w:val="000000"/>
          <w:sz w:val="20"/>
          <w:u w:val="single"/>
        </w:rPr>
        <w:t>person</w:t>
      </w:r>
      <w:r>
        <w:rPr>
          <w:color w:val="000000"/>
        </w:rPr>
        <w:t xml:space="preserve">” </w:t>
      </w:r>
      <w:r>
        <w:rPr>
          <w:rFonts w:ascii="Arial;sans-serif" w:hAnsi="Arial;sans-serif"/>
          <w:b w:val="false"/>
          <w:color w:val="000000"/>
          <w:sz w:val="20"/>
        </w:rPr>
        <w:t>means any individual, corporation, partnership, unincorporated association or other entity.</w:t>
      </w:r>
    </w:p>
    <w:p>
      <w:pPr>
        <w:pStyle w:val="TextBody"/>
        <w:bidi w:val="0"/>
        <w:spacing w:lineRule="auto" w:line="240" w:before="0" w:after="180"/>
        <w:ind w:left="0" w:right="0" w:firstLine="2440"/>
        <w:jc w:val="left"/>
        <w:rPr/>
      </w:pPr>
      <w:r>
        <w:rPr>
          <w:rFonts w:ascii="Arial;sans-serif" w:hAnsi="Arial;sans-serif"/>
          <w:b w:val="false"/>
          <w:color w:val="000000"/>
          <w:sz w:val="20"/>
        </w:rPr>
        <w:t>(viii)</w:t>
      </w:r>
      <w:r>
        <w:rPr>
          <w:color w:val="000000"/>
        </w:rPr>
        <w:t>“</w:t>
      </w:r>
      <w:r>
        <w:rPr>
          <w:rFonts w:ascii="Arial;sans-serif" w:hAnsi="Arial;sans-serif"/>
          <w:b w:val="false"/>
          <w:color w:val="000000"/>
          <w:sz w:val="20"/>
          <w:u w:val="single"/>
        </w:rPr>
        <w:t>stock</w:t>
      </w:r>
      <w:r>
        <w:rPr>
          <w:color w:val="000000"/>
        </w:rPr>
        <w:t xml:space="preserve">” </w:t>
      </w:r>
      <w:r>
        <w:rPr>
          <w:rFonts w:ascii="Arial;sans-serif" w:hAnsi="Arial;sans-serif"/>
          <w:b w:val="false"/>
          <w:color w:val="000000"/>
          <w:sz w:val="20"/>
        </w:rPr>
        <w:t>means, with respect to any corporation, capital stock and, with respect to any other entity, any equity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ind w:left="0" w:right="0" w:firstLine="2440"/>
        <w:jc w:val="left"/>
        <w:rPr/>
      </w:pPr>
      <w:r>
        <w:rPr>
          <w:rFonts w:ascii="Arial;sans-serif" w:hAnsi="Arial;sans-serif"/>
          <w:b w:val="false"/>
          <w:color w:val="000000"/>
          <w:sz w:val="20"/>
        </w:rPr>
        <w:t>(ix)</w:t>
      </w:r>
      <w:r>
        <w:rPr>
          <w:color w:val="000000"/>
        </w:rPr>
        <w:t xml:space="preserve"> “</w:t>
      </w:r>
      <w:r>
        <w:rPr>
          <w:rFonts w:ascii="Arial;sans-serif" w:hAnsi="Arial;sans-serif"/>
          <w:b w:val="false"/>
          <w:color w:val="000000"/>
          <w:sz w:val="20"/>
          <w:u w:val="single"/>
        </w:rPr>
        <w:t>Principal Stockholder transferee</w:t>
      </w:r>
      <w:r>
        <w:rPr>
          <w:color w:val="000000"/>
        </w:rPr>
        <w:t xml:space="preserve">” </w:t>
      </w:r>
      <w:r>
        <w:rPr>
          <w:rFonts w:ascii="Arial;sans-serif" w:hAnsi="Arial;sans-serif"/>
          <w:b w:val="false"/>
          <w:color w:val="000000"/>
          <w:sz w:val="20"/>
        </w:rPr>
        <w:t>means any Person who acquires voting stock of the Corporation from a Principal Stockholder (other than in connection with a public offering) and who is designated in writing by such Principal Stockholder as a “Principal Stockholder transferee.”</w:t>
      </w:r>
    </w:p>
    <w:p>
      <w:pPr>
        <w:pStyle w:val="TextBody"/>
        <w:bidi w:val="0"/>
        <w:spacing w:lineRule="auto" w:line="240" w:before="0" w:after="180"/>
        <w:ind w:left="0" w:right="0" w:firstLine="2440"/>
        <w:jc w:val="left"/>
        <w:rPr/>
      </w:pPr>
      <w:r>
        <w:rPr>
          <w:rFonts w:ascii="Arial;sans-serif" w:hAnsi="Arial;sans-serif"/>
          <w:b w:val="false"/>
          <w:color w:val="000000"/>
          <w:sz w:val="20"/>
        </w:rPr>
        <w:t>(x)</w:t>
      </w:r>
      <w:r>
        <w:rPr>
          <w:color w:val="000000"/>
        </w:rPr>
        <w:t>“</w:t>
      </w:r>
      <w:r>
        <w:rPr>
          <w:rFonts w:ascii="Arial;sans-serif" w:hAnsi="Arial;sans-serif"/>
          <w:b w:val="false"/>
          <w:color w:val="000000"/>
          <w:sz w:val="20"/>
          <w:u w:val="single"/>
        </w:rPr>
        <w:t>voting stock</w:t>
      </w:r>
      <w:r>
        <w:rPr>
          <w:color w:val="000000"/>
        </w:rPr>
        <w:t xml:space="preserve">” </w:t>
      </w:r>
      <w:r>
        <w:rPr>
          <w:rFonts w:ascii="Arial;sans-serif" w:hAnsi="Arial;sans-serif"/>
          <w:b w:val="false"/>
          <w:color w:val="000000"/>
          <w:sz w:val="20"/>
        </w:rPr>
        <w:t>means stock of any class or series entitled to vote generally in the election of directors.</w:t>
      </w:r>
    </w:p>
    <w:p>
      <w:pPr>
        <w:pStyle w:val="TextBody"/>
        <w:bidi w:val="0"/>
        <w:spacing w:lineRule="auto" w:line="240" w:before="180" w:after="180"/>
        <w:ind w:left="0" w:right="0" w:firstLine="1080"/>
        <w:jc w:val="left"/>
        <w:rPr/>
      </w:pPr>
      <w:r>
        <w:rPr>
          <w:rFonts w:ascii="Arial;sans-serif" w:hAnsi="Arial;sans-serif"/>
          <w:b w:val="false"/>
          <w:color w:val="000000"/>
          <w:sz w:val="20"/>
        </w:rPr>
        <w:t>10.</w:t>
      </w:r>
      <w:r>
        <w:rPr>
          <w:rFonts w:ascii="Arial;sans-serif" w:hAnsi="Arial;sans-serif"/>
          <w:b w:val="false"/>
          <w:color w:val="000000"/>
          <w:sz w:val="20"/>
          <w:u w:val="single"/>
        </w:rPr>
        <w:t>Corporate Opportunities</w:t>
      </w:r>
      <w:r>
        <w:rPr>
          <w:rFonts w:ascii="Arial;sans-serif" w:hAnsi="Arial;sans-serif"/>
          <w:b w:val="false"/>
          <w:color w:val="000000"/>
          <w:sz w:val="20"/>
        </w:rPr>
        <w:t>.</w:t>
      </w:r>
    </w:p>
    <w:p>
      <w:pPr>
        <w:pStyle w:val="TextBody"/>
        <w:bidi w:val="0"/>
        <w:spacing w:lineRule="auto" w:line="240" w:before="0" w:after="180"/>
        <w:ind w:left="0" w:right="0" w:firstLine="1800"/>
        <w:jc w:val="left"/>
        <w:rPr/>
      </w:pPr>
      <w:r>
        <w:rPr>
          <w:rFonts w:ascii="Arial;sans-serif" w:hAnsi="Arial;sans-serif"/>
          <w:b w:val="false"/>
          <w:color w:val="000000"/>
          <w:sz w:val="20"/>
        </w:rPr>
        <w:t>10.1</w:t>
      </w:r>
      <w:r>
        <w:rPr>
          <w:rFonts w:ascii="Arial;sans-serif" w:hAnsi="Arial;sans-serif"/>
          <w:b w:val="false"/>
          <w:color w:val="000000"/>
          <w:sz w:val="20"/>
          <w:u w:val="single"/>
        </w:rPr>
        <w:t>Certain Acknowledgement</w:t>
      </w:r>
      <w:r>
        <w:rPr>
          <w:rFonts w:ascii="Arial;sans-serif" w:hAnsi="Arial;sans-serif"/>
          <w:b w:val="false"/>
          <w:color w:val="000000"/>
          <w:sz w:val="20"/>
        </w:rPr>
        <w:t>. In recognition and anticipation that, subject to certain contractual commitments entered into with the Corporation and/or its subsidiaries, (i) certain directors, principals, officers, employees and/or other representatives of investment funds or vehicles affiliated with the Principal Stockholders and their respective Affiliates may serve as directors, officers or agents of the Corporation or any of its subsidiaries, (ii) the Principal Stockholders and their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certain members of the Board who are not officers or employees of the Corporation (other than Mr. Vincent Viola) (“</w:t>
      </w:r>
      <w:r>
        <w:rPr>
          <w:rFonts w:ascii="Arial;sans-serif" w:hAnsi="Arial;sans-serif"/>
          <w:b w:val="false"/>
          <w:color w:val="000000"/>
          <w:sz w:val="20"/>
          <w:u w:val="single"/>
        </w:rPr>
        <w:t>Non-Employee Directors</w:t>
      </w:r>
      <w:r>
        <w:rPr>
          <w:color w:val="000000"/>
        </w:rPr>
        <w:t>”</w:t>
      </w:r>
      <w:r>
        <w:rPr>
          <w:rFonts w:ascii="Arial;sans-serif" w:hAnsi="Arial;sans-serif"/>
          <w:b w:val="false"/>
          <w:color w:val="000000"/>
          <w:sz w:val="20"/>
        </w:rPr>
        <w:t>)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10 are set forth to regulate and define the conduct of certain affairs of the Corporation with respect to certain classes or categories of business opportunities as they may involve any of the Principal Stockholders, certain of the Non-Employee Directors or their respective Affiliates and the powers, rights, duties and liabilities of the Corporation and its Directors, officers and stockholders in connection therewith.</w:t>
      </w:r>
    </w:p>
    <w:p>
      <w:pPr>
        <w:pStyle w:val="TextBody"/>
        <w:bidi w:val="0"/>
        <w:spacing w:lineRule="auto" w:line="240" w:before="0" w:after="180"/>
        <w:ind w:left="0" w:right="0" w:firstLine="1800"/>
        <w:jc w:val="left"/>
        <w:rPr/>
      </w:pPr>
      <w:r>
        <w:rPr>
          <w:rFonts w:ascii="Arial;sans-serif" w:hAnsi="Arial;sans-serif"/>
          <w:b w:val="false"/>
          <w:color w:val="000000"/>
          <w:sz w:val="20"/>
        </w:rPr>
        <w:t>10.2</w:t>
      </w:r>
      <w:r>
        <w:rPr>
          <w:rFonts w:ascii="Arial;sans-serif" w:hAnsi="Arial;sans-serif"/>
          <w:b w:val="false"/>
          <w:color w:val="000000"/>
          <w:sz w:val="20"/>
          <w:u w:val="single"/>
        </w:rPr>
        <w:t>Scope</w:t>
      </w:r>
      <w:r>
        <w:rPr>
          <w:rFonts w:ascii="Arial;sans-serif" w:hAnsi="Arial;sans-serif"/>
          <w:b w:val="false"/>
          <w:color w:val="000000"/>
          <w:sz w:val="20"/>
        </w:rPr>
        <w:t xml:space="preserve">. The Corporation waives, to the maximum extent permitted by law, the application of the doctrine of corporate opportunity, or any other analogous doctrine, with respect to the Corporation, to the Principal Stockholders, any Directors or any of their respective Affiliates; </w:t>
      </w:r>
      <w:r>
        <w:rPr>
          <w:rFonts w:ascii="Arial;sans-serif" w:hAnsi="Arial;sans-serif"/>
          <w:b w:val="false"/>
          <w:color w:val="000000"/>
          <w:sz w:val="20"/>
          <w:u w:val="single"/>
        </w:rPr>
        <w:t>provided</w:t>
      </w:r>
      <w:r>
        <w:rPr>
          <w:color w:val="000000"/>
        </w:rPr>
        <w:t xml:space="preserve"> </w:t>
      </w:r>
      <w:r>
        <w:rPr>
          <w:rFonts w:ascii="Arial;sans-serif" w:hAnsi="Arial;sans-serif"/>
          <w:b w:val="false"/>
          <w:color w:val="000000"/>
          <w:sz w:val="20"/>
        </w:rPr>
        <w:t>that the foregoing waiver shall not apply to Directors (other than Mr. Viola) that are officers of the Corporation and/or any of its subsidiaries (each Person entitled such waiver, an “</w:t>
      </w:r>
      <w:r>
        <w:rPr>
          <w:rFonts w:ascii="Arial;sans-serif" w:hAnsi="Arial;sans-serif"/>
          <w:b w:val="false"/>
          <w:color w:val="000000"/>
          <w:sz w:val="20"/>
          <w:u w:val="single"/>
        </w:rPr>
        <w:t>Exempted Person</w:t>
      </w:r>
      <w:r>
        <w:rPr>
          <w:color w:val="000000"/>
        </w:rPr>
        <w:t>”</w:t>
      </w:r>
      <w:r>
        <w:rPr>
          <w:rFonts w:ascii="Arial;sans-serif" w:hAnsi="Arial;sans-serif"/>
          <w:b w:val="false"/>
          <w:color w:val="000000"/>
          <w:sz w:val="20"/>
        </w:rPr>
        <w:t>). To the maximum extent permitted by law, except to the extent otherwise provided in any agreement between an Exempted Person and the Corporation and/or any of its subsidiaries, no Exempted Person shall have any obligation to refrain from (i) engaging in the same or similar activities or lines of business as the Corporation or any of its Affiliates or developing or marketing any products or services that compete, directly or indirectly, with those of the Corporation or any of its Affiliates today or in which the Corporation or any of its Affiliates proposes to engage or develop, (ii) investing or owning any interest publicly or privately in, or developing a business relationship with, any Person engaged in the same or similar activities or lines of business as, or otherwise in competition with, the Corporation or any of its Affiliates or (iii) doing business with any client or customer of the Corporation or any of its Affiliates (each of the activities referred to in clauses (i)-(iii) above, a “</w:t>
      </w:r>
      <w:r>
        <w:rPr>
          <w:rFonts w:ascii="Arial;sans-serif" w:hAnsi="Arial;sans-serif"/>
          <w:b w:val="false"/>
          <w:color w:val="000000"/>
          <w:sz w:val="20"/>
          <w:u w:val="single"/>
        </w:rPr>
        <w:t>Specified Activity</w:t>
      </w:r>
      <w:r>
        <w:rPr>
          <w:color w:val="000000"/>
        </w:rPr>
        <w:t>”</w:t>
      </w:r>
      <w:r>
        <w:rPr>
          <w:rFonts w:ascii="Arial;sans-serif" w:hAnsi="Arial;sans-serif"/>
          <w:b w:val="false"/>
          <w:color w:val="000000"/>
          <w:sz w:val="20"/>
        </w:rPr>
        <w:t>). The Corporation renounces any interest or expectancy in, or in being offered an opportunity to participate in, any Specified Activity that may be presented to or become known to any Exempted Person. Notwithstanding anything to the contrary in this Article 10, no Exempted Person shall be liable to the Corporation or its stockholders or to any Affiliate of the Corporation for breach of any fiduciary duty solely by reason of the fact that such Exempted Person engages in any of the Specified Activities. To the fullest extent permitted by law, the Corporation hereby renounces any interest or expectancy in, or right to be offered an opportunity to participate in, any business opportunity which may be a corporate opportunity for an Exempted Person and the Corporation or any of its Affiliates, except as provided in Section 10.3 hereof. Subject to Section 10.3, in the event that any Exempted Person acquires knowledge of a potential transaction or other business opportunity which may be a corporate opportunity for itself, herself or himself and the Corporation or any of its Affiliates, such Exempted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Exempted Person pursues or acquires such corporate opportunity for itself, herself or himself, or offers or directs such corporate opportunity to another Person. For the avoidance of doubt, subject to certain contractual commitments entered into with the Corporation and/or its subsidiaries, Mr. Douglas A. Cifu shall be permitted to become engaged in, or provide services to, any other business or activity, whether as owner, partner, investor, consultant, agent, employee, co-venturer or otherwise, in which Mr. Viola is engaged as of the date hereof or permitted to become engaged in, to the extent that Mr. Cifu’s level of participation in such businesses or activities are consistent with his participation in such businesses and activities as the date hereof.</w:t>
      </w:r>
    </w:p>
    <w:p>
      <w:pPr>
        <w:pStyle w:val="TextBody"/>
        <w:bidi w:val="0"/>
        <w:spacing w:lineRule="auto" w:line="240" w:before="0" w:after="180"/>
        <w:ind w:left="0" w:right="0" w:firstLine="1800"/>
        <w:jc w:val="left"/>
        <w:rPr/>
      </w:pPr>
      <w:r>
        <w:rPr>
          <w:rFonts w:ascii="Arial;sans-serif" w:hAnsi="Arial;sans-serif"/>
          <w:b w:val="false"/>
          <w:color w:val="000000"/>
          <w:sz w:val="20"/>
        </w:rPr>
        <w:t>10.3</w:t>
      </w:r>
      <w:r>
        <w:rPr>
          <w:rFonts w:ascii="Arial;sans-serif" w:hAnsi="Arial;sans-serif"/>
          <w:b w:val="false"/>
          <w:color w:val="000000"/>
          <w:sz w:val="20"/>
          <w:u w:val="single"/>
        </w:rPr>
        <w:t>Allocation of Corporate Opportunities</w:t>
      </w:r>
      <w:r>
        <w:rPr>
          <w:rFonts w:ascii="Arial;sans-serif" w:hAnsi="Arial;sans-serif"/>
          <w:b w:val="false"/>
          <w:color w:val="000000"/>
          <w:sz w:val="20"/>
        </w:rPr>
        <w:t>. Notwithstanding anything in Section 10.2 to the contrary, the Corporation does not renounce its interest in any corporate opportunity offered to any Director who serves as an officer of the Corporation (other than Mr. Viola and, to the extent permitted by the last sentence of Section 10.2, Mr. Cifu).</w:t>
      </w:r>
    </w:p>
    <w:p>
      <w:pPr>
        <w:pStyle w:val="TextBody"/>
        <w:bidi w:val="0"/>
        <w:spacing w:lineRule="auto" w:line="240" w:before="0" w:after="180"/>
        <w:ind w:left="0" w:right="0" w:firstLine="1800"/>
        <w:jc w:val="left"/>
        <w:rPr/>
      </w:pPr>
      <w:r>
        <w:rPr>
          <w:rFonts w:ascii="Arial;sans-serif" w:hAnsi="Arial;sans-serif"/>
          <w:b w:val="false"/>
          <w:color w:val="000000"/>
          <w:sz w:val="20"/>
        </w:rPr>
        <w:t>10.4</w:t>
      </w:r>
      <w:r>
        <w:rPr>
          <w:rFonts w:ascii="Arial;sans-serif" w:hAnsi="Arial;sans-serif"/>
          <w:b w:val="false"/>
          <w:color w:val="000000"/>
          <w:sz w:val="20"/>
          <w:u w:val="single"/>
        </w:rPr>
        <w:t>Certain Matters Deemed Not Corporate Opportunities</w:t>
      </w:r>
      <w:r>
        <w:rPr>
          <w:rFonts w:ascii="Arial;sans-serif" w:hAnsi="Arial;sans-serif"/>
          <w:b w:val="false"/>
          <w:color w:val="000000"/>
          <w:sz w:val="20"/>
        </w:rPr>
        <w:t xml:space="preserve">. In addition to and notwithstanding the foregoing provisions of this Article 10, a corporate opportunity shall not be deemed to belong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jc w:val="left"/>
        <w:rPr>
          <w:rFonts w:ascii="Arial;sans-serif" w:hAnsi="Arial;sans-serif"/>
          <w:b w:val="false"/>
          <w:color w:val="000000"/>
          <w:sz w:val="20"/>
        </w:rPr>
      </w:pPr>
      <w:r>
        <w:rPr>
          <w:rFonts w:ascii="Arial;sans-serif" w:hAnsi="Arial;sans-serif"/>
          <w:b w:val="false"/>
          <w:color w:val="000000"/>
          <w:sz w:val="20"/>
        </w:rPr>
        <w:t>to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pStyle w:val="TextBody"/>
        <w:bidi w:val="0"/>
        <w:spacing w:lineRule="auto" w:line="240" w:before="0" w:after="180"/>
        <w:ind w:left="0" w:right="0" w:firstLine="1800"/>
        <w:jc w:val="left"/>
        <w:rPr/>
      </w:pPr>
      <w:r>
        <w:rPr>
          <w:rFonts w:ascii="Arial;sans-serif" w:hAnsi="Arial;sans-serif"/>
          <w:b w:val="false"/>
          <w:color w:val="000000"/>
          <w:sz w:val="20"/>
        </w:rPr>
        <w:t>10.5</w:t>
      </w:r>
      <w:r>
        <w:rPr>
          <w:rFonts w:ascii="Arial;sans-serif" w:hAnsi="Arial;sans-serif"/>
          <w:b w:val="false"/>
          <w:color w:val="000000"/>
          <w:sz w:val="20"/>
          <w:u w:val="single"/>
        </w:rPr>
        <w:t>Amendment of this Article</w:t>
      </w:r>
      <w:r>
        <w:rPr>
          <w:rFonts w:ascii="Arial;sans-serif" w:hAnsi="Arial;sans-serif"/>
          <w:b w:val="false"/>
          <w:color w:val="000000"/>
          <w:sz w:val="20"/>
        </w:rPr>
        <w:t>. No amendment or repeal of this Article 10 in accordance with the provisions of Article 14 shall apply to or have any effect on the liability or alleged liability of any Exempted Person for or with respect to any activities or opportunities of which such Exempted Person becomes aware or otherwise relies on the protection afforded to such Exempted Person prior to such amendment or repeal. This Article 10 shall not limit any protections or defenses available to, or indemnification or advancement rights of, any Director or officer of the Corporation under this Amended Certificate of Incorporation, the By-laws or applicable law.</w:t>
      </w:r>
    </w:p>
    <w:p>
      <w:pPr>
        <w:pStyle w:val="TextBody"/>
        <w:bidi w:val="0"/>
        <w:spacing w:lineRule="auto" w:line="240" w:before="0" w:after="180"/>
        <w:ind w:left="0" w:right="0" w:firstLine="1800"/>
        <w:jc w:val="left"/>
        <w:rPr/>
      </w:pPr>
      <w:r>
        <w:rPr>
          <w:rFonts w:ascii="Arial;sans-serif" w:hAnsi="Arial;sans-serif"/>
          <w:b w:val="false"/>
          <w:color w:val="000000"/>
          <w:sz w:val="20"/>
        </w:rPr>
        <w:t>10.6</w:t>
      </w:r>
      <w:r>
        <w:rPr>
          <w:rFonts w:ascii="Arial;sans-serif" w:hAnsi="Arial;sans-serif"/>
          <w:b w:val="false"/>
          <w:color w:val="000000"/>
          <w:sz w:val="20"/>
          <w:u w:val="single"/>
        </w:rPr>
        <w:t>Notice of this Article</w:t>
      </w:r>
      <w:r>
        <w:rPr>
          <w:rFonts w:ascii="Arial;sans-serif" w:hAnsi="Arial;sans-serif"/>
          <w:b w:val="false"/>
          <w:color w:val="000000"/>
          <w:sz w:val="20"/>
        </w:rPr>
        <w:t>. To the fullest extent permitted by law, any Person purchasing or otherwise acquiring any</w:t>
      </w:r>
    </w:p>
    <w:p>
      <w:pPr>
        <w:pStyle w:val="TextBody"/>
        <w:bidi w:val="0"/>
        <w:spacing w:lineRule="auto" w:line="240" w:before="0" w:after="200"/>
        <w:jc w:val="left"/>
        <w:rPr>
          <w:rFonts w:ascii="Arial;sans-serif" w:hAnsi="Arial;sans-serif"/>
          <w:b w:val="false"/>
          <w:color w:val="000000"/>
          <w:sz w:val="20"/>
        </w:rPr>
      </w:pPr>
      <w:r>
        <w:rPr>
          <w:rFonts w:ascii="Arial;sans-serif" w:hAnsi="Arial;sans-serif"/>
          <w:b w:val="false"/>
          <w:color w:val="000000"/>
          <w:sz w:val="20"/>
        </w:rPr>
        <w:t>interest in any shares of capital stock of the Corporation shall be deemed to have notice of and to have consented to the provisions of this Article 10.</w:t>
      </w:r>
    </w:p>
    <w:p>
      <w:pPr>
        <w:pStyle w:val="TextBody"/>
        <w:bidi w:val="0"/>
        <w:spacing w:lineRule="auto" w:line="240" w:before="0" w:after="180"/>
        <w:ind w:left="0" w:right="0" w:firstLine="1800"/>
        <w:jc w:val="left"/>
        <w:rPr/>
      </w:pPr>
      <w:r>
        <w:rPr>
          <w:rFonts w:ascii="Arial;sans-serif" w:hAnsi="Arial;sans-serif"/>
          <w:b w:val="false"/>
          <w:color w:val="000000"/>
          <w:sz w:val="20"/>
        </w:rPr>
        <w:t>10.7</w:t>
      </w:r>
      <w:r>
        <w:rPr>
          <w:rFonts w:ascii="Arial;sans-serif" w:hAnsi="Arial;sans-serif"/>
          <w:b w:val="false"/>
          <w:color w:val="000000"/>
          <w:sz w:val="20"/>
          <w:u w:val="single"/>
        </w:rPr>
        <w:t>Certain Definitions</w:t>
      </w:r>
      <w:r>
        <w:rPr>
          <w:rFonts w:ascii="Arial;sans-serif" w:hAnsi="Arial;sans-serif"/>
          <w:b w:val="false"/>
          <w:color w:val="000000"/>
          <w:sz w:val="20"/>
        </w:rPr>
        <w:t>. For purposes of this Article 10:</w:t>
      </w:r>
    </w:p>
    <w:p>
      <w:pPr>
        <w:pStyle w:val="TextBody"/>
        <w:bidi w:val="0"/>
        <w:spacing w:lineRule="auto" w:line="240" w:before="0" w:after="180"/>
        <w:ind w:left="0" w:right="0" w:firstLine="2520"/>
        <w:jc w:val="left"/>
        <w:rPr/>
      </w:pPr>
      <w:r>
        <w:rPr>
          <w:rFonts w:ascii="Arial;sans-serif" w:hAnsi="Arial;sans-serif"/>
          <w:b w:val="false"/>
          <w:color w:val="000000"/>
          <w:sz w:val="20"/>
        </w:rPr>
        <w:t>(i)</w:t>
      </w:r>
      <w:r>
        <w:rPr>
          <w:color w:val="000000"/>
        </w:rPr>
        <w:t>“</w:t>
      </w:r>
      <w:r>
        <w:rPr>
          <w:rFonts w:ascii="Arial;sans-serif" w:hAnsi="Arial;sans-serif"/>
          <w:b w:val="false"/>
          <w:color w:val="000000"/>
          <w:sz w:val="20"/>
          <w:u w:val="single"/>
        </w:rPr>
        <w:t>Corporation</w:t>
      </w:r>
      <w:r>
        <w:rPr>
          <w:color w:val="000000"/>
        </w:rPr>
        <w:t xml:space="preserve">” </w:t>
      </w:r>
      <w:r>
        <w:rPr>
          <w:rFonts w:ascii="Arial;sans-serif" w:hAnsi="Arial;sans-serif"/>
          <w:b w:val="false"/>
          <w:color w:val="000000"/>
          <w:sz w:val="20"/>
        </w:rPr>
        <w:t>means the Corporation, any of its subsidiaries (including Virtu Financial and its subsidiaries) and/or any of its Affiliates; and</w:t>
      </w:r>
    </w:p>
    <w:p>
      <w:pPr>
        <w:pStyle w:val="TextBody"/>
        <w:bidi w:val="0"/>
        <w:spacing w:lineRule="auto" w:line="240" w:before="0" w:after="0"/>
        <w:ind w:left="0" w:right="0" w:firstLine="2520"/>
        <w:jc w:val="left"/>
        <w:rPr/>
      </w:pPr>
      <w:r>
        <w:rPr>
          <w:rFonts w:ascii="Arial;sans-serif" w:hAnsi="Arial;sans-serif"/>
          <w:b w:val="false"/>
          <w:color w:val="000000"/>
          <w:sz w:val="20"/>
        </w:rPr>
        <w:t>(ii)</w:t>
      </w:r>
      <w:r>
        <w:rPr>
          <w:color w:val="000000"/>
        </w:rPr>
        <w:t>“</w:t>
      </w:r>
      <w:r>
        <w:rPr>
          <w:rFonts w:ascii="Arial;sans-serif" w:hAnsi="Arial;sans-serif"/>
          <w:b w:val="false"/>
          <w:color w:val="000000"/>
          <w:sz w:val="20"/>
          <w:u w:val="single"/>
        </w:rPr>
        <w:t>Affiliate</w:t>
      </w:r>
      <w:r>
        <w:rPr>
          <w:color w:val="000000"/>
        </w:rPr>
        <w:t xml:space="preserve">” </w:t>
      </w:r>
      <w:r>
        <w:rPr>
          <w:rFonts w:ascii="Arial;sans-serif" w:hAnsi="Arial;sans-serif"/>
          <w:b w:val="false"/>
          <w:color w:val="000000"/>
          <w:sz w:val="20"/>
        </w:rPr>
        <w:t xml:space="preserve">means (a) in respect of the Principal Stockholders, any Person that, directly or indirectly, is controlled by the Principal Stockholders, controls the Principal Stockholders or is under common control with the Principal Stockholders and shall include any principal, member, director, partner, stockholder, officer, employee or other representative of any of the foregoing (other than the Corporation and any entity that is controlled by the Corporation); </w:t>
      </w:r>
      <w:r>
        <w:rPr>
          <w:rFonts w:ascii="Arial;sans-serif" w:hAnsi="Arial;sans-serif"/>
          <w:b w:val="false"/>
          <w:color w:val="000000"/>
          <w:sz w:val="20"/>
          <w:u w:val="single"/>
        </w:rPr>
        <w:t>provided</w:t>
      </w:r>
      <w:r>
        <w:rPr>
          <w:rFonts w:ascii="Arial;sans-serif" w:hAnsi="Arial;sans-serif"/>
          <w:b w:val="false"/>
          <w:color w:val="000000"/>
          <w:sz w:val="20"/>
        </w:rPr>
        <w:t>, that (i) the Viola Entities shall not be deemed “Affiliates” of the Silver Lake Entities and vice versa, (ii) the Viola Entities shall not be deemed “Affiliates” of the Temasek Entities and vice versa and (iii) the Silver Lake Entities shall not be deemed “Affiliates” of the Temasek Entities and vice versa, (b) in respect of a Non-Employee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w:t>
      </w:r>
    </w:p>
    <w:p>
      <w:pPr>
        <w:pStyle w:val="TextBody"/>
        <w:bidi w:val="0"/>
        <w:spacing w:lineRule="auto" w:line="240" w:before="180" w:after="180"/>
        <w:ind w:left="0" w:right="0" w:firstLine="1080"/>
        <w:jc w:val="left"/>
        <w:rPr/>
      </w:pPr>
      <w:r>
        <w:rPr>
          <w:rFonts w:ascii="Arial;sans-serif" w:hAnsi="Arial;sans-serif"/>
          <w:b w:val="false"/>
          <w:color w:val="000000"/>
          <w:sz w:val="20"/>
        </w:rPr>
        <w:t>11.</w:t>
      </w:r>
      <w:r>
        <w:rPr>
          <w:rFonts w:ascii="Arial;sans-serif" w:hAnsi="Arial;sans-serif"/>
          <w:b w:val="false"/>
          <w:color w:val="000000"/>
          <w:sz w:val="20"/>
          <w:u w:val="single"/>
        </w:rPr>
        <w:t>Limitation of Liability</w:t>
      </w:r>
      <w:r>
        <w:rPr>
          <w:rFonts w:ascii="Arial;sans-serif" w:hAnsi="Arial;sans-serif"/>
          <w:b w:val="false"/>
          <w:color w:val="000000"/>
          <w:sz w:val="20"/>
        </w:rPr>
        <w:t>.</w:t>
      </w:r>
    </w:p>
    <w:p>
      <w:pPr>
        <w:pStyle w:val="TextBody"/>
        <w:bidi w:val="0"/>
        <w:spacing w:lineRule="auto" w:line="240" w:before="0" w:after="180"/>
        <w:ind w:left="0" w:right="0" w:firstLine="1800"/>
        <w:jc w:val="left"/>
        <w:rPr/>
      </w:pPr>
      <w:r>
        <w:rPr>
          <w:rFonts w:ascii="Arial;sans-serif" w:hAnsi="Arial;sans-serif"/>
          <w:b w:val="false"/>
          <w:color w:val="000000"/>
          <w:sz w:val="20"/>
        </w:rPr>
        <w:t>11.1</w:t>
      </w:r>
      <w:r>
        <w:rPr>
          <w:rFonts w:ascii="Arial;sans-serif" w:hAnsi="Arial;sans-serif"/>
          <w:b w:val="false"/>
          <w:color w:val="000000"/>
          <w:sz w:val="20"/>
        </w:rPr>
        <w:t>To the fullest extent permitted under the General Corporation Law, as amended from time to time, no Director or officer of the Corporation shall be personally liable to the Corporation or its stockholders for monetary damages for breach of fiduciary duty as a Director or officer of the Corporation.</w:t>
      </w:r>
    </w:p>
    <w:p>
      <w:pPr>
        <w:pStyle w:val="TextBody"/>
        <w:bidi w:val="0"/>
        <w:spacing w:lineRule="auto" w:line="240" w:before="0" w:after="180"/>
        <w:ind w:left="0" w:right="0" w:firstLine="1800"/>
        <w:jc w:val="left"/>
        <w:rPr/>
      </w:pPr>
      <w:r>
        <w:rPr>
          <w:rFonts w:ascii="Arial;sans-serif" w:hAnsi="Arial;sans-serif"/>
          <w:b w:val="false"/>
          <w:color w:val="000000"/>
          <w:sz w:val="20"/>
        </w:rPr>
        <w:t>11.2</w:t>
      </w:r>
      <w:r>
        <w:rPr>
          <w:rFonts w:ascii="Arial;sans-serif" w:hAnsi="Arial;sans-serif"/>
          <w:b w:val="false"/>
          <w:color w:val="000000"/>
          <w:sz w:val="20"/>
        </w:rPr>
        <w:t>Any amendment or repeal of Section 11.1 shall not adversely affect any right or protection of a Director or officer of the Corporation hereunder in respect of any act or omission occurring prior to the time of such amendment or repeal.    </w:t>
      </w:r>
    </w:p>
    <w:p>
      <w:pPr>
        <w:pStyle w:val="TextBody"/>
        <w:bidi w:val="0"/>
        <w:spacing w:lineRule="auto" w:line="240" w:before="180" w:after="180"/>
        <w:ind w:left="0" w:right="0" w:firstLine="1080"/>
        <w:jc w:val="left"/>
        <w:rPr/>
      </w:pPr>
      <w:r>
        <w:rPr>
          <w:rFonts w:ascii="Arial;sans-serif" w:hAnsi="Arial;sans-serif"/>
          <w:b w:val="false"/>
          <w:color w:val="000000"/>
          <w:sz w:val="20"/>
        </w:rPr>
        <w:t>12.</w:t>
      </w:r>
      <w:r>
        <w:rPr>
          <w:rFonts w:ascii="Arial;sans-serif" w:hAnsi="Arial;sans-serif"/>
          <w:b w:val="false"/>
          <w:color w:val="000000"/>
          <w:sz w:val="20"/>
          <w:u w:val="single"/>
        </w:rPr>
        <w:t>Indemnification</w:t>
      </w:r>
      <w:r>
        <w:rPr>
          <w:color w:val="000000"/>
        </w:rPr>
        <w:t xml:space="preserve"> </w:t>
      </w:r>
    </w:p>
    <w:p>
      <w:pPr>
        <w:pStyle w:val="TextBody"/>
        <w:bidi w:val="0"/>
        <w:spacing w:lineRule="auto" w:line="240" w:before="0" w:after="180"/>
        <w:ind w:left="0" w:right="0" w:firstLine="1800"/>
        <w:jc w:val="left"/>
        <w:rPr/>
      </w:pPr>
      <w:r>
        <w:rPr>
          <w:rFonts w:ascii="Arial;sans-serif" w:hAnsi="Arial;sans-serif"/>
          <w:b w:val="false"/>
          <w:color w:val="000000"/>
          <w:sz w:val="20"/>
        </w:rPr>
        <w:t>12.1</w:t>
      </w:r>
      <w:r>
        <w:rPr>
          <w:color w:val="000000"/>
        </w:rPr>
        <w:t xml:space="preserve"> </w:t>
      </w:r>
      <w:r>
        <w:rPr>
          <w:rFonts w:ascii="Arial;sans-serif" w:hAnsi="Arial;sans-serif"/>
          <w:b w:val="false"/>
          <w:color w:val="000000"/>
          <w:sz w:val="20"/>
          <w:u w:val="single"/>
        </w:rPr>
        <w:t>Right to Indemnification</w:t>
      </w:r>
      <w:r>
        <w:rPr>
          <w:rFonts w:ascii="Arial;sans-serif" w:hAnsi="Arial;sans-serif"/>
          <w:b w:val="false"/>
          <w:color w:val="000000"/>
          <w:sz w:val="20"/>
        </w:rPr>
        <w:t>. The Corporation shall indemnify and hold harmless, to the fullest extent permitted by applicable law as it presently exists or may hereafter be amended, any Person (a “</w:t>
      </w:r>
      <w:r>
        <w:rPr>
          <w:rFonts w:ascii="Arial;sans-serif" w:hAnsi="Arial;sans-serif"/>
          <w:b w:val="false"/>
          <w:color w:val="000000"/>
          <w:sz w:val="20"/>
          <w:u w:val="single"/>
        </w:rPr>
        <w:t>Covered Person</w:t>
      </w:r>
      <w:r>
        <w:rPr>
          <w:color w:val="000000"/>
        </w:rPr>
        <w:t>”</w:t>
      </w:r>
      <w:r>
        <w:rPr>
          <w:rFonts w:ascii="Arial;sans-serif" w:hAnsi="Arial;sans-serif"/>
          <w:b w:val="false"/>
          <w:color w:val="000000"/>
          <w:sz w:val="20"/>
        </w:rPr>
        <w:t>) who was or is a party or is threatened to be made a party to or otherwise involved any threatened, pending or completed action, suit or proceeding, whether civil, criminal, administrative or investigative (a “</w:t>
      </w:r>
      <w:r>
        <w:rPr>
          <w:rFonts w:ascii="Arial;sans-serif" w:hAnsi="Arial;sans-serif"/>
          <w:b w:val="false"/>
          <w:color w:val="000000"/>
          <w:sz w:val="20"/>
          <w:u w:val="single"/>
        </w:rPr>
        <w:t>Proceeding</w:t>
      </w:r>
      <w:r>
        <w:rPr>
          <w:color w:val="000000"/>
        </w:rPr>
        <w:t>”</w:t>
      </w:r>
      <w:r>
        <w:rPr>
          <w:rFonts w:ascii="Arial;sans-serif" w:hAnsi="Arial;sans-serif"/>
          <w:b w:val="false"/>
          <w:color w:val="000000"/>
          <w:sz w:val="20"/>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agent or trustee of another entity or enterprise, including service with respect to employee benefit plans, against all liability and loss suffered and expenses (including, without limitation, attorneys’ fees and expenses, judgments, fines, excise taxes or penalties under the Employee Retirement Income Security Act of 1974, as amended, and amounts paid or to be paid in settlement) reasonably incurred by such Covered Person. Notwithstanding the preceding sentence, except as otherwise provided in Section 12.3, the Corporation shall be required to indemnify a Covered Person in connection with a Proceeding (or part thereof) commenced by such Covered Person only if the commencement of such Proceeding (or part thereof) by the Covered Person was authorized by the Board.</w:t>
      </w:r>
    </w:p>
    <w:p>
      <w:pPr>
        <w:pStyle w:val="TextBody"/>
        <w:bidi w:val="0"/>
        <w:spacing w:lineRule="auto" w:line="240" w:before="0" w:after="180"/>
        <w:ind w:left="0" w:right="0" w:firstLine="1800"/>
        <w:jc w:val="left"/>
        <w:rPr/>
      </w:pPr>
      <w:r>
        <w:rPr>
          <w:rFonts w:ascii="Arial;sans-serif" w:hAnsi="Arial;sans-serif"/>
          <w:b w:val="false"/>
          <w:color w:val="000000"/>
          <w:sz w:val="20"/>
        </w:rPr>
        <w:t>12.2</w:t>
      </w:r>
      <w:r>
        <w:rPr>
          <w:rFonts w:ascii="Arial;sans-serif" w:hAnsi="Arial;sans-serif"/>
          <w:b w:val="false"/>
          <w:color w:val="000000"/>
          <w:sz w:val="20"/>
          <w:u w:val="single"/>
        </w:rPr>
        <w:t>Prepayment of Expenses</w:t>
      </w:r>
      <w:r>
        <w:rPr>
          <w:rFonts w:ascii="Arial;sans-serif" w:hAnsi="Arial;sans-serif"/>
          <w:b w:val="false"/>
          <w:color w:val="000000"/>
          <w:sz w:val="20"/>
        </w:rPr>
        <w:t xml:space="preserve">. To the extent not prohibited by applicable law, the Corporation shall pay the expenses (including attorneys’ fees) incurred by a Covered Person in defending any Proceeding in advance of its final disposition;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12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ind w:left="0" w:right="0" w:firstLine="1800"/>
        <w:jc w:val="left"/>
        <w:rPr/>
      </w:pPr>
      <w:r>
        <w:rPr>
          <w:rFonts w:ascii="Arial;sans-serif" w:hAnsi="Arial;sans-serif"/>
          <w:b w:val="false"/>
          <w:color w:val="000000"/>
          <w:sz w:val="20"/>
        </w:rPr>
        <w:t>12.3</w:t>
      </w:r>
      <w:r>
        <w:rPr>
          <w:rFonts w:ascii="Arial;sans-serif" w:hAnsi="Arial;sans-serif"/>
          <w:b w:val="false"/>
          <w:color w:val="000000"/>
          <w:sz w:val="20"/>
          <w:u w:val="single"/>
        </w:rPr>
        <w:t>Claims</w:t>
      </w:r>
      <w:r>
        <w:rPr>
          <w:rFonts w:ascii="Arial;sans-serif" w:hAnsi="Arial;sans-serif"/>
          <w:b w:val="false"/>
          <w:color w:val="000000"/>
          <w:sz w:val="20"/>
        </w:rPr>
        <w:t>. If a claim for indemnification or advancement of expenses under this Article 12 is not paid in full within thirty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In any such action the Corporation shall have the burden of proving that the Covered Person is not entitled to the requested indemnification or advancement of expenses under applicable law. In (i) any suit brought by a Covered Person to enforce a right to indemnification hereunder (but not in a suit brought by a Covered Person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such Person has not met any applicable standard for indemnification set forth in the General Corporation Law. Neither the failure of the Corporation (including by its Directors who are not parties to such action, a committee of such Directors, independent legal counsel, or its stockholders) to have made a determination prior to the commencement of such suit that indemnification of the Covered Person is proper in the circumstances because the Covered Person has met the applicable standard of conduct set forth in the General Corporation Law, nor an actual determination by the Corporation (including by its Directors who are not parties to such action, a committee of such Directors, independent legal counsel, or its stockholders) that the Covered Person has not met such applicable standard of conduct, shall create a presumption that such Person has not met the applicable standard of conduct or, in the case of such a suit brought by the Covered Person, be a defense to such suit.</w:t>
      </w:r>
    </w:p>
    <w:p>
      <w:pPr>
        <w:pStyle w:val="TextBody"/>
        <w:bidi w:val="0"/>
        <w:spacing w:lineRule="auto" w:line="240" w:before="0" w:after="180"/>
        <w:ind w:left="0" w:right="0" w:firstLine="1800"/>
        <w:jc w:val="left"/>
        <w:rPr/>
      </w:pPr>
      <w:r>
        <w:rPr>
          <w:rFonts w:ascii="Arial;sans-serif" w:hAnsi="Arial;sans-serif"/>
          <w:b w:val="false"/>
          <w:color w:val="000000"/>
          <w:sz w:val="20"/>
        </w:rPr>
        <w:t>12.4</w:t>
      </w:r>
      <w:r>
        <w:rPr>
          <w:rFonts w:ascii="Arial;sans-serif" w:hAnsi="Arial;sans-serif"/>
          <w:b w:val="false"/>
          <w:color w:val="000000"/>
          <w:sz w:val="20"/>
          <w:u w:val="single"/>
        </w:rPr>
        <w:t>Nonexclusivity of Rights</w:t>
      </w:r>
      <w:r>
        <w:rPr>
          <w:rFonts w:ascii="Arial;sans-serif" w:hAnsi="Arial;sans-serif"/>
          <w:b w:val="false"/>
          <w:color w:val="000000"/>
          <w:sz w:val="20"/>
        </w:rPr>
        <w:t>. The rights conferred on any Covered Person by this Article 12 shall not be exclusive of any other rights that such Covered Person may have or hereafter acquire under any statute, provision of this Amended Certificate of Incorporation, the By-laws, agreement, vote of stockholders or disinterested Directors or otherwise.</w:t>
      </w:r>
    </w:p>
    <w:p>
      <w:pPr>
        <w:pStyle w:val="TextBody"/>
        <w:bidi w:val="0"/>
        <w:spacing w:lineRule="auto" w:line="240" w:before="0" w:after="180"/>
        <w:ind w:left="0" w:right="0" w:firstLine="1800"/>
        <w:jc w:val="left"/>
        <w:rPr/>
      </w:pPr>
      <w:r>
        <w:rPr>
          <w:rFonts w:ascii="Arial;sans-serif" w:hAnsi="Arial;sans-serif"/>
          <w:b w:val="false"/>
          <w:color w:val="000000"/>
          <w:sz w:val="20"/>
        </w:rPr>
        <w:t>12.5</w:t>
      </w:r>
      <w:r>
        <w:rPr>
          <w:rFonts w:ascii="Arial;sans-serif" w:hAnsi="Arial;sans-serif"/>
          <w:b w:val="false"/>
          <w:color w:val="000000"/>
          <w:sz w:val="20"/>
          <w:u w:val="single"/>
        </w:rPr>
        <w:t>Other Sources</w:t>
      </w:r>
      <w:r>
        <w:rPr>
          <w:rFonts w:ascii="Arial;sans-serif" w:hAnsi="Arial;sans-serif"/>
          <w:b w:val="false"/>
          <w:color w:val="000000"/>
          <w:sz w:val="20"/>
        </w:rPr>
        <w:t>. Subject to Section 12.6, Corporation’s obligation, if any, to indemnify or to advance expenses to any Covered Person who was or is serving at its request as a director, officer, employee or agent of another entity or enterprise shall be reduced by any amount such Covered Person may collect as indemnification or advancement of expenses from such other entity or enterprise.</w:t>
      </w:r>
    </w:p>
    <w:p>
      <w:pPr>
        <w:pStyle w:val="TextBody"/>
        <w:bidi w:val="0"/>
        <w:spacing w:lineRule="auto" w:line="240" w:before="0" w:after="180"/>
        <w:ind w:left="0" w:right="0" w:firstLine="1800"/>
        <w:jc w:val="left"/>
        <w:rPr/>
      </w:pPr>
      <w:r>
        <w:rPr>
          <w:rFonts w:ascii="Arial;sans-serif" w:hAnsi="Arial;sans-serif"/>
          <w:b w:val="false"/>
          <w:color w:val="000000"/>
          <w:sz w:val="20"/>
        </w:rPr>
        <w:t>12.6</w:t>
      </w:r>
      <w:r>
        <w:rPr>
          <w:rFonts w:ascii="Arial;sans-serif" w:hAnsi="Arial;sans-serif"/>
          <w:b w:val="false"/>
          <w:color w:val="000000"/>
          <w:sz w:val="20"/>
          <w:u w:val="single"/>
        </w:rPr>
        <w:t>Indemnitor of First Resort</w:t>
      </w:r>
      <w:r>
        <w:rPr>
          <w:rFonts w:ascii="Arial;sans-serif" w:hAnsi="Arial;sans-serif"/>
          <w:b w:val="false"/>
          <w:color w:val="000000"/>
          <w:sz w:val="20"/>
        </w:rPr>
        <w:t>. In all events, (i) the Corporation hereby agrees that it is the indemnitor of first resort (i.e. its obligation to a Covered Person to provide advancement and/or indemnification to such Covered Person are primary and any obligation of any Principal Stockholder (including any Affiliate thereof other than the Corporation) to provide advancement or indemnification hereunder or under any other indemnification agreement (whether pursuant to contract, by-laws or charter), or any obligation of any insurer of any Principal Stockholder to provide insurance coverage, for the same expenses, liabilities, judgments, penalties, fines and amounts paid in settlement (including all interest, assessments and other charges paid or payable in connection with or in respect of such expenses, liabilities, judgments, penalties, fines and amounts paid in settlement) incurred by such Covered Person are secondary and (ii) if any Principal Stockholder (or any Affiliate thereof, other than the Corporation) pays or causes to be paid, for any reason, any amounts otherwise indemnifiable hereunder or under any other indemnification agreement (whether pursuant to contract, by-laws or charter) with such Covered Person, then (x) such Principal Stockholder (or such Affiliate, as the case may be), as the case may be, shall be fully subrogated to all rights of such Covered Person with respect to such payment and (y) the Corporation shall fully indemnify, reimburse and hold harmless such Principal Stockholder (or such other Affiliate), as the case may be, for all such payments actually made by such Principal Stockholder (or such other Affiliate).</w:t>
      </w:r>
    </w:p>
    <w:p>
      <w:pPr>
        <w:pStyle w:val="TextBody"/>
        <w:bidi w:val="0"/>
        <w:spacing w:lineRule="auto" w:line="240" w:before="0" w:after="180"/>
        <w:ind w:left="0" w:right="0" w:firstLine="1800"/>
        <w:jc w:val="left"/>
        <w:rPr/>
      </w:pPr>
      <w:r>
        <w:rPr>
          <w:rFonts w:ascii="Arial;sans-serif" w:hAnsi="Arial;sans-serif"/>
          <w:b w:val="false"/>
          <w:color w:val="000000"/>
          <w:sz w:val="20"/>
        </w:rPr>
        <w:t>12.7</w:t>
      </w:r>
      <w:r>
        <w:rPr>
          <w:rFonts w:ascii="Arial;sans-serif" w:hAnsi="Arial;sans-serif"/>
          <w:b w:val="false"/>
          <w:color w:val="000000"/>
          <w:sz w:val="20"/>
          <w:u w:val="single"/>
        </w:rPr>
        <w:t>Amendment or Repeal</w:t>
      </w:r>
      <w:r>
        <w:rPr>
          <w:rFonts w:ascii="Arial;sans-serif" w:hAnsi="Arial;sans-serif"/>
          <w:b w:val="false"/>
          <w:color w:val="000000"/>
          <w:sz w:val="20"/>
        </w:rPr>
        <w:t>. Any amendment or repeal of the foregoing provisions of this Article 12 shall not adversely affect any right or protection hereunder of any Covered Person in respect of any act or omission occurring prior to the time of such amendment or repeal.</w:t>
      </w:r>
    </w:p>
    <w:p>
      <w:pPr>
        <w:pStyle w:val="TextBody"/>
        <w:bidi w:val="0"/>
        <w:spacing w:lineRule="auto" w:line="240" w:before="0" w:after="180"/>
        <w:ind w:left="0" w:right="0" w:firstLine="1800"/>
        <w:jc w:val="left"/>
        <w:rPr/>
      </w:pPr>
      <w:r>
        <w:rPr>
          <w:rFonts w:ascii="Arial;sans-serif" w:hAnsi="Arial;sans-serif"/>
          <w:b w:val="false"/>
          <w:color w:val="000000"/>
          <w:sz w:val="20"/>
        </w:rPr>
        <w:t>12.8</w:t>
      </w:r>
      <w:r>
        <w:rPr>
          <w:rFonts w:ascii="Arial;sans-serif" w:hAnsi="Arial;sans-serif"/>
          <w:b w:val="false"/>
          <w:color w:val="000000"/>
          <w:sz w:val="20"/>
          <w:u w:val="single"/>
        </w:rPr>
        <w:t>Other Indemnification and Prepayment of Expenses</w:t>
      </w:r>
      <w:r>
        <w:rPr>
          <w:rFonts w:ascii="Arial;sans-serif" w:hAnsi="Arial;sans-serif"/>
          <w:b w:val="false"/>
          <w:color w:val="000000"/>
          <w:sz w:val="20"/>
        </w:rPr>
        <w:t>. This Article 12 shall not limit the right of the Corporation, to the extent and in the manner permitted by applicable law, to indemnify and to advance expenses to Persons other than Covered Persons when and as authorized by appropriate corporate action.</w:t>
      </w:r>
    </w:p>
    <w:p>
      <w:pPr>
        <w:pStyle w:val="TextBody"/>
        <w:bidi w:val="0"/>
        <w:spacing w:lineRule="auto" w:line="240" w:before="0" w:after="180"/>
        <w:ind w:left="0" w:right="0" w:firstLine="1800"/>
        <w:jc w:val="left"/>
        <w:rPr/>
      </w:pPr>
      <w:r>
        <w:rPr>
          <w:rFonts w:ascii="Arial;sans-serif" w:hAnsi="Arial;sans-serif"/>
          <w:b w:val="false"/>
          <w:color w:val="000000"/>
          <w:sz w:val="20"/>
        </w:rPr>
        <w:t>12.9</w:t>
      </w:r>
      <w:r>
        <w:rPr>
          <w:rFonts w:ascii="Arial;sans-serif" w:hAnsi="Arial;sans-serif"/>
          <w:b w:val="false"/>
          <w:color w:val="000000"/>
          <w:sz w:val="20"/>
          <w:u w:val="single"/>
        </w:rPr>
        <w:t>Reliance</w:t>
      </w:r>
      <w:r>
        <w:rPr>
          <w:rFonts w:ascii="Arial;sans-serif" w:hAnsi="Arial;sans-serif"/>
          <w:b w:val="false"/>
          <w:color w:val="000000"/>
          <w:sz w:val="20"/>
        </w:rPr>
        <w:t>. Covered Persons who after the date of the adoption of this provision become or remain a Covered Person described in Article 12 will be conclusively presumed to have relied on the rights to indemnity, advance of expenses and other rights contained in this Article 12 in entering into or continuing the service. The rights to indemnification and to the advance of expenses conferred in this Article 12 will apply to claims made against any Covered Person described in Article 12 arising out of acts or omissions in respect of the Corporation or one of its subsidiaries that occurred or occur both prior and subsequent to the adoption hereof. The rights conferred upon Covered Persons in this Article 12 shall be contract rights and such rights shall continue as to a Covered Person who has ceased to be a Director or officer and shall inure to the benefit of the Covered Person’s heirs, executors and administrators. Any amendment, alteration or repeal of this Article 12 that adversely affects any right of a Covered Person or its successors shall be prospective only and shall not limit, eliminate, or impair any such right with respect to any proceeding involving any occurrence or alleged occurrence of any action or omission to act that took place prior to such amendment or repeal.</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ind w:left="0" w:right="0" w:firstLine="1800"/>
        <w:jc w:val="left"/>
        <w:rPr/>
      </w:pPr>
      <w:r>
        <w:rPr>
          <w:rFonts w:ascii="Arial;sans-serif" w:hAnsi="Arial;sans-serif"/>
          <w:b w:val="false"/>
          <w:color w:val="000000"/>
          <w:sz w:val="20"/>
        </w:rPr>
        <w:t>12.10</w:t>
      </w:r>
      <w:r>
        <w:rPr>
          <w:rFonts w:ascii="Arial;sans-serif" w:hAnsi="Arial;sans-serif"/>
          <w:b w:val="false"/>
          <w:color w:val="000000"/>
          <w:sz w:val="20"/>
          <w:u w:val="single"/>
        </w:rPr>
        <w:t>Insurance</w:t>
      </w:r>
      <w:r>
        <w:rPr>
          <w:rFonts w:ascii="Arial;sans-serif" w:hAnsi="Arial;sans-serif"/>
          <w:b w:val="false"/>
          <w:color w:val="000000"/>
          <w:sz w:val="20"/>
        </w:rPr>
        <w:t>.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General Corporation Law.</w:t>
      </w:r>
    </w:p>
    <w:p>
      <w:pPr>
        <w:pStyle w:val="TextBody"/>
        <w:bidi w:val="0"/>
        <w:spacing w:lineRule="auto" w:line="240" w:before="180" w:after="180"/>
        <w:ind w:left="0" w:right="0" w:firstLine="1080"/>
        <w:jc w:val="left"/>
        <w:rPr/>
      </w:pPr>
      <w:r>
        <w:rPr>
          <w:rFonts w:ascii="Arial;sans-serif" w:hAnsi="Arial;sans-serif"/>
          <w:b w:val="false"/>
          <w:color w:val="000000"/>
          <w:sz w:val="20"/>
        </w:rPr>
        <w:t>13.</w:t>
      </w:r>
      <w:r>
        <w:rPr>
          <w:rFonts w:ascii="Arial;sans-serif" w:hAnsi="Arial;sans-serif"/>
          <w:b w:val="false"/>
          <w:color w:val="000000"/>
          <w:sz w:val="20"/>
          <w:u w:val="single"/>
        </w:rPr>
        <w:t>Adoption, Amendment or Repeal of By-Laws</w:t>
      </w:r>
      <w:r>
        <w:rPr>
          <w:rFonts w:ascii="Arial;sans-serif" w:hAnsi="Arial;sans-serif"/>
          <w:b w:val="false"/>
          <w:color w:val="000000"/>
          <w:sz w:val="20"/>
        </w:rPr>
        <w:t xml:space="preserve">. In furtherance and not in limitation of the powers conferred by law, the Board is expressly authorized to make, alter, amend or repeal the By-laws subject to the power of the stockholders of the Corporation entitled to vote with respect thereto to make, alter, amend or repeal the By-laws; </w:t>
      </w:r>
      <w:r>
        <w:rPr>
          <w:rFonts w:ascii="Arial;sans-serif" w:hAnsi="Arial;sans-serif"/>
          <w:b w:val="false"/>
          <w:color w:val="000000"/>
          <w:sz w:val="20"/>
          <w:u w:val="single"/>
        </w:rPr>
        <w:t>provided</w:t>
      </w:r>
      <w:r>
        <w:rPr>
          <w:rFonts w:ascii="Arial;sans-serif" w:hAnsi="Arial;sans-serif"/>
          <w:b w:val="false"/>
          <w:color w:val="000000"/>
          <w:sz w:val="20"/>
        </w:rPr>
        <w:t>, that with respect to the powers of stockholders entitled to vote with respect thereto to make, alter, amend or repeal the By-laws, from and after the Triggering Event, in addition to any other vote otherwise required by law, the affirmative vote of the holders of seventy-five percent (75%) of the total voting power of the outstanding shares of capital stock of the Corporation entitled to vote generally in the election of Directors, voting together as a single class, shall be required to make, alter, amend or repeal the By-laws.</w:t>
      </w:r>
    </w:p>
    <w:p>
      <w:pPr>
        <w:pStyle w:val="TextBody"/>
        <w:bidi w:val="0"/>
        <w:spacing w:lineRule="auto" w:line="240" w:before="180" w:after="180"/>
        <w:ind w:left="0" w:right="0" w:firstLine="1080"/>
        <w:jc w:val="left"/>
        <w:rPr/>
      </w:pPr>
      <w:r>
        <w:rPr>
          <w:rFonts w:ascii="Arial;sans-serif" w:hAnsi="Arial;sans-serif"/>
          <w:b w:val="false"/>
          <w:color w:val="000000"/>
          <w:sz w:val="20"/>
        </w:rPr>
        <w:t>14.</w:t>
      </w:r>
      <w:r>
        <w:rPr>
          <w:rFonts w:ascii="Arial;sans-serif" w:hAnsi="Arial;sans-serif"/>
          <w:b w:val="false"/>
          <w:color w:val="000000"/>
          <w:sz w:val="20"/>
          <w:u w:val="single"/>
        </w:rPr>
        <w:t>Adoption, Amendment and Repeal of Certificate</w:t>
      </w:r>
      <w:r>
        <w:rPr>
          <w:rFonts w:ascii="Arial;sans-serif" w:hAnsi="Arial;sans-serif"/>
          <w:b w:val="false"/>
          <w:color w:val="000000"/>
          <w:sz w:val="20"/>
        </w:rPr>
        <w:t>. Subject to Article 5, the Corporation reserves the right to amend, alter, change or repeal any provision contained in this Amended Certificate of Incorporation, in the manner now or hereafter prescribed by the General Corporate Law, and all rights, preferences and privileges of whatsoever nature conferred upon stockholders, Directors or any other Persons whomsoever by and pursuant to this Amended Certificate of Incorporation in its present form or as hereafter amended, are granted and held subject to this reservation. Notwithstanding anything to the contrary contained in this Amended Certificate of Incorporation, and notwithstanding that a lesser percentage may be permitted from time to time by applicable law, no provision of Sections 7.2, 7.3 and 7.4 of Article 7, Section 8.1 and 8.2 of Article 8 or Article 9, 10, 13, 14 or 15 may be altered, amended or repealed in any respect, nor may any provision or by-law inconsistent therewith be adopted, unless in addition to any other vote required by this Amended Certificate of Incorporation or otherwise required by law, (i) prior to the Triggering Event, such alteration, amendment, repeal or adoption is approved by, in addition to any other vote otherwise required by law, the affirmative vote of the holders of a majority of the total voting power of the outstanding shares of capital stock of the Corporation entitled to vote generally in the election of Directors, voting together as a single class, and (ii) from and after the Triggering Event, such alteration, amendment, repeal or adoption is approved by, in addition to any other vote otherwise required by law, the affirmative vote of the holders of seventy-five percent (75%) of the total voting power of the outstanding shares of capital stock of the Corporation entitled to vote generally in the election of Directors, voting together as a single class, at a meeting of the stockholders called for that purpose.</w:t>
      </w:r>
    </w:p>
    <w:p>
      <w:pPr>
        <w:pStyle w:val="TextBody"/>
        <w:bidi w:val="0"/>
        <w:spacing w:lineRule="auto" w:line="240" w:before="180" w:after="180"/>
        <w:ind w:left="0" w:right="0" w:firstLine="1080"/>
        <w:jc w:val="left"/>
        <w:rPr/>
      </w:pPr>
      <w:r>
        <w:rPr>
          <w:rFonts w:ascii="Arial;sans-serif" w:hAnsi="Arial;sans-serif"/>
          <w:b w:val="false"/>
          <w:color w:val="000000"/>
          <w:sz w:val="20"/>
        </w:rPr>
        <w:t>15.</w:t>
      </w:r>
      <w:r>
        <w:rPr>
          <w:rFonts w:ascii="Arial;sans-serif" w:hAnsi="Arial;sans-serif"/>
          <w:b w:val="false"/>
          <w:color w:val="000000"/>
          <w:sz w:val="20"/>
          <w:u w:val="single"/>
        </w:rPr>
        <w:t>Forum for Adjudication of Disputes</w:t>
      </w:r>
      <w:r>
        <w:rPr>
          <w:rFonts w:ascii="Arial;sans-serif" w:hAnsi="Arial;sans-serif"/>
          <w:b w:val="false"/>
          <w:color w:val="000000"/>
          <w:sz w:val="20"/>
        </w:rPr>
        <w:t>. Unless the Corporation consents in writing to the selection of an alternative forum, the Court of Chancery of the State of Delaware shall be the sole and exclusive forum for (a) any derivative action or proceeding brought on behalf of the Corporation, (b) any action asserting a claim of breach of a fiduciary duty owed by any Director, officer or other employee of the Corporation to the Corporation or the Corporation’s stockholders, (c) any action asserting a claim arising pursuant to any provision of the General Corporation Law or (d) any action asserting a claim governed by the internal affairs doctrine. Any Person or entity purchasing or otherwise acquiring any interest in shares of capital stock of the Corporation shall be deemed to have notice of consent to the provision of this Article 15.</w:t>
      </w:r>
    </w:p>
    <w:p>
      <w:pPr>
        <w:pStyle w:val="TextBody"/>
        <w:bidi w:val="0"/>
        <w:spacing w:lineRule="auto" w:line="240" w:before="180" w:after="180"/>
        <w:ind w:left="0" w:right="0" w:firstLine="1080"/>
        <w:jc w:val="left"/>
        <w:rPr/>
      </w:pPr>
      <w:r>
        <w:rPr>
          <w:rFonts w:ascii="Arial;sans-serif" w:hAnsi="Arial;sans-serif"/>
          <w:b w:val="false"/>
          <w:color w:val="000000"/>
          <w:sz w:val="20"/>
        </w:rPr>
        <w:t>16.</w:t>
      </w:r>
      <w:r>
        <w:rPr>
          <w:rFonts w:ascii="Arial;sans-serif" w:hAnsi="Arial;sans-serif"/>
          <w:b w:val="false"/>
          <w:color w:val="000000"/>
          <w:sz w:val="20"/>
          <w:u w:val="single"/>
        </w:rPr>
        <w:t>Severability</w:t>
      </w:r>
      <w:r>
        <w:rPr>
          <w:rFonts w:ascii="Arial;sans-serif" w:hAnsi="Arial;sans-serif"/>
          <w:b w:val="false"/>
          <w:color w:val="000000"/>
          <w:sz w:val="20"/>
        </w:rPr>
        <w:t>. If any provision or provisions of this Amended Certificate of Incorporation shall be held to be invalid, illegal or unenforceable as applied to any circumstance for any reason whatsoever: (i) the validity, legality and enforceability of such provisions in any other circumstance and of the remaining provisions of this Amended Certificate of Incorporation (including, without limitation, each portion of any paragraph of this Amended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Amended Certificate of Incorporation (including, without limitation, each such portion of any paragraph of this Amended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pStyle w:val="TextBody"/>
        <w:bidi w:val="0"/>
        <w:spacing w:lineRule="auto" w:line="240" w:before="180" w:after="180"/>
        <w:ind w:left="0" w:right="0" w:firstLine="1080"/>
        <w:jc w:val="left"/>
        <w:rPr/>
      </w:pPr>
      <w:r>
        <w:rPr>
          <w:rFonts w:ascii="Arial;sans-serif" w:hAnsi="Arial;sans-serif"/>
          <w:b w:val="false"/>
          <w:color w:val="000000"/>
          <w:sz w:val="20"/>
        </w:rPr>
        <w:t>17.</w:t>
      </w:r>
      <w:r>
        <w:rPr>
          <w:rFonts w:ascii="Arial;sans-serif" w:hAnsi="Arial;sans-serif"/>
          <w:b w:val="false"/>
          <w:color w:val="000000"/>
          <w:sz w:val="20"/>
          <w:u w:val="single"/>
        </w:rPr>
        <w:t>Definitions</w:t>
      </w:r>
      <w:r>
        <w:rPr>
          <w:rFonts w:ascii="Arial;sans-serif" w:hAnsi="Arial;sans-serif"/>
          <w:b w:val="false"/>
          <w:color w:val="000000"/>
          <w:sz w:val="20"/>
        </w:rPr>
        <w:t>. As used in this Amended Certificate of Incorporation, unless the context otherwise requires or as set forth in another Article or Section of this Amended Certificate of Incorporation, the term:</w:t>
      </w:r>
    </w:p>
    <w:p>
      <w:pPr>
        <w:pStyle w:val="TextBody"/>
        <w:bidi w:val="0"/>
        <w:spacing w:lineRule="auto" w:line="240" w:before="0" w:after="180"/>
        <w:ind w:left="0" w:right="0" w:firstLine="1840"/>
        <w:jc w:val="left"/>
        <w:rPr/>
      </w:pPr>
      <w:r>
        <w:rPr>
          <w:rFonts w:ascii="Arial;sans-serif" w:hAnsi="Arial;sans-serif"/>
          <w:b w:val="false"/>
          <w:color w:val="000000"/>
          <w:sz w:val="20"/>
        </w:rPr>
        <w:t>(a)</w:t>
      </w:r>
      <w:r>
        <w:rPr>
          <w:color w:val="000000"/>
        </w:rPr>
        <w:t>“</w:t>
      </w:r>
      <w:r>
        <w:rPr>
          <w:rFonts w:ascii="Arial;sans-serif" w:hAnsi="Arial;sans-serif"/>
          <w:b w:val="false"/>
          <w:color w:val="000000"/>
          <w:sz w:val="20"/>
          <w:u w:val="single"/>
        </w:rPr>
        <w:t>Affiliate</w:t>
      </w:r>
      <w:r>
        <w:rPr>
          <w:color w:val="000000"/>
        </w:rPr>
        <w:t xml:space="preserve">” </w:t>
      </w:r>
      <w:r>
        <w:rPr>
          <w:rFonts w:ascii="Arial;sans-serif" w:hAnsi="Arial;sans-serif"/>
          <w:b w:val="false"/>
          <w:color w:val="000000"/>
          <w:sz w:val="20"/>
        </w:rPr>
        <w:t xml:space="preserve">means, with respect to any Person, any other Person directly or indirectly controlling, controlled by, or under common control with such Person; </w:t>
      </w:r>
      <w:r>
        <w:rPr>
          <w:rFonts w:ascii="Arial;sans-serif" w:hAnsi="Arial;sans-serif"/>
          <w:b w:val="false"/>
          <w:color w:val="000000"/>
          <w:sz w:val="20"/>
          <w:u w:val="single"/>
        </w:rPr>
        <w:t>provided</w:t>
      </w:r>
      <w:r>
        <w:rPr>
          <w:rFonts w:ascii="Arial;sans-serif" w:hAnsi="Arial;sans-serif"/>
          <w:b w:val="false"/>
          <w:color w:val="000000"/>
          <w:sz w:val="20"/>
        </w:rPr>
        <w:t>, that (i) neither the Corporation nor any of its subsidiaries will be deemed an Affiliate of any stockholder of the Corporation or any of such stockholders’ Affiliates and (ii) no stockholder of the Corporation will be deemed an Affiliate of any other stockholder of the Corporation, in each case, solely by reason of any investment in the Corporation or any rights conferred on such stockholder pursuant to the Stockholders Agreement (including any representatives of such stockholder serving on the Board).</w:t>
      </w:r>
    </w:p>
    <w:p>
      <w:pPr>
        <w:pStyle w:val="TextBody"/>
        <w:bidi w:val="0"/>
        <w:spacing w:lineRule="auto" w:line="240" w:before="0" w:after="180"/>
        <w:ind w:left="0" w:right="0" w:firstLine="1840"/>
        <w:jc w:val="left"/>
        <w:rPr/>
      </w:pPr>
      <w:r>
        <w:rPr>
          <w:rFonts w:ascii="Arial;sans-serif" w:hAnsi="Arial;sans-serif"/>
          <w:b w:val="false"/>
          <w:color w:val="000000"/>
          <w:sz w:val="20"/>
        </w:rPr>
        <w:t>(b)</w:t>
      </w:r>
      <w:r>
        <w:rPr>
          <w:color w:val="000000"/>
        </w:rPr>
        <w:t>“</w:t>
      </w:r>
      <w:r>
        <w:rPr>
          <w:rFonts w:ascii="Arial;sans-serif" w:hAnsi="Arial;sans-serif"/>
          <w:b w:val="false"/>
          <w:color w:val="000000"/>
          <w:sz w:val="20"/>
          <w:u w:val="single"/>
        </w:rPr>
        <w:t>Amended Certificate of Incorporation</w:t>
      </w:r>
      <w:r>
        <w:rPr>
          <w:color w:val="000000"/>
        </w:rPr>
        <w:t xml:space="preserve">” </w:t>
      </w:r>
      <w:r>
        <w:rPr>
          <w:rFonts w:ascii="Arial;sans-serif" w:hAnsi="Arial;sans-serif"/>
          <w:b w:val="false"/>
          <w:color w:val="000000"/>
          <w:sz w:val="20"/>
        </w:rPr>
        <w:t>is defined in the recitals.</w:t>
      </w:r>
    </w:p>
    <w:p>
      <w:pPr>
        <w:pStyle w:val="TextBody"/>
        <w:bidi w:val="0"/>
        <w:spacing w:lineRule="auto" w:line="240" w:before="0" w:after="180"/>
        <w:ind w:left="0" w:right="0" w:firstLine="1840"/>
        <w:jc w:val="left"/>
        <w:rPr/>
      </w:pPr>
      <w:r>
        <w:rPr>
          <w:rFonts w:ascii="Arial;sans-serif" w:hAnsi="Arial;sans-serif"/>
          <w:b w:val="false"/>
          <w:color w:val="000000"/>
          <w:sz w:val="20"/>
        </w:rPr>
        <w:t>(c)</w:t>
      </w:r>
      <w:r>
        <w:rPr>
          <w:color w:val="000000"/>
        </w:rPr>
        <w:t>“</w:t>
      </w:r>
      <w:r>
        <w:rPr>
          <w:rFonts w:ascii="Arial;sans-serif" w:hAnsi="Arial;sans-serif"/>
          <w:b w:val="false"/>
          <w:color w:val="000000"/>
          <w:sz w:val="20"/>
          <w:u w:val="single"/>
        </w:rPr>
        <w:t>Board</w:t>
      </w:r>
      <w:r>
        <w:rPr>
          <w:color w:val="000000"/>
        </w:rPr>
        <w:t xml:space="preserve">” </w:t>
      </w:r>
      <w:r>
        <w:rPr>
          <w:rFonts w:ascii="Arial;sans-serif" w:hAnsi="Arial;sans-serif"/>
          <w:b w:val="false"/>
          <w:color w:val="000000"/>
          <w:sz w:val="20"/>
        </w:rPr>
        <w:t>is defined in Section 5.1(ii)(1).</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ind w:left="0" w:right="0" w:firstLine="1840"/>
        <w:jc w:val="left"/>
        <w:rPr/>
      </w:pPr>
      <w:r>
        <w:rPr>
          <w:rFonts w:ascii="Arial;sans-serif" w:hAnsi="Arial;sans-serif"/>
          <w:b w:val="false"/>
          <w:color w:val="000000"/>
          <w:sz w:val="20"/>
        </w:rPr>
        <w:t>(d)</w:t>
      </w:r>
      <w:r>
        <w:rPr>
          <w:color w:val="000000"/>
        </w:rPr>
        <w:t>“</w:t>
      </w:r>
      <w:r>
        <w:rPr>
          <w:rFonts w:ascii="Arial;sans-serif" w:hAnsi="Arial;sans-serif"/>
          <w:b w:val="false"/>
          <w:color w:val="000000"/>
          <w:sz w:val="20"/>
          <w:u w:val="single"/>
        </w:rPr>
        <w:t>Business Day</w:t>
      </w:r>
      <w:r>
        <w:rPr>
          <w:color w:val="000000"/>
        </w:rPr>
        <w:t xml:space="preserve">” </w:t>
      </w:r>
      <w:r>
        <w:rPr>
          <w:rFonts w:ascii="Arial;sans-serif" w:hAnsi="Arial;sans-serif"/>
          <w:b w:val="false"/>
          <w:color w:val="000000"/>
          <w:sz w:val="20"/>
        </w:rPr>
        <w:t>means any day that is not a Saturday, a Sunday or other day on which banks are required or authorized by Law to be closed in the City of New York.</w:t>
      </w:r>
    </w:p>
    <w:p>
      <w:pPr>
        <w:pStyle w:val="TextBody"/>
        <w:bidi w:val="0"/>
        <w:spacing w:lineRule="auto" w:line="240" w:before="0" w:after="180"/>
        <w:ind w:left="0" w:right="0" w:firstLine="1840"/>
        <w:jc w:val="left"/>
        <w:rPr/>
      </w:pPr>
      <w:r>
        <w:rPr>
          <w:rFonts w:ascii="Arial;sans-serif" w:hAnsi="Arial;sans-serif"/>
          <w:b w:val="false"/>
          <w:color w:val="000000"/>
          <w:sz w:val="20"/>
        </w:rPr>
        <w:t>(e)</w:t>
      </w:r>
      <w:r>
        <w:rPr>
          <w:color w:val="000000"/>
          <w:u w:val="single"/>
        </w:rPr>
        <w:t>“</w:t>
      </w:r>
      <w:r>
        <w:rPr>
          <w:rFonts w:ascii="Arial;sans-serif" w:hAnsi="Arial;sans-serif"/>
          <w:b w:val="false"/>
          <w:color w:val="000000"/>
          <w:sz w:val="20"/>
          <w:u w:val="single"/>
        </w:rPr>
        <w:t>By-laws</w:t>
      </w:r>
      <w:r>
        <w:rPr>
          <w:color w:val="000000"/>
        </w:rPr>
        <w:t xml:space="preserve">” </w:t>
      </w:r>
      <w:r>
        <w:rPr>
          <w:rFonts w:ascii="Arial;sans-serif" w:hAnsi="Arial;sans-serif"/>
          <w:b w:val="false"/>
          <w:color w:val="000000"/>
          <w:sz w:val="20"/>
        </w:rPr>
        <w:t>is defined in Section 7.1.</w:t>
      </w:r>
    </w:p>
    <w:p>
      <w:pPr>
        <w:pStyle w:val="TextBody"/>
        <w:bidi w:val="0"/>
        <w:spacing w:lineRule="auto" w:line="240" w:before="0" w:after="180"/>
        <w:ind w:left="0" w:right="0" w:firstLine="1840"/>
        <w:jc w:val="left"/>
        <w:rPr/>
      </w:pPr>
      <w:r>
        <w:rPr>
          <w:rFonts w:ascii="Arial;sans-serif" w:hAnsi="Arial;sans-serif"/>
          <w:b w:val="false"/>
          <w:color w:val="000000"/>
          <w:sz w:val="20"/>
        </w:rPr>
        <w:t>(f)</w:t>
      </w:r>
      <w:r>
        <w:rPr>
          <w:color w:val="000000"/>
        </w:rPr>
        <w:t>“</w:t>
      </w:r>
      <w:r>
        <w:rPr>
          <w:rFonts w:ascii="Arial;sans-serif" w:hAnsi="Arial;sans-serif"/>
          <w:b w:val="false"/>
          <w:color w:val="000000"/>
          <w:sz w:val="20"/>
          <w:u w:val="single"/>
        </w:rPr>
        <w:t>Chairman</w:t>
      </w:r>
      <w:r>
        <w:rPr>
          <w:color w:val="000000"/>
        </w:rPr>
        <w:t xml:space="preserve">” </w:t>
      </w:r>
      <w:r>
        <w:rPr>
          <w:rFonts w:ascii="Arial;sans-serif" w:hAnsi="Arial;sans-serif"/>
          <w:b w:val="false"/>
          <w:color w:val="000000"/>
          <w:sz w:val="20"/>
        </w:rPr>
        <w:t>means the Chairman of the Board.</w:t>
      </w:r>
    </w:p>
    <w:p>
      <w:pPr>
        <w:pStyle w:val="TextBody"/>
        <w:bidi w:val="0"/>
        <w:spacing w:lineRule="auto" w:line="240" w:before="0" w:after="180"/>
        <w:ind w:left="0" w:right="0" w:firstLine="1840"/>
        <w:jc w:val="left"/>
        <w:rPr/>
      </w:pPr>
      <w:r>
        <w:rPr>
          <w:rFonts w:ascii="Arial;sans-serif" w:hAnsi="Arial;sans-serif"/>
          <w:b w:val="false"/>
          <w:color w:val="000000"/>
          <w:sz w:val="20"/>
        </w:rPr>
        <w:t>(g)</w:t>
      </w:r>
      <w:r>
        <w:rPr>
          <w:color w:val="000000"/>
        </w:rPr>
        <w:t>“</w:t>
      </w:r>
      <w:r>
        <w:rPr>
          <w:rFonts w:ascii="Arial;sans-serif" w:hAnsi="Arial;sans-serif"/>
          <w:b w:val="false"/>
          <w:color w:val="000000"/>
          <w:sz w:val="20"/>
          <w:u w:val="single"/>
        </w:rPr>
        <w:t>Chief Executive Officer</w:t>
      </w:r>
      <w:r>
        <w:rPr>
          <w:color w:val="000000"/>
        </w:rPr>
        <w:t xml:space="preserve">” </w:t>
      </w:r>
      <w:r>
        <w:rPr>
          <w:rFonts w:ascii="Arial;sans-serif" w:hAnsi="Arial;sans-serif"/>
          <w:b w:val="false"/>
          <w:color w:val="000000"/>
          <w:sz w:val="20"/>
        </w:rPr>
        <w:t>means the Chief Executive Officer of the Corporation.</w:t>
      </w:r>
    </w:p>
    <w:p>
      <w:pPr>
        <w:pStyle w:val="TextBody"/>
        <w:bidi w:val="0"/>
        <w:spacing w:lineRule="auto" w:line="240" w:before="0" w:after="180"/>
        <w:ind w:left="0" w:right="0" w:firstLine="1840"/>
        <w:jc w:val="left"/>
        <w:rPr/>
      </w:pPr>
      <w:r>
        <w:rPr>
          <w:rFonts w:ascii="Arial;sans-serif" w:hAnsi="Arial;sans-serif"/>
          <w:b w:val="false"/>
          <w:color w:val="000000"/>
          <w:sz w:val="20"/>
        </w:rPr>
        <w:t>(h)</w:t>
      </w:r>
      <w:r>
        <w:rPr>
          <w:color w:val="000000"/>
        </w:rPr>
        <w:t>“</w:t>
      </w:r>
      <w:r>
        <w:rPr>
          <w:rFonts w:ascii="Arial;sans-serif" w:hAnsi="Arial;sans-serif"/>
          <w:b w:val="false"/>
          <w:color w:val="000000"/>
          <w:sz w:val="20"/>
          <w:u w:val="single"/>
        </w:rPr>
        <w:t>Class A Common Stock</w:t>
      </w:r>
      <w:r>
        <w:rPr>
          <w:color w:val="000000"/>
        </w:rPr>
        <w:t xml:space="preserve">” </w:t>
      </w:r>
      <w:r>
        <w:rPr>
          <w:rFonts w:ascii="Arial;sans-serif" w:hAnsi="Arial;sans-serif"/>
          <w:b w:val="false"/>
          <w:color w:val="000000"/>
          <w:sz w:val="20"/>
        </w:rPr>
        <w:t>is defined in Section 4.1.</w:t>
      </w:r>
    </w:p>
    <w:p>
      <w:pPr>
        <w:pStyle w:val="TextBody"/>
        <w:bidi w:val="0"/>
        <w:spacing w:lineRule="auto" w:line="240" w:before="0" w:after="180"/>
        <w:ind w:left="0" w:right="0" w:firstLine="1840"/>
        <w:jc w:val="left"/>
        <w:rPr/>
      </w:pPr>
      <w:r>
        <w:rPr>
          <w:rFonts w:ascii="Arial;sans-serif" w:hAnsi="Arial;sans-serif"/>
          <w:b w:val="false"/>
          <w:color w:val="000000"/>
          <w:sz w:val="20"/>
        </w:rPr>
        <w:t>(i)</w:t>
      </w:r>
      <w:r>
        <w:rPr>
          <w:color w:val="000000"/>
        </w:rPr>
        <w:t>“</w:t>
      </w:r>
      <w:r>
        <w:rPr>
          <w:rFonts w:ascii="Arial;sans-serif" w:hAnsi="Arial;sans-serif"/>
          <w:b w:val="false"/>
          <w:color w:val="000000"/>
          <w:sz w:val="20"/>
          <w:u w:val="single"/>
        </w:rPr>
        <w:t>Class B Common Stock</w:t>
      </w:r>
      <w:r>
        <w:rPr>
          <w:color w:val="000000"/>
        </w:rPr>
        <w:t xml:space="preserve">” </w:t>
      </w:r>
      <w:r>
        <w:rPr>
          <w:rFonts w:ascii="Arial;sans-serif" w:hAnsi="Arial;sans-serif"/>
          <w:b w:val="false"/>
          <w:color w:val="000000"/>
          <w:sz w:val="20"/>
        </w:rPr>
        <w:t>is defined in Section 4.1.</w:t>
      </w:r>
    </w:p>
    <w:p>
      <w:pPr>
        <w:pStyle w:val="TextBody"/>
        <w:bidi w:val="0"/>
        <w:spacing w:lineRule="auto" w:line="240" w:before="0" w:after="180"/>
        <w:ind w:left="0" w:right="0" w:firstLine="1840"/>
        <w:jc w:val="left"/>
        <w:rPr/>
      </w:pPr>
      <w:r>
        <w:rPr>
          <w:rFonts w:ascii="Arial;sans-serif" w:hAnsi="Arial;sans-serif"/>
          <w:b w:val="false"/>
          <w:color w:val="000000"/>
          <w:sz w:val="20"/>
        </w:rPr>
        <w:t>(j)</w:t>
      </w:r>
      <w:r>
        <w:rPr>
          <w:color w:val="000000"/>
        </w:rPr>
        <w:t>“</w:t>
      </w:r>
      <w:r>
        <w:rPr>
          <w:rFonts w:ascii="Arial;sans-serif" w:hAnsi="Arial;sans-serif"/>
          <w:b w:val="false"/>
          <w:color w:val="000000"/>
          <w:sz w:val="20"/>
          <w:u w:val="single"/>
        </w:rPr>
        <w:t>Class B Transfer Agent</w:t>
      </w:r>
      <w:r>
        <w:rPr>
          <w:color w:val="000000"/>
        </w:rPr>
        <w:t xml:space="preserve">” </w:t>
      </w:r>
      <w:r>
        <w:rPr>
          <w:rFonts w:ascii="Arial;sans-serif" w:hAnsi="Arial;sans-serif"/>
          <w:b w:val="false"/>
          <w:color w:val="000000"/>
          <w:sz w:val="20"/>
        </w:rPr>
        <w:t>is defined in Section 6.1(i).</w:t>
      </w:r>
    </w:p>
    <w:p>
      <w:pPr>
        <w:pStyle w:val="TextBody"/>
        <w:bidi w:val="0"/>
        <w:spacing w:lineRule="auto" w:line="240" w:before="0" w:after="180"/>
        <w:ind w:left="0" w:right="0" w:firstLine="1840"/>
        <w:jc w:val="left"/>
        <w:rPr/>
      </w:pPr>
      <w:r>
        <w:rPr>
          <w:rFonts w:ascii="Arial;sans-serif" w:hAnsi="Arial;sans-serif"/>
          <w:b w:val="false"/>
          <w:color w:val="000000"/>
          <w:sz w:val="20"/>
        </w:rPr>
        <w:t>(k)</w:t>
      </w:r>
      <w:r>
        <w:rPr>
          <w:color w:val="000000"/>
        </w:rPr>
        <w:t>“</w:t>
      </w:r>
      <w:r>
        <w:rPr>
          <w:rFonts w:ascii="Arial;sans-serif" w:hAnsi="Arial;sans-serif"/>
          <w:b w:val="false"/>
          <w:color w:val="000000"/>
          <w:sz w:val="20"/>
          <w:u w:val="single"/>
        </w:rPr>
        <w:t>Class C Common Stock</w:t>
      </w:r>
      <w:r>
        <w:rPr>
          <w:color w:val="000000"/>
        </w:rPr>
        <w:t xml:space="preserve">” </w:t>
      </w:r>
      <w:r>
        <w:rPr>
          <w:rFonts w:ascii="Arial;sans-serif" w:hAnsi="Arial;sans-serif"/>
          <w:b w:val="false"/>
          <w:color w:val="000000"/>
          <w:sz w:val="20"/>
        </w:rPr>
        <w:t>is defined in Section 4.1.</w:t>
      </w:r>
    </w:p>
    <w:p>
      <w:pPr>
        <w:pStyle w:val="TextBody"/>
        <w:bidi w:val="0"/>
        <w:spacing w:lineRule="auto" w:line="240" w:before="0" w:after="180"/>
        <w:ind w:left="0" w:right="0" w:firstLine="1840"/>
        <w:jc w:val="left"/>
        <w:rPr/>
      </w:pPr>
      <w:r>
        <w:rPr>
          <w:rFonts w:ascii="Arial;sans-serif" w:hAnsi="Arial;sans-serif"/>
          <w:b w:val="false"/>
          <w:color w:val="000000"/>
          <w:sz w:val="20"/>
        </w:rPr>
        <w:t>(l)</w:t>
      </w:r>
      <w:r>
        <w:rPr>
          <w:color w:val="000000"/>
        </w:rPr>
        <w:t>“</w:t>
      </w:r>
      <w:r>
        <w:rPr>
          <w:rFonts w:ascii="Arial;sans-serif" w:hAnsi="Arial;sans-serif"/>
          <w:b w:val="false"/>
          <w:color w:val="000000"/>
          <w:sz w:val="20"/>
          <w:u w:val="single"/>
        </w:rPr>
        <w:t>Class C Paired Interest</w:t>
      </w:r>
      <w:r>
        <w:rPr>
          <w:color w:val="000000"/>
        </w:rPr>
        <w:t xml:space="preserve">” </w:t>
      </w:r>
      <w:r>
        <w:rPr>
          <w:rFonts w:ascii="Arial;sans-serif" w:hAnsi="Arial;sans-serif"/>
          <w:b w:val="false"/>
          <w:color w:val="000000"/>
          <w:sz w:val="20"/>
        </w:rPr>
        <w:t>means one Common Unit together with one share of Class C Common Stock, subject to adjustment pursuant to Section 2.02(a) of the Exchange Agreement.</w:t>
      </w:r>
    </w:p>
    <w:p>
      <w:pPr>
        <w:pStyle w:val="TextBody"/>
        <w:bidi w:val="0"/>
        <w:spacing w:lineRule="auto" w:line="240" w:before="0" w:after="180"/>
        <w:ind w:left="0" w:right="0" w:firstLine="1840"/>
        <w:jc w:val="left"/>
        <w:rPr/>
      </w:pPr>
      <w:r>
        <w:rPr>
          <w:rFonts w:ascii="Arial;sans-serif" w:hAnsi="Arial;sans-serif"/>
          <w:b w:val="false"/>
          <w:color w:val="000000"/>
          <w:sz w:val="20"/>
        </w:rPr>
        <w:t>(m)</w:t>
      </w:r>
      <w:r>
        <w:rPr>
          <w:color w:val="000000"/>
        </w:rPr>
        <w:t>“</w:t>
      </w:r>
      <w:r>
        <w:rPr>
          <w:rFonts w:ascii="Arial;sans-serif" w:hAnsi="Arial;sans-serif"/>
          <w:b w:val="false"/>
          <w:color w:val="000000"/>
          <w:sz w:val="20"/>
          <w:u w:val="single"/>
        </w:rPr>
        <w:t>Class D Common Stock</w:t>
      </w:r>
      <w:r>
        <w:rPr>
          <w:color w:val="000000"/>
        </w:rPr>
        <w:t xml:space="preserve">” </w:t>
      </w:r>
      <w:r>
        <w:rPr>
          <w:rFonts w:ascii="Arial;sans-serif" w:hAnsi="Arial;sans-serif"/>
          <w:b w:val="false"/>
          <w:color w:val="000000"/>
          <w:sz w:val="20"/>
        </w:rPr>
        <w:t>is defined in Section 4.1.</w:t>
      </w:r>
    </w:p>
    <w:p>
      <w:pPr>
        <w:pStyle w:val="TextBody"/>
        <w:bidi w:val="0"/>
        <w:spacing w:lineRule="auto" w:line="240" w:before="0" w:after="180"/>
        <w:ind w:left="0" w:right="0" w:firstLine="1840"/>
        <w:jc w:val="left"/>
        <w:rPr/>
      </w:pPr>
      <w:r>
        <w:rPr>
          <w:rFonts w:ascii="Arial;sans-serif" w:hAnsi="Arial;sans-serif"/>
          <w:b w:val="false"/>
          <w:color w:val="000000"/>
          <w:sz w:val="20"/>
        </w:rPr>
        <w:t>(n)</w:t>
      </w:r>
      <w:r>
        <w:rPr>
          <w:color w:val="000000"/>
        </w:rPr>
        <w:t>“</w:t>
      </w:r>
      <w:r>
        <w:rPr>
          <w:rFonts w:ascii="Arial;sans-serif" w:hAnsi="Arial;sans-serif"/>
          <w:b w:val="false"/>
          <w:color w:val="000000"/>
          <w:sz w:val="20"/>
          <w:u w:val="single"/>
        </w:rPr>
        <w:t>Class D Paired Interest</w:t>
      </w:r>
      <w:r>
        <w:rPr>
          <w:color w:val="000000"/>
        </w:rPr>
        <w:t xml:space="preserve">” </w:t>
      </w:r>
      <w:r>
        <w:rPr>
          <w:rFonts w:ascii="Arial;sans-serif" w:hAnsi="Arial;sans-serif"/>
          <w:b w:val="false"/>
          <w:color w:val="000000"/>
          <w:sz w:val="20"/>
        </w:rPr>
        <w:t>means one Common Unit together with one share of Class D Common Stock, subject to adjustment pursuant to Section 2.02(b) of the Exchange Agreement.</w:t>
      </w:r>
    </w:p>
    <w:p>
      <w:pPr>
        <w:pStyle w:val="TextBody"/>
        <w:bidi w:val="0"/>
        <w:spacing w:lineRule="auto" w:line="240" w:before="0" w:after="180"/>
        <w:ind w:left="0" w:right="0" w:firstLine="1840"/>
        <w:jc w:val="left"/>
        <w:rPr/>
      </w:pPr>
      <w:r>
        <w:rPr>
          <w:rFonts w:ascii="Arial;sans-serif" w:hAnsi="Arial;sans-serif"/>
          <w:b w:val="false"/>
          <w:color w:val="000000"/>
          <w:sz w:val="20"/>
        </w:rPr>
        <w:t>(o)</w:t>
      </w:r>
      <w:r>
        <w:rPr>
          <w:color w:val="000000"/>
        </w:rPr>
        <w:t>“</w:t>
      </w:r>
      <w:r>
        <w:rPr>
          <w:rFonts w:ascii="Arial;sans-serif" w:hAnsi="Arial;sans-serif"/>
          <w:b w:val="false"/>
          <w:color w:val="000000"/>
          <w:sz w:val="20"/>
          <w:u w:val="single"/>
        </w:rPr>
        <w:t>Class D Transfer Agent</w:t>
      </w:r>
      <w:r>
        <w:rPr>
          <w:color w:val="000000"/>
        </w:rPr>
        <w:t xml:space="preserve">” </w:t>
      </w:r>
      <w:r>
        <w:rPr>
          <w:rFonts w:ascii="Arial;sans-serif" w:hAnsi="Arial;sans-serif"/>
          <w:b w:val="false"/>
          <w:color w:val="000000"/>
          <w:sz w:val="20"/>
        </w:rPr>
        <w:t>is defined in Section 6.1(i).</w:t>
      </w:r>
    </w:p>
    <w:p>
      <w:pPr>
        <w:pStyle w:val="TextBody"/>
        <w:bidi w:val="0"/>
        <w:spacing w:lineRule="auto" w:line="240" w:before="0" w:after="180"/>
        <w:ind w:left="0" w:right="0" w:firstLine="1840"/>
        <w:jc w:val="left"/>
        <w:rPr/>
      </w:pPr>
      <w:r>
        <w:rPr>
          <w:rFonts w:ascii="Arial;sans-serif" w:hAnsi="Arial;sans-serif"/>
          <w:b w:val="false"/>
          <w:color w:val="000000"/>
          <w:sz w:val="20"/>
        </w:rPr>
        <w:t>(p)</w:t>
      </w:r>
      <w:r>
        <w:rPr>
          <w:color w:val="000000"/>
        </w:rPr>
        <w:t>“</w:t>
      </w:r>
      <w:r>
        <w:rPr>
          <w:rFonts w:ascii="Arial;sans-serif" w:hAnsi="Arial;sans-serif"/>
          <w:b w:val="false"/>
          <w:color w:val="000000"/>
          <w:sz w:val="20"/>
          <w:u w:val="single"/>
        </w:rPr>
        <w:t>Common Stock</w:t>
      </w:r>
      <w:r>
        <w:rPr>
          <w:color w:val="000000"/>
        </w:rPr>
        <w:t xml:space="preserve">” </w:t>
      </w:r>
      <w:r>
        <w:rPr>
          <w:rFonts w:ascii="Arial;sans-serif" w:hAnsi="Arial;sans-serif"/>
          <w:b w:val="false"/>
          <w:color w:val="000000"/>
          <w:sz w:val="20"/>
        </w:rPr>
        <w:t>is defined in Section 4.1.</w:t>
      </w:r>
    </w:p>
    <w:p>
      <w:pPr>
        <w:pStyle w:val="TextBody"/>
        <w:bidi w:val="0"/>
        <w:spacing w:lineRule="auto" w:line="240" w:before="0" w:after="180"/>
        <w:ind w:left="0" w:right="0" w:firstLine="1840"/>
        <w:jc w:val="left"/>
        <w:rPr/>
      </w:pPr>
      <w:r>
        <w:rPr>
          <w:rFonts w:ascii="Arial;sans-serif" w:hAnsi="Arial;sans-serif"/>
          <w:b w:val="false"/>
          <w:color w:val="000000"/>
          <w:sz w:val="20"/>
        </w:rPr>
        <w:t>(q)</w:t>
      </w:r>
      <w:r>
        <w:rPr>
          <w:color w:val="000000"/>
        </w:rPr>
        <w:t>“</w:t>
      </w:r>
      <w:r>
        <w:rPr>
          <w:rFonts w:ascii="Arial;sans-serif" w:hAnsi="Arial;sans-serif"/>
          <w:b w:val="false"/>
          <w:color w:val="000000"/>
          <w:sz w:val="20"/>
          <w:u w:val="single"/>
        </w:rPr>
        <w:t>Common Unit</w:t>
      </w:r>
      <w:r>
        <w:rPr>
          <w:color w:val="000000"/>
        </w:rPr>
        <w:t xml:space="preserve">” </w:t>
      </w:r>
      <w:r>
        <w:rPr>
          <w:rFonts w:ascii="Arial;sans-serif" w:hAnsi="Arial;sans-serif"/>
          <w:b w:val="false"/>
          <w:color w:val="000000"/>
          <w:sz w:val="20"/>
        </w:rPr>
        <w:t>means a non-voting common interest unit of Virtu Financial.</w:t>
      </w:r>
    </w:p>
    <w:p>
      <w:pPr>
        <w:pStyle w:val="TextBody"/>
        <w:bidi w:val="0"/>
        <w:spacing w:lineRule="auto" w:line="240" w:before="0" w:after="180"/>
        <w:ind w:left="0" w:right="0" w:firstLine="1840"/>
        <w:jc w:val="left"/>
        <w:rPr/>
      </w:pPr>
      <w:r>
        <w:rPr>
          <w:rFonts w:ascii="Arial;sans-serif" w:hAnsi="Arial;sans-serif"/>
          <w:b w:val="false"/>
          <w:color w:val="000000"/>
          <w:sz w:val="20"/>
        </w:rPr>
        <w:t>(r)</w:t>
      </w:r>
      <w:r>
        <w:rPr>
          <w:color w:val="000000"/>
        </w:rPr>
        <w:t>“</w:t>
      </w:r>
      <w:r>
        <w:rPr>
          <w:rFonts w:ascii="Arial;sans-serif" w:hAnsi="Arial;sans-serif"/>
          <w:b w:val="false"/>
          <w:color w:val="000000"/>
          <w:sz w:val="20"/>
          <w:u w:val="single"/>
        </w:rPr>
        <w:t>control</w:t>
      </w:r>
      <w:r>
        <w:rPr>
          <w:color w:val="000000"/>
        </w:rPr>
        <w:t xml:space="preserve">” </w:t>
      </w:r>
      <w:r>
        <w:rPr>
          <w:rFonts w:ascii="Arial;sans-serif" w:hAnsi="Arial;sans-serif"/>
          <w:b w:val="false"/>
          <w:color w:val="000000"/>
          <w:sz w:val="20"/>
        </w:rPr>
        <w:t>(including the terms “</w:t>
      </w:r>
      <w:r>
        <w:rPr>
          <w:rFonts w:ascii="Arial;sans-serif" w:hAnsi="Arial;sans-serif"/>
          <w:b w:val="false"/>
          <w:color w:val="000000"/>
          <w:sz w:val="20"/>
          <w:u w:val="single"/>
        </w:rPr>
        <w:t>controlling</w:t>
      </w:r>
      <w:r>
        <w:rPr>
          <w:color w:val="000000"/>
        </w:rPr>
        <w:t xml:space="preserve">” </w:t>
      </w:r>
      <w:r>
        <w:rPr>
          <w:rFonts w:ascii="Arial;sans-serif" w:hAnsi="Arial;sans-serif"/>
          <w:b w:val="false"/>
          <w:color w:val="000000"/>
          <w:sz w:val="20"/>
        </w:rPr>
        <w:t xml:space="preserve">and </w:t>
      </w:r>
      <w:r>
        <w:rPr>
          <w:color w:val="000000"/>
          <w:u w:val="single"/>
        </w:rPr>
        <w:t>“</w:t>
      </w:r>
      <w:r>
        <w:rPr>
          <w:rFonts w:ascii="Arial;sans-serif" w:hAnsi="Arial;sans-serif"/>
          <w:b w:val="false"/>
          <w:color w:val="000000"/>
          <w:sz w:val="20"/>
          <w:u w:val="single"/>
        </w:rPr>
        <w:t>controlled</w:t>
      </w:r>
      <w:r>
        <w:rPr>
          <w:color w:val="000000"/>
        </w:rPr>
        <w:t>”</w:t>
      </w:r>
      <w:r>
        <w:rPr>
          <w:rFonts w:ascii="Arial;sans-serif" w:hAnsi="Arial;sans-serif"/>
          <w:b w:val="false"/>
          <w:color w:val="000000"/>
          <w:sz w:val="20"/>
        </w:rPr>
        <w:t>),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pStyle w:val="TextBody"/>
        <w:bidi w:val="0"/>
        <w:spacing w:lineRule="auto" w:line="240" w:before="0" w:after="180"/>
        <w:ind w:left="0" w:right="0" w:firstLine="1840"/>
        <w:jc w:val="left"/>
        <w:rPr/>
      </w:pPr>
      <w:r>
        <w:rPr>
          <w:rFonts w:ascii="Arial;sans-serif" w:hAnsi="Arial;sans-serif"/>
          <w:b w:val="false"/>
          <w:color w:val="000000"/>
          <w:sz w:val="20"/>
        </w:rPr>
        <w:t>(s)</w:t>
      </w:r>
      <w:r>
        <w:rPr>
          <w:color w:val="000000"/>
        </w:rPr>
        <w:t>“</w:t>
      </w:r>
      <w:r>
        <w:rPr>
          <w:rFonts w:ascii="Arial;sans-serif" w:hAnsi="Arial;sans-serif"/>
          <w:b w:val="false"/>
          <w:color w:val="000000"/>
          <w:sz w:val="20"/>
          <w:u w:val="single"/>
        </w:rPr>
        <w:t>Corporation</w:t>
      </w:r>
      <w:r>
        <w:rPr>
          <w:color w:val="000000"/>
        </w:rPr>
        <w:t xml:space="preserve">” </w:t>
      </w:r>
      <w:r>
        <w:rPr>
          <w:rFonts w:ascii="Arial;sans-serif" w:hAnsi="Arial;sans-serif"/>
          <w:b w:val="false"/>
          <w:color w:val="000000"/>
          <w:sz w:val="20"/>
        </w:rPr>
        <w:t>means Virtu Financial, Inc.</w:t>
      </w:r>
    </w:p>
    <w:p>
      <w:pPr>
        <w:pStyle w:val="TextBody"/>
        <w:bidi w:val="0"/>
        <w:spacing w:lineRule="auto" w:line="240" w:before="0" w:after="180"/>
        <w:ind w:left="0" w:right="0" w:firstLine="1840"/>
        <w:jc w:val="left"/>
        <w:rPr/>
      </w:pPr>
      <w:r>
        <w:rPr>
          <w:rFonts w:ascii="Arial;sans-serif" w:hAnsi="Arial;sans-serif"/>
          <w:b w:val="false"/>
          <w:color w:val="000000"/>
          <w:sz w:val="20"/>
        </w:rPr>
        <w:t>(t)</w:t>
      </w:r>
      <w:r>
        <w:rPr>
          <w:color w:val="000000"/>
        </w:rPr>
        <w:t>“</w:t>
      </w:r>
      <w:r>
        <w:rPr>
          <w:rFonts w:ascii="Arial;sans-serif" w:hAnsi="Arial;sans-serif"/>
          <w:b w:val="false"/>
          <w:color w:val="000000"/>
          <w:sz w:val="20"/>
          <w:u w:val="single"/>
        </w:rPr>
        <w:t>Covered Person</w:t>
      </w:r>
      <w:r>
        <w:rPr>
          <w:color w:val="000000"/>
        </w:rPr>
        <w:t xml:space="preserve">” </w:t>
      </w:r>
      <w:r>
        <w:rPr>
          <w:rFonts w:ascii="Arial;sans-serif" w:hAnsi="Arial;sans-serif"/>
          <w:b w:val="false"/>
          <w:color w:val="000000"/>
          <w:sz w:val="20"/>
        </w:rPr>
        <w:t>is defined in Section 12.1.</w:t>
      </w:r>
    </w:p>
    <w:p>
      <w:pPr>
        <w:pStyle w:val="TextBody"/>
        <w:bidi w:val="0"/>
        <w:spacing w:lineRule="auto" w:line="240" w:before="0" w:after="180"/>
        <w:ind w:left="0" w:right="0" w:firstLine="1840"/>
        <w:jc w:val="left"/>
        <w:rPr/>
      </w:pPr>
      <w:r>
        <w:rPr>
          <w:rFonts w:ascii="Arial;sans-serif" w:hAnsi="Arial;sans-serif"/>
          <w:b w:val="false"/>
          <w:color w:val="000000"/>
          <w:sz w:val="20"/>
        </w:rPr>
        <w:t>(u)</w:t>
      </w:r>
      <w:r>
        <w:rPr>
          <w:color w:val="000000"/>
        </w:rPr>
        <w:t>“</w:t>
      </w:r>
      <w:r>
        <w:rPr>
          <w:rFonts w:ascii="Arial;sans-serif" w:hAnsi="Arial;sans-serif"/>
          <w:b w:val="false"/>
          <w:color w:val="000000"/>
          <w:sz w:val="20"/>
          <w:u w:val="single"/>
        </w:rPr>
        <w:t>Director</w:t>
      </w:r>
      <w:r>
        <w:rPr>
          <w:color w:val="000000"/>
        </w:rPr>
        <w:t xml:space="preserve">” </w:t>
      </w:r>
      <w:r>
        <w:rPr>
          <w:rFonts w:ascii="Arial;sans-serif" w:hAnsi="Arial;sans-serif"/>
          <w:b w:val="false"/>
          <w:color w:val="000000"/>
          <w:sz w:val="20"/>
        </w:rPr>
        <w:t>is defined in Section 7.1.</w:t>
      </w:r>
    </w:p>
    <w:p>
      <w:pPr>
        <w:pStyle w:val="TextBody"/>
        <w:bidi w:val="0"/>
        <w:spacing w:lineRule="auto" w:line="240" w:before="0" w:after="180"/>
        <w:ind w:left="0" w:right="0" w:firstLine="1840"/>
        <w:jc w:val="left"/>
        <w:rPr/>
      </w:pPr>
      <w:r>
        <w:rPr>
          <w:rFonts w:ascii="Arial;sans-serif" w:hAnsi="Arial;sans-serif"/>
          <w:b w:val="false"/>
          <w:color w:val="000000"/>
          <w:sz w:val="20"/>
        </w:rPr>
        <w:t>(v)</w:t>
      </w:r>
      <w:r>
        <w:rPr>
          <w:color w:val="000000"/>
        </w:rPr>
        <w:t>“</w:t>
      </w:r>
      <w:r>
        <w:rPr>
          <w:rFonts w:ascii="Arial;sans-serif" w:hAnsi="Arial;sans-serif"/>
          <w:b w:val="false"/>
          <w:color w:val="000000"/>
          <w:sz w:val="20"/>
          <w:u w:val="single"/>
        </w:rPr>
        <w:t>Disposition Event</w:t>
      </w:r>
      <w:r>
        <w:rPr>
          <w:color w:val="000000"/>
        </w:rPr>
        <w:t xml:space="preserve">” </w:t>
      </w:r>
      <w:r>
        <w:rPr>
          <w:rFonts w:ascii="Arial;sans-serif" w:hAnsi="Arial;sans-serif"/>
          <w:b w:val="false"/>
          <w:color w:val="000000"/>
          <w:sz w:val="20"/>
        </w:rPr>
        <w:t>means any merger, consolidation or other business combination of the Corporation, whether effectuated through one transaction or series of related transactions (including a tender offer followed by a merger in which holders of Class A Common Stock receive the same consideration per share paid in the tender offer), unless, following such transaction, all or substantially all of the holders of the voting power of all outstanding classes of Common Stock and series of Preferred Stock that are generally entitled to vote in the election of Directors prior to such transaction or series of transactions, continue to hold a majority of the voting power of the surviving entity (or its parent) resulting from such transaction or series of transactions in substantially the same proportions as immediately prior to such transaction or series of transactions.</w:t>
      </w:r>
    </w:p>
    <w:p>
      <w:pPr>
        <w:pStyle w:val="TextBody"/>
        <w:bidi w:val="0"/>
        <w:spacing w:lineRule="auto" w:line="240" w:before="0" w:after="180"/>
        <w:ind w:left="0" w:right="0" w:firstLine="1840"/>
        <w:jc w:val="left"/>
        <w:rPr/>
      </w:pPr>
      <w:r>
        <w:rPr>
          <w:rFonts w:ascii="Arial;sans-serif" w:hAnsi="Arial;sans-serif"/>
          <w:b w:val="false"/>
          <w:color w:val="000000"/>
          <w:sz w:val="20"/>
        </w:rPr>
        <w:t>(w)</w:t>
      </w:r>
      <w:r>
        <w:rPr>
          <w:color w:val="000000"/>
        </w:rPr>
        <w:t>“</w:t>
      </w:r>
      <w:r>
        <w:rPr>
          <w:rFonts w:ascii="Arial;sans-serif" w:hAnsi="Arial;sans-serif"/>
          <w:b w:val="false"/>
          <w:color w:val="000000"/>
          <w:sz w:val="20"/>
          <w:u w:val="single"/>
        </w:rPr>
        <w:t>Economic Common Stock</w:t>
      </w:r>
      <w:r>
        <w:rPr>
          <w:color w:val="000000"/>
        </w:rPr>
        <w:t xml:space="preserve">” </w:t>
      </w:r>
      <w:r>
        <w:rPr>
          <w:rFonts w:ascii="Arial;sans-serif" w:hAnsi="Arial;sans-serif"/>
          <w:b w:val="false"/>
          <w:color w:val="000000"/>
          <w:sz w:val="20"/>
        </w:rPr>
        <w:t>is defined in Section 4.1.</w:t>
      </w:r>
    </w:p>
    <w:p>
      <w:pPr>
        <w:pStyle w:val="TextBody"/>
        <w:bidi w:val="0"/>
        <w:spacing w:lineRule="auto" w:line="240" w:before="0" w:after="180"/>
        <w:ind w:left="0" w:right="0" w:firstLine="1840"/>
        <w:jc w:val="left"/>
        <w:rPr/>
      </w:pPr>
      <w:r>
        <w:rPr>
          <w:rFonts w:ascii="Arial;sans-serif" w:hAnsi="Arial;sans-serif"/>
          <w:b w:val="false"/>
          <w:color w:val="000000"/>
          <w:sz w:val="20"/>
        </w:rPr>
        <w:t>(x)</w:t>
      </w:r>
      <w:r>
        <w:rPr>
          <w:color w:val="000000"/>
        </w:rPr>
        <w:t>“</w:t>
      </w:r>
      <w:r>
        <w:rPr>
          <w:rFonts w:ascii="Arial;sans-serif" w:hAnsi="Arial;sans-serif"/>
          <w:b w:val="false"/>
          <w:color w:val="000000"/>
          <w:sz w:val="20"/>
          <w:u w:val="single"/>
        </w:rPr>
        <w:t>Exchange Act</w:t>
      </w:r>
      <w:r>
        <w:rPr>
          <w:color w:val="000000"/>
        </w:rPr>
        <w:t xml:space="preserve">” </w:t>
      </w:r>
      <w:r>
        <w:rPr>
          <w:rFonts w:ascii="Arial;sans-serif" w:hAnsi="Arial;sans-serif"/>
          <w:b w:val="false"/>
          <w:color w:val="000000"/>
          <w:sz w:val="20"/>
        </w:rPr>
        <w:t>means the Securities Exchange Act of 1934, as amended, and any successor law or statute, together with the rules and regulations promulgated thereunder.</w:t>
      </w:r>
    </w:p>
    <w:p>
      <w:pPr>
        <w:pStyle w:val="TextBody"/>
        <w:bidi w:val="0"/>
        <w:spacing w:lineRule="auto" w:line="240" w:before="0" w:after="180"/>
        <w:ind w:left="0" w:right="0" w:firstLine="1840"/>
        <w:jc w:val="left"/>
        <w:rPr/>
      </w:pPr>
      <w:r>
        <w:rPr>
          <w:rFonts w:ascii="Arial;sans-serif" w:hAnsi="Arial;sans-serif"/>
          <w:b w:val="false"/>
          <w:color w:val="000000"/>
          <w:sz w:val="20"/>
        </w:rPr>
        <w:t>(y)</w:t>
      </w:r>
      <w:r>
        <w:rPr>
          <w:color w:val="000000"/>
        </w:rPr>
        <w:t>“</w:t>
      </w:r>
      <w:r>
        <w:rPr>
          <w:rFonts w:ascii="Arial;sans-serif" w:hAnsi="Arial;sans-serif"/>
          <w:b w:val="false"/>
          <w:color w:val="000000"/>
          <w:sz w:val="20"/>
          <w:u w:val="single"/>
        </w:rPr>
        <w:t>Exchange Agreement</w:t>
      </w:r>
      <w:r>
        <w:rPr>
          <w:color w:val="000000"/>
        </w:rPr>
        <w:t xml:space="preserve">” </w:t>
      </w:r>
      <w:r>
        <w:rPr>
          <w:rFonts w:ascii="Arial;sans-serif" w:hAnsi="Arial;sans-serif"/>
          <w:b w:val="false"/>
          <w:color w:val="000000"/>
          <w:sz w:val="20"/>
        </w:rPr>
        <w:t>means the Exchange Agreement, dated as of April 15, 2015, by and among Virtu Financial, the Corporation and the holders of Common Units and shares of Class C Common Stock and Class D Common Stock, as the same may be amended, restated, supplemented and/or otherwise modified, from time to time.</w:t>
      </w:r>
    </w:p>
    <w:p>
      <w:pPr>
        <w:pStyle w:val="TextBody"/>
        <w:bidi w:val="0"/>
        <w:spacing w:lineRule="auto" w:line="240" w:before="0" w:after="180"/>
        <w:ind w:left="0" w:right="0" w:firstLine="1840"/>
        <w:jc w:val="left"/>
        <w:rPr/>
      </w:pPr>
      <w:r>
        <w:rPr>
          <w:rFonts w:ascii="Arial;sans-serif" w:hAnsi="Arial;sans-serif"/>
          <w:b w:val="false"/>
          <w:color w:val="000000"/>
          <w:sz w:val="20"/>
        </w:rPr>
        <w:t>(z)</w:t>
      </w:r>
      <w:r>
        <w:rPr>
          <w:color w:val="000000"/>
        </w:rPr>
        <w:t>“</w:t>
      </w:r>
      <w:r>
        <w:rPr>
          <w:rFonts w:ascii="Arial;sans-serif" w:hAnsi="Arial;sans-serif"/>
          <w:b w:val="false"/>
          <w:color w:val="000000"/>
          <w:sz w:val="20"/>
          <w:u w:val="single"/>
        </w:rPr>
        <w:t>Exempted Person</w:t>
      </w:r>
      <w:r>
        <w:rPr>
          <w:color w:val="000000"/>
        </w:rPr>
        <w:t xml:space="preserve">” </w:t>
      </w:r>
      <w:r>
        <w:rPr>
          <w:rFonts w:ascii="Arial;sans-serif" w:hAnsi="Arial;sans-serif"/>
          <w:b w:val="false"/>
          <w:color w:val="000000"/>
          <w:sz w:val="20"/>
        </w:rPr>
        <w:t>is defined in Section 10.2.</w:t>
      </w:r>
    </w:p>
    <w:p>
      <w:pPr>
        <w:pStyle w:val="TextBody"/>
        <w:bidi w:val="0"/>
        <w:spacing w:lineRule="auto" w:line="240" w:before="0" w:after="180"/>
        <w:ind w:left="0" w:right="0" w:firstLine="1840"/>
        <w:jc w:val="left"/>
        <w:rPr/>
      </w:pPr>
      <w:r>
        <w:rPr>
          <w:rFonts w:ascii="Arial;sans-serif" w:hAnsi="Arial;sans-serif"/>
          <w:b w:val="false"/>
          <w:color w:val="000000"/>
          <w:sz w:val="20"/>
        </w:rPr>
        <w:t>(aa)</w:t>
      </w:r>
      <w:r>
        <w:rPr>
          <w:color w:val="000000"/>
        </w:rPr>
        <w:t>“</w:t>
      </w:r>
      <w:r>
        <w:rPr>
          <w:rFonts w:ascii="Arial;sans-serif" w:hAnsi="Arial;sans-serif"/>
          <w:b w:val="false"/>
          <w:color w:val="000000"/>
          <w:sz w:val="20"/>
          <w:u w:val="single"/>
        </w:rPr>
        <w:t>Family Member</w:t>
      </w:r>
      <w:r>
        <w:rPr>
          <w:color w:val="000000"/>
        </w:rPr>
        <w:t xml:space="preserve">” </w:t>
      </w:r>
      <w:r>
        <w:rPr>
          <w:rFonts w:ascii="Arial;sans-serif" w:hAnsi="Arial;sans-serif"/>
          <w:b w:val="false"/>
          <w:color w:val="000000"/>
          <w:sz w:val="20"/>
        </w:rPr>
        <w:t>shall mean with respect to any natural person, the spouse, parents, grandparents, lineal descendants, siblings of such person or such person’s spouse, and lineal descendants of siblings of such person or such person’s spouse. Lineal descendants shall include adopted persons, but only so long as they are adopted during minority.</w:t>
      </w:r>
    </w:p>
    <w:p>
      <w:pPr>
        <w:pStyle w:val="TextBody"/>
        <w:bidi w:val="0"/>
        <w:spacing w:lineRule="auto" w:line="240" w:before="0" w:after="180"/>
        <w:ind w:left="0" w:right="0" w:firstLine="1840"/>
        <w:jc w:val="left"/>
        <w:rPr/>
      </w:pPr>
      <w:r>
        <w:rPr>
          <w:rFonts w:ascii="Arial;sans-serif" w:hAnsi="Arial;sans-serif"/>
          <w:b w:val="false"/>
          <w:color w:val="000000"/>
          <w:sz w:val="20"/>
        </w:rPr>
        <w:t>(ab)</w:t>
      </w:r>
      <w:r>
        <w:rPr>
          <w:color w:val="000000"/>
        </w:rPr>
        <w:t>“</w:t>
      </w:r>
      <w:r>
        <w:rPr>
          <w:rFonts w:ascii="Arial;sans-serif" w:hAnsi="Arial;sans-serif"/>
          <w:b w:val="false"/>
          <w:color w:val="000000"/>
          <w:sz w:val="20"/>
          <w:u w:val="single"/>
        </w:rPr>
        <w:t>General Corporation Law</w:t>
      </w:r>
      <w:r>
        <w:rPr>
          <w:color w:val="000000"/>
        </w:rPr>
        <w:t xml:space="preserve">” </w:t>
      </w:r>
      <w:r>
        <w:rPr>
          <w:rFonts w:ascii="Arial;sans-serif" w:hAnsi="Arial;sans-serif"/>
          <w:b w:val="false"/>
          <w:color w:val="000000"/>
          <w:sz w:val="20"/>
        </w:rPr>
        <w:t>is defined in the recitals.</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ind w:left="0" w:right="0" w:firstLine="1840"/>
        <w:jc w:val="left"/>
        <w:rPr/>
      </w:pPr>
      <w:r>
        <w:rPr>
          <w:rFonts w:ascii="Arial;sans-serif" w:hAnsi="Arial;sans-serif"/>
          <w:b w:val="false"/>
          <w:color w:val="000000"/>
          <w:sz w:val="20"/>
        </w:rPr>
        <w:t>(ac)</w:t>
      </w:r>
      <w:r>
        <w:rPr>
          <w:color w:val="000000"/>
        </w:rPr>
        <w:t>“</w:t>
      </w:r>
      <w:r>
        <w:rPr>
          <w:rFonts w:ascii="Arial;sans-serif" w:hAnsi="Arial;sans-serif"/>
          <w:b w:val="false"/>
          <w:color w:val="000000"/>
          <w:sz w:val="20"/>
          <w:u w:val="single"/>
        </w:rPr>
        <w:t>Non-Economic Common Stock</w:t>
      </w:r>
      <w:r>
        <w:rPr>
          <w:color w:val="000000"/>
        </w:rPr>
        <w:t xml:space="preserve">” </w:t>
      </w:r>
      <w:r>
        <w:rPr>
          <w:rFonts w:ascii="Arial;sans-serif" w:hAnsi="Arial;sans-serif"/>
          <w:b w:val="false"/>
          <w:color w:val="000000"/>
          <w:sz w:val="20"/>
        </w:rPr>
        <w:t>is defined in Section 4.1.</w:t>
      </w:r>
    </w:p>
    <w:p>
      <w:pPr>
        <w:pStyle w:val="TextBody"/>
        <w:bidi w:val="0"/>
        <w:spacing w:lineRule="auto" w:line="240" w:before="0" w:after="180"/>
        <w:ind w:left="0" w:right="0" w:firstLine="1840"/>
        <w:jc w:val="left"/>
        <w:rPr/>
      </w:pPr>
      <w:r>
        <w:rPr>
          <w:rFonts w:ascii="Arial;sans-serif" w:hAnsi="Arial;sans-serif"/>
          <w:b w:val="false"/>
          <w:color w:val="000000"/>
          <w:sz w:val="20"/>
        </w:rPr>
        <w:t>(ad)</w:t>
      </w:r>
      <w:r>
        <w:rPr>
          <w:color w:val="000000"/>
        </w:rPr>
        <w:t>“</w:t>
      </w:r>
      <w:r>
        <w:rPr>
          <w:rFonts w:ascii="Arial;sans-serif" w:hAnsi="Arial;sans-serif"/>
          <w:b w:val="false"/>
          <w:color w:val="000000"/>
          <w:sz w:val="20"/>
          <w:u w:val="single"/>
        </w:rPr>
        <w:t>Paired Interest</w:t>
      </w:r>
      <w:r>
        <w:rPr>
          <w:color w:val="000000"/>
        </w:rPr>
        <w:t xml:space="preserve">” </w:t>
      </w:r>
      <w:r>
        <w:rPr>
          <w:rFonts w:ascii="Arial;sans-serif" w:hAnsi="Arial;sans-serif"/>
          <w:b w:val="false"/>
          <w:color w:val="000000"/>
          <w:sz w:val="20"/>
        </w:rPr>
        <w:t>means one Class C Paired Interest or one Class D Paired Interest.</w:t>
      </w:r>
    </w:p>
    <w:p>
      <w:pPr>
        <w:pStyle w:val="TextBody"/>
        <w:bidi w:val="0"/>
        <w:spacing w:lineRule="auto" w:line="240" w:before="0" w:after="180"/>
        <w:ind w:left="0" w:right="0" w:firstLine="1840"/>
        <w:jc w:val="left"/>
        <w:rPr/>
      </w:pPr>
      <w:r>
        <w:rPr>
          <w:rFonts w:ascii="Arial;sans-serif" w:hAnsi="Arial;sans-serif"/>
          <w:b w:val="false"/>
          <w:color w:val="000000"/>
          <w:sz w:val="20"/>
        </w:rPr>
        <w:t>(ae)</w:t>
      </w:r>
      <w:r>
        <w:rPr>
          <w:color w:val="000000"/>
        </w:rPr>
        <w:t>“</w:t>
      </w:r>
      <w:r>
        <w:rPr>
          <w:rFonts w:ascii="Arial;sans-serif" w:hAnsi="Arial;sans-serif"/>
          <w:b w:val="false"/>
          <w:color w:val="000000"/>
          <w:sz w:val="20"/>
          <w:u w:val="single"/>
        </w:rPr>
        <w:t>Permitted Transferees</w:t>
      </w:r>
      <w:r>
        <w:rPr>
          <w:color w:val="000000"/>
        </w:rPr>
        <w:t xml:space="preserve">” </w:t>
      </w:r>
      <w:r>
        <w:rPr>
          <w:rFonts w:ascii="Arial;sans-serif" w:hAnsi="Arial;sans-serif"/>
          <w:b w:val="false"/>
          <w:color w:val="000000"/>
          <w:sz w:val="20"/>
        </w:rPr>
        <w:t>means, with respect to any Viola Equityholder, (i) Mr. Vincent Viola or any of his Family Members or any trust, family-partnership or estate-planning vehicle so long as Mr. Viola and/or his Family Members are the sole economic beneficiaries thereof, (ii) any corporation, limited liability company, partnership or other entity of which all of the economic beneficial ownership thereof belongs to Mr. Viola, his Family Members or any trust, family-partnership or estate-planning vehicle whose economic beneficiaries consist solely of Mr. Viola and/or his Family Members, (iii) a charitable institution controlled by Mr. Viola and/or his Family Members, (iv) an individual mandated under a qualified domestic relations order and (v) a legal or personal representative of Viola Equityholder and/or his Family Members in the event of the death or disability thereof.</w:t>
      </w:r>
    </w:p>
    <w:p>
      <w:pPr>
        <w:pStyle w:val="TextBody"/>
        <w:bidi w:val="0"/>
        <w:spacing w:lineRule="auto" w:line="240" w:before="0" w:after="180"/>
        <w:ind w:left="0" w:right="0" w:firstLine="1840"/>
        <w:jc w:val="left"/>
        <w:rPr/>
      </w:pPr>
      <w:r>
        <w:rPr>
          <w:rFonts w:ascii="Arial;sans-serif" w:hAnsi="Arial;sans-serif"/>
          <w:b w:val="false"/>
          <w:color w:val="000000"/>
          <w:sz w:val="20"/>
        </w:rPr>
        <w:t>(af)</w:t>
      </w:r>
      <w:r>
        <w:rPr>
          <w:color w:val="000000"/>
        </w:rPr>
        <w:t>“</w:t>
      </w:r>
      <w:r>
        <w:rPr>
          <w:rFonts w:ascii="Arial;sans-serif" w:hAnsi="Arial;sans-serif"/>
          <w:b w:val="false"/>
          <w:color w:val="000000"/>
          <w:sz w:val="20"/>
          <w:u w:val="single"/>
        </w:rPr>
        <w:t>Person</w:t>
      </w:r>
      <w:r>
        <w:rPr>
          <w:color w:val="000000"/>
        </w:rPr>
        <w:t xml:space="preserve">” </w:t>
      </w:r>
      <w:r>
        <w:rPr>
          <w:rFonts w:ascii="Arial;sans-serif" w:hAnsi="Arial;sans-serif"/>
          <w:b w:val="false"/>
          <w:color w:val="000000"/>
          <w:sz w:val="20"/>
        </w:rPr>
        <w:t>means any individual, partnership, firm, corporation, limited liability company, association, trust, unincorporated organization or other entity.</w:t>
      </w:r>
    </w:p>
    <w:p>
      <w:pPr>
        <w:pStyle w:val="TextBody"/>
        <w:bidi w:val="0"/>
        <w:spacing w:lineRule="auto" w:line="240" w:before="0" w:after="180"/>
        <w:ind w:left="0" w:right="0" w:firstLine="1840"/>
        <w:jc w:val="left"/>
        <w:rPr/>
      </w:pPr>
      <w:r>
        <w:rPr>
          <w:rFonts w:ascii="Arial;sans-serif" w:hAnsi="Arial;sans-serif"/>
          <w:b w:val="false"/>
          <w:color w:val="000000"/>
          <w:sz w:val="20"/>
        </w:rPr>
        <w:t>(ag)</w:t>
      </w:r>
      <w:r>
        <w:rPr>
          <w:color w:val="000000"/>
        </w:rPr>
        <w:t>“</w:t>
      </w:r>
      <w:r>
        <w:rPr>
          <w:rFonts w:ascii="Arial;sans-serif" w:hAnsi="Arial;sans-serif"/>
          <w:b w:val="false"/>
          <w:color w:val="000000"/>
          <w:sz w:val="20"/>
          <w:u w:val="single"/>
        </w:rPr>
        <w:t>Preferred Stock</w:t>
      </w:r>
      <w:r>
        <w:rPr>
          <w:color w:val="000000"/>
        </w:rPr>
        <w:t xml:space="preserve">” </w:t>
      </w:r>
      <w:r>
        <w:rPr>
          <w:rFonts w:ascii="Arial;sans-serif" w:hAnsi="Arial;sans-serif"/>
          <w:b w:val="false"/>
          <w:color w:val="000000"/>
          <w:sz w:val="20"/>
        </w:rPr>
        <w:t>is defined in Section 4.1.</w:t>
      </w:r>
    </w:p>
    <w:p>
      <w:pPr>
        <w:pStyle w:val="TextBody"/>
        <w:bidi w:val="0"/>
        <w:spacing w:lineRule="auto" w:line="240" w:before="0" w:after="180"/>
        <w:ind w:left="0" w:right="0" w:firstLine="1840"/>
        <w:jc w:val="left"/>
        <w:rPr/>
      </w:pPr>
      <w:r>
        <w:rPr>
          <w:rFonts w:ascii="Arial;sans-serif" w:hAnsi="Arial;sans-serif"/>
          <w:b w:val="false"/>
          <w:color w:val="000000"/>
          <w:sz w:val="20"/>
        </w:rPr>
        <w:t>(ah)</w:t>
      </w:r>
      <w:r>
        <w:rPr>
          <w:color w:val="000000"/>
        </w:rPr>
        <w:t>“</w:t>
      </w:r>
      <w:r>
        <w:rPr>
          <w:rFonts w:ascii="Arial;sans-serif" w:hAnsi="Arial;sans-serif"/>
          <w:b w:val="false"/>
          <w:color w:val="000000"/>
          <w:sz w:val="20"/>
          <w:u w:val="single"/>
        </w:rPr>
        <w:t>Preferred Stock Directors</w:t>
      </w:r>
      <w:r>
        <w:rPr>
          <w:color w:val="000000"/>
        </w:rPr>
        <w:t xml:space="preserve">” </w:t>
      </w:r>
      <w:r>
        <w:rPr>
          <w:rFonts w:ascii="Arial;sans-serif" w:hAnsi="Arial;sans-serif"/>
          <w:b w:val="false"/>
          <w:color w:val="000000"/>
          <w:sz w:val="20"/>
        </w:rPr>
        <w:t>is defined in Section 7.1.</w:t>
      </w:r>
    </w:p>
    <w:p>
      <w:pPr>
        <w:pStyle w:val="TextBody"/>
        <w:bidi w:val="0"/>
        <w:spacing w:lineRule="auto" w:line="240" w:before="0" w:after="180"/>
        <w:ind w:left="0" w:right="0" w:firstLine="1840"/>
        <w:jc w:val="left"/>
        <w:rPr/>
      </w:pPr>
      <w:r>
        <w:rPr>
          <w:rFonts w:ascii="Arial;sans-serif" w:hAnsi="Arial;sans-serif"/>
          <w:b w:val="false"/>
          <w:color w:val="000000"/>
          <w:sz w:val="20"/>
        </w:rPr>
        <w:t>(ai)</w:t>
      </w:r>
      <w:r>
        <w:rPr>
          <w:color w:val="000000"/>
        </w:rPr>
        <w:t>“</w:t>
      </w:r>
      <w:r>
        <w:rPr>
          <w:rFonts w:ascii="Arial;sans-serif" w:hAnsi="Arial;sans-serif"/>
          <w:b w:val="false"/>
          <w:color w:val="000000"/>
          <w:sz w:val="20"/>
          <w:u w:val="single"/>
        </w:rPr>
        <w:t>Principal Stockholders</w:t>
      </w:r>
      <w:r>
        <w:rPr>
          <w:color w:val="000000"/>
        </w:rPr>
        <w:t xml:space="preserve">” </w:t>
      </w:r>
      <w:r>
        <w:rPr>
          <w:rFonts w:ascii="Arial;sans-serif" w:hAnsi="Arial;sans-serif"/>
          <w:b w:val="false"/>
          <w:color w:val="000000"/>
          <w:sz w:val="20"/>
        </w:rPr>
        <w:t>means the Viola Entities, the Silver Lake Entities and the Temasek Entities.</w:t>
      </w:r>
    </w:p>
    <w:p>
      <w:pPr>
        <w:pStyle w:val="TextBody"/>
        <w:bidi w:val="0"/>
        <w:spacing w:lineRule="auto" w:line="240" w:before="0" w:after="180"/>
        <w:ind w:left="0" w:right="0" w:firstLine="1840"/>
        <w:jc w:val="left"/>
        <w:rPr/>
      </w:pPr>
      <w:r>
        <w:rPr>
          <w:rFonts w:ascii="Arial;sans-serif" w:hAnsi="Arial;sans-serif"/>
          <w:b w:val="false"/>
          <w:color w:val="000000"/>
          <w:sz w:val="20"/>
        </w:rPr>
        <w:t>(aj)</w:t>
      </w:r>
      <w:r>
        <w:rPr>
          <w:rFonts w:ascii="Arial;sans-serif" w:hAnsi="Arial;sans-serif"/>
          <w:b w:val="false"/>
          <w:color w:val="000000"/>
          <w:sz w:val="20"/>
        </w:rPr>
        <w:t>(jj) “</w:t>
      </w:r>
      <w:r>
        <w:rPr>
          <w:rFonts w:ascii="Arial;sans-serif" w:hAnsi="Arial;sans-serif"/>
          <w:b w:val="false"/>
          <w:color w:val="000000"/>
          <w:sz w:val="20"/>
          <w:u w:val="single"/>
        </w:rPr>
        <w:t>Proceeding</w:t>
      </w:r>
      <w:r>
        <w:rPr>
          <w:color w:val="000000"/>
        </w:rPr>
        <w:t xml:space="preserve">” </w:t>
      </w:r>
      <w:r>
        <w:rPr>
          <w:rFonts w:ascii="Arial;sans-serif" w:hAnsi="Arial;sans-serif"/>
          <w:b w:val="false"/>
          <w:color w:val="000000"/>
          <w:sz w:val="20"/>
        </w:rPr>
        <w:t>is defined in Section 12.1.</w:t>
      </w:r>
    </w:p>
    <w:p>
      <w:pPr>
        <w:pStyle w:val="TextBody"/>
        <w:bidi w:val="0"/>
        <w:spacing w:lineRule="auto" w:line="240" w:before="0" w:after="180"/>
        <w:ind w:left="0" w:right="0" w:firstLine="1840"/>
        <w:jc w:val="left"/>
        <w:rPr/>
      </w:pPr>
      <w:r>
        <w:rPr>
          <w:rFonts w:ascii="Arial;sans-serif" w:hAnsi="Arial;sans-serif"/>
          <w:b w:val="false"/>
          <w:color w:val="000000"/>
          <w:sz w:val="20"/>
        </w:rPr>
        <w:t>(ak)</w:t>
      </w:r>
      <w:r>
        <w:rPr>
          <w:color w:val="000000"/>
        </w:rPr>
        <w:t>“</w:t>
      </w:r>
      <w:r>
        <w:rPr>
          <w:rFonts w:ascii="Arial;sans-serif" w:hAnsi="Arial;sans-serif"/>
          <w:b w:val="false"/>
          <w:color w:val="000000"/>
          <w:sz w:val="20"/>
          <w:u w:val="single"/>
        </w:rPr>
        <w:t>Silver Lake Entities</w:t>
      </w:r>
      <w:r>
        <w:rPr>
          <w:color w:val="000000"/>
        </w:rPr>
        <w:t xml:space="preserve">” </w:t>
      </w:r>
      <w:r>
        <w:rPr>
          <w:rFonts w:ascii="Arial;sans-serif" w:hAnsi="Arial;sans-serif"/>
          <w:b w:val="false"/>
          <w:color w:val="000000"/>
          <w:sz w:val="20"/>
        </w:rPr>
        <w:t>means any investment funds managed, sponsored, controlled or advised by Silver Lake Group L.L.C. and their respective successors and Affiliates.</w:t>
      </w:r>
    </w:p>
    <w:p>
      <w:pPr>
        <w:pStyle w:val="TextBody"/>
        <w:bidi w:val="0"/>
        <w:spacing w:lineRule="auto" w:line="240" w:before="0" w:after="180"/>
        <w:ind w:left="0" w:right="0" w:firstLine="1840"/>
        <w:jc w:val="left"/>
        <w:rPr/>
      </w:pPr>
      <w:r>
        <w:rPr>
          <w:rFonts w:ascii="Arial;sans-serif" w:hAnsi="Arial;sans-serif"/>
          <w:b w:val="false"/>
          <w:color w:val="000000"/>
          <w:sz w:val="20"/>
        </w:rPr>
        <w:t>(al)</w:t>
      </w:r>
      <w:r>
        <w:rPr>
          <w:color w:val="000000"/>
        </w:rPr>
        <w:t>“</w:t>
      </w:r>
      <w:r>
        <w:rPr>
          <w:rFonts w:ascii="Arial;sans-serif" w:hAnsi="Arial;sans-serif"/>
          <w:b w:val="false"/>
          <w:color w:val="000000"/>
          <w:sz w:val="20"/>
          <w:u w:val="single"/>
        </w:rPr>
        <w:t>Specified Activity</w:t>
      </w:r>
      <w:r>
        <w:rPr>
          <w:color w:val="000000"/>
        </w:rPr>
        <w:t xml:space="preserve">” </w:t>
      </w:r>
      <w:r>
        <w:rPr>
          <w:rFonts w:ascii="Arial;sans-serif" w:hAnsi="Arial;sans-serif"/>
          <w:b w:val="false"/>
          <w:color w:val="000000"/>
          <w:sz w:val="20"/>
        </w:rPr>
        <w:t>is defined in Section 10.2.</w:t>
      </w:r>
    </w:p>
    <w:p>
      <w:pPr>
        <w:pStyle w:val="TextBody"/>
        <w:bidi w:val="0"/>
        <w:spacing w:lineRule="auto" w:line="240" w:before="0" w:after="180"/>
        <w:ind w:left="0" w:right="0" w:firstLine="1840"/>
        <w:jc w:val="left"/>
        <w:rPr/>
      </w:pPr>
      <w:r>
        <w:rPr>
          <w:rFonts w:ascii="Arial;sans-serif" w:hAnsi="Arial;sans-serif"/>
          <w:b w:val="false"/>
          <w:color w:val="000000"/>
          <w:sz w:val="20"/>
        </w:rPr>
        <w:t>(am)</w:t>
      </w:r>
      <w:r>
        <w:rPr>
          <w:color w:val="000000"/>
        </w:rPr>
        <w:t>“</w:t>
      </w:r>
      <w:r>
        <w:rPr>
          <w:rFonts w:ascii="Arial;sans-serif" w:hAnsi="Arial;sans-serif"/>
          <w:b w:val="false"/>
          <w:color w:val="000000"/>
          <w:sz w:val="20"/>
          <w:u w:val="single"/>
        </w:rPr>
        <w:t>Stock Adjustment</w:t>
      </w:r>
      <w:r>
        <w:rPr>
          <w:color w:val="000000"/>
        </w:rPr>
        <w:t xml:space="preserve">” </w:t>
      </w:r>
      <w:r>
        <w:rPr>
          <w:rFonts w:ascii="Arial;sans-serif" w:hAnsi="Arial;sans-serif"/>
          <w:b w:val="false"/>
          <w:color w:val="000000"/>
          <w:sz w:val="20"/>
        </w:rPr>
        <w:t>is defined in Section 5.1(ii)(4).</w:t>
      </w:r>
    </w:p>
    <w:p>
      <w:pPr>
        <w:pStyle w:val="TextBody"/>
        <w:bidi w:val="0"/>
        <w:spacing w:lineRule="auto" w:line="240" w:before="0" w:after="180"/>
        <w:ind w:left="0" w:right="0" w:firstLine="1840"/>
        <w:jc w:val="left"/>
        <w:rPr/>
      </w:pPr>
      <w:r>
        <w:rPr>
          <w:rFonts w:ascii="Arial;sans-serif" w:hAnsi="Arial;sans-serif"/>
          <w:b w:val="false"/>
          <w:color w:val="000000"/>
          <w:sz w:val="20"/>
        </w:rPr>
        <w:t>(an)</w:t>
      </w:r>
      <w:r>
        <w:rPr>
          <w:color w:val="000000"/>
        </w:rPr>
        <w:t xml:space="preserve"> “</w:t>
      </w:r>
      <w:r>
        <w:rPr>
          <w:rFonts w:ascii="Arial;sans-serif" w:hAnsi="Arial;sans-serif"/>
          <w:b w:val="false"/>
          <w:color w:val="000000"/>
          <w:sz w:val="20"/>
          <w:u w:val="single"/>
        </w:rPr>
        <w:t>Stockholders Agreement</w:t>
      </w:r>
      <w:r>
        <w:rPr>
          <w:color w:val="000000"/>
        </w:rPr>
        <w:t xml:space="preserve">” </w:t>
      </w:r>
      <w:r>
        <w:rPr>
          <w:rFonts w:ascii="Arial;sans-serif" w:hAnsi="Arial;sans-serif"/>
          <w:b w:val="false"/>
          <w:color w:val="000000"/>
          <w:sz w:val="20"/>
        </w:rPr>
        <w:t>means the Stockholders Agreement, dated April 15, 2015, by and among the Corporation, TJMT Holdings LLC, Vincent Viola, SLP III EW Feeder I, L.P., SLP Virtu Investors, LLC, Silver Lake Technology Associates III, L.P. and the other persons party thereto or that may become parties thereto from time to time, as the same may be amended, restated, supplemented and/or otherwise modified, from time to time.</w:t>
      </w:r>
    </w:p>
    <w:p>
      <w:pPr>
        <w:pStyle w:val="TextBody"/>
        <w:bidi w:val="0"/>
        <w:spacing w:lineRule="auto" w:line="240" w:before="0" w:after="180"/>
        <w:ind w:left="0" w:right="0" w:firstLine="1840"/>
        <w:jc w:val="left"/>
        <w:rPr/>
      </w:pPr>
      <w:r>
        <w:rPr>
          <w:rFonts w:ascii="Arial;sans-serif" w:hAnsi="Arial;sans-serif"/>
          <w:b w:val="false"/>
          <w:color w:val="000000"/>
          <w:sz w:val="20"/>
        </w:rPr>
        <w:t>(ao)</w:t>
      </w:r>
      <w:r>
        <w:rPr>
          <w:color w:val="000000"/>
        </w:rPr>
        <w:t>“</w:t>
      </w:r>
      <w:r>
        <w:rPr>
          <w:rFonts w:ascii="Arial;sans-serif" w:hAnsi="Arial;sans-serif"/>
          <w:b w:val="false"/>
          <w:color w:val="000000"/>
          <w:sz w:val="20"/>
          <w:u w:val="single"/>
        </w:rPr>
        <w:t>Temasek Entities</w:t>
      </w:r>
      <w:r>
        <w:rPr>
          <w:color w:val="000000"/>
        </w:rPr>
        <w:t xml:space="preserve">” </w:t>
      </w:r>
      <w:r>
        <w:rPr>
          <w:rFonts w:ascii="Arial;sans-serif" w:hAnsi="Arial;sans-serif"/>
          <w:b w:val="false"/>
          <w:color w:val="000000"/>
          <w:sz w:val="20"/>
        </w:rPr>
        <w:t>means Havelock Fund Investments Pte Ltd., Temasek Holdings (Private) Limited (“</w:t>
      </w:r>
      <w:r>
        <w:rPr>
          <w:rFonts w:ascii="Arial;sans-serif" w:hAnsi="Arial;sans-serif"/>
          <w:b w:val="false"/>
          <w:color w:val="000000"/>
          <w:sz w:val="20"/>
          <w:u w:val="single"/>
        </w:rPr>
        <w:t>Temasek Holdings</w:t>
      </w:r>
      <w:r>
        <w:rPr>
          <w:color w:val="000000"/>
        </w:rPr>
        <w:t>”</w:t>
      </w:r>
      <w:r>
        <w:rPr>
          <w:rFonts w:ascii="Arial;sans-serif" w:hAnsi="Arial;sans-serif"/>
          <w:b w:val="false"/>
          <w:color w:val="000000"/>
          <w:sz w:val="20"/>
        </w:rPr>
        <w:t>) and Temasek Holdings’ direct and indirect wholly owned subsidiaries the boards of directors or equivalent governing bodies of which comprise solely nominees or employees of (i) Temasek Holdings, (ii) Temasek Pte Ltd. (a wholly owned subsidiary of Temasek Holdings) and/or (iii) wholly owned direct and indirect subsidiaries of Temasek Pte Ltd.</w:t>
      </w:r>
    </w:p>
    <w:p>
      <w:pPr>
        <w:pStyle w:val="TextBody"/>
        <w:bidi w:val="0"/>
        <w:spacing w:lineRule="auto" w:line="240" w:before="0" w:after="180"/>
        <w:ind w:left="0" w:right="0" w:firstLine="1840"/>
        <w:jc w:val="left"/>
        <w:rPr/>
      </w:pPr>
      <w:r>
        <w:rPr>
          <w:rFonts w:ascii="Arial;sans-serif" w:hAnsi="Arial;sans-serif"/>
          <w:b w:val="false"/>
          <w:color w:val="000000"/>
          <w:sz w:val="20"/>
        </w:rPr>
        <w:t>(ap)</w:t>
      </w:r>
      <w:r>
        <w:rPr>
          <w:color w:val="000000"/>
        </w:rPr>
        <w:t>“</w:t>
      </w:r>
      <w:r>
        <w:rPr>
          <w:rFonts w:ascii="Arial;sans-serif" w:hAnsi="Arial;sans-serif"/>
          <w:b w:val="false"/>
          <w:color w:val="000000"/>
          <w:sz w:val="20"/>
          <w:u w:val="single"/>
        </w:rPr>
        <w:t>Transfer</w:t>
      </w:r>
      <w:r>
        <w:rPr>
          <w:color w:val="000000"/>
        </w:rPr>
        <w:t xml:space="preserve">” </w:t>
      </w:r>
      <w:r>
        <w:rPr>
          <w:rFonts w:ascii="Arial;sans-serif" w:hAnsi="Arial;sans-serif"/>
          <w:b w:val="false"/>
          <w:color w:val="000000"/>
          <w:sz w:val="20"/>
        </w:rPr>
        <w:t xml:space="preserve">of a share of Class B Common Stock or Class D Common Stock means, directly or indirectly, any sale, assignment, transfer, exchange, gift, bequest, pledge, hypothecation or other disposition or encumbrance of such share or any legal or beneficial interest in such share, in whole or in part, whether or not for value and whether voluntary or involuntary or by operation of law;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the following shall not be considered a “Transfer”: (i) the granting of a revocable proxy to officers or directors of the Corporation at the request of the Board in connection with actions to be taken at annual or special meetings of stockholders or in connection with any action by written consent of the stockholders solicited by the Board (at such times as action by written consent of stockholders is permitted under this Amended Certificate of Incorporation); (ii) entering into a voting trust, agreement or arrangement (with or without granting a proxy) solely with the Corporation and/or its stockholders that (x) is disclosed either in a Schedule 13D filed with the Securities and Exchange Commission or in writing to the Secretary of the Corporation, (y) either has a term not exceeding one (1) year or is terminable by the holder of the shares subject thereto at any time and (z) does not involve any payment of cash, securities, property or other consideration to the holder of the shares subject thereto other than the mutual promise to vote shares in a designated manner; (iii) entering into a customary voting or support agreement (with or without granting a proxy) in connection with any merger, consolidation or other business combination of the Corporation, whether effectuated through one transaction or series of related transactions (including a tender offer followed by a merger in which holders of Class A Common Stock receive the same consideration per share paid in the tender offer); (iv) the pledge of shares of capital stock of the Corporation by a stockholder that creates a mere security interest in such shares pursuant to a bona fide loan or indebtedness transaction so long as such stockholder continues to exercise sole voting control over such pledged shares;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a foreclosure on such shares or other similar action by the pledgee shall constitute a “Transfer” or (v) the fact that the spouse of any holder of Class B Common Stock or Class D Common Stock possesses or obtains an interest in such holder’s shares of Class B Common Stock or Class D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jc w:val="left"/>
        <w:rPr>
          <w:rFonts w:ascii="Arial;sans-serif" w:hAnsi="Arial;sans-serif"/>
          <w:b w:val="false"/>
          <w:color w:val="000000"/>
          <w:sz w:val="20"/>
        </w:rPr>
      </w:pPr>
      <w:r>
        <w:rPr>
          <w:rFonts w:ascii="Arial;sans-serif" w:hAnsi="Arial;sans-serif"/>
          <w:b w:val="false"/>
          <w:color w:val="000000"/>
          <w:sz w:val="20"/>
        </w:rPr>
        <w:t>arising solely by reason of the application of the community property laws of any jurisdiction, so long as no other event or circumstance shall exist or have occurred that constitutes a “Transfer” of such shares of Class B Common Stock or Class D Common Stock.</w:t>
      </w:r>
    </w:p>
    <w:p>
      <w:pPr>
        <w:pStyle w:val="TextBody"/>
        <w:bidi w:val="0"/>
        <w:spacing w:lineRule="auto" w:line="240" w:before="0" w:after="180"/>
        <w:ind w:left="0" w:right="0" w:firstLine="1840"/>
        <w:jc w:val="left"/>
        <w:rPr/>
      </w:pPr>
      <w:r>
        <w:rPr>
          <w:rFonts w:ascii="Arial;sans-serif" w:hAnsi="Arial;sans-serif"/>
          <w:b w:val="false"/>
          <w:color w:val="000000"/>
          <w:sz w:val="20"/>
        </w:rPr>
        <w:t>(aq)</w:t>
      </w:r>
      <w:r>
        <w:rPr>
          <w:color w:val="000000"/>
        </w:rPr>
        <w:t>“</w:t>
      </w:r>
      <w:r>
        <w:rPr>
          <w:rFonts w:ascii="Arial;sans-serif" w:hAnsi="Arial;sans-serif"/>
          <w:b w:val="false"/>
          <w:color w:val="000000"/>
          <w:sz w:val="20"/>
          <w:u w:val="single"/>
        </w:rPr>
        <w:t>Triggering Event</w:t>
      </w:r>
      <w:r>
        <w:rPr>
          <w:color w:val="000000"/>
        </w:rPr>
        <w:t xml:space="preserve">” </w:t>
      </w:r>
      <w:r>
        <w:rPr>
          <w:rFonts w:ascii="Arial;sans-serif" w:hAnsi="Arial;sans-serif"/>
          <w:b w:val="false"/>
          <w:color w:val="000000"/>
          <w:sz w:val="20"/>
        </w:rPr>
        <w:t>means the first date on which Viola Equityholders cease collectively to beneficially own (as such term is defined in Rule 13d-3 and Rule l3d-5 under the Exchange Act) shares representing at least twenty-five percent (25%) of the issued and outstanding shares of Common Stock.</w:t>
      </w:r>
    </w:p>
    <w:p>
      <w:pPr>
        <w:pStyle w:val="TextBody"/>
        <w:bidi w:val="0"/>
        <w:spacing w:lineRule="auto" w:line="240" w:before="0" w:after="180"/>
        <w:ind w:left="0" w:right="0" w:firstLine="1840"/>
        <w:jc w:val="left"/>
        <w:rPr/>
      </w:pPr>
      <w:r>
        <w:rPr>
          <w:rFonts w:ascii="Arial;sans-serif" w:hAnsi="Arial;sans-serif"/>
          <w:b w:val="false"/>
          <w:color w:val="000000"/>
          <w:sz w:val="20"/>
        </w:rPr>
        <w:t>(ar)</w:t>
      </w:r>
      <w:r>
        <w:rPr>
          <w:color w:val="000000"/>
        </w:rPr>
        <w:t>“</w:t>
      </w:r>
      <w:r>
        <w:rPr>
          <w:rFonts w:ascii="Arial;sans-serif" w:hAnsi="Arial;sans-serif"/>
          <w:b w:val="false"/>
          <w:color w:val="000000"/>
          <w:sz w:val="20"/>
          <w:u w:val="single"/>
        </w:rPr>
        <w:t>Vice Chairman</w:t>
      </w:r>
      <w:r>
        <w:rPr>
          <w:color w:val="000000"/>
        </w:rPr>
        <w:t xml:space="preserve">” </w:t>
      </w:r>
      <w:r>
        <w:rPr>
          <w:rFonts w:ascii="Arial;sans-serif" w:hAnsi="Arial;sans-serif"/>
          <w:b w:val="false"/>
          <w:color w:val="000000"/>
          <w:sz w:val="20"/>
        </w:rPr>
        <w:t>means the Vice Chairman of the Board.</w:t>
      </w:r>
    </w:p>
    <w:p>
      <w:pPr>
        <w:pStyle w:val="TextBody"/>
        <w:bidi w:val="0"/>
        <w:spacing w:lineRule="auto" w:line="240" w:before="0" w:after="180"/>
        <w:ind w:left="0" w:right="0" w:firstLine="1840"/>
        <w:jc w:val="left"/>
        <w:rPr/>
      </w:pPr>
      <w:r>
        <w:rPr>
          <w:rFonts w:ascii="Arial;sans-serif" w:hAnsi="Arial;sans-serif"/>
          <w:b w:val="false"/>
          <w:color w:val="000000"/>
          <w:sz w:val="20"/>
        </w:rPr>
        <w:t>(as)</w:t>
      </w:r>
      <w:r>
        <w:rPr>
          <w:color w:val="000000"/>
        </w:rPr>
        <w:t>“</w:t>
      </w:r>
      <w:r>
        <w:rPr>
          <w:rFonts w:ascii="Arial;sans-serif" w:hAnsi="Arial;sans-serif"/>
          <w:b w:val="false"/>
          <w:color w:val="000000"/>
          <w:sz w:val="20"/>
          <w:u w:val="single"/>
        </w:rPr>
        <w:t>Viola Entities</w:t>
      </w:r>
      <w:r>
        <w:rPr>
          <w:color w:val="000000"/>
        </w:rPr>
        <w:t xml:space="preserve">” </w:t>
      </w:r>
      <w:r>
        <w:rPr>
          <w:rFonts w:ascii="Arial;sans-serif" w:hAnsi="Arial;sans-serif"/>
          <w:b w:val="false"/>
          <w:color w:val="000000"/>
          <w:sz w:val="20"/>
        </w:rPr>
        <w:t>means Mr. Vincent Viola, TJMT Holdings LLC and any of their respective successors and Affiliates.</w:t>
      </w:r>
    </w:p>
    <w:p>
      <w:pPr>
        <w:pStyle w:val="TextBody"/>
        <w:bidi w:val="0"/>
        <w:spacing w:lineRule="auto" w:line="240" w:before="0" w:after="180"/>
        <w:ind w:left="0" w:right="0" w:firstLine="1840"/>
        <w:jc w:val="left"/>
        <w:rPr/>
      </w:pPr>
      <w:r>
        <w:rPr>
          <w:rFonts w:ascii="Arial;sans-serif" w:hAnsi="Arial;sans-serif"/>
          <w:b w:val="false"/>
          <w:color w:val="000000"/>
          <w:sz w:val="20"/>
        </w:rPr>
        <w:t>(at)</w:t>
      </w:r>
      <w:r>
        <w:rPr>
          <w:color w:val="000000"/>
        </w:rPr>
        <w:t>“</w:t>
      </w:r>
      <w:r>
        <w:rPr>
          <w:rFonts w:ascii="Arial;sans-serif" w:hAnsi="Arial;sans-serif"/>
          <w:b w:val="false"/>
          <w:color w:val="000000"/>
          <w:sz w:val="20"/>
          <w:u w:val="single"/>
        </w:rPr>
        <w:t>Viola Equityholders</w:t>
      </w:r>
      <w:r>
        <w:rPr>
          <w:color w:val="000000"/>
        </w:rPr>
        <w:t xml:space="preserve">” </w:t>
      </w:r>
      <w:r>
        <w:rPr>
          <w:rFonts w:ascii="Arial;sans-serif" w:hAnsi="Arial;sans-serif"/>
          <w:b w:val="false"/>
          <w:color w:val="000000"/>
          <w:sz w:val="20"/>
        </w:rPr>
        <w:t>means TJMT Holdings LLC and any Permitted Transferee of a Viola Equityholder that owns shares of Common Stock.</w:t>
      </w:r>
    </w:p>
    <w:p>
      <w:pPr>
        <w:pStyle w:val="TextBody"/>
        <w:bidi w:val="0"/>
        <w:spacing w:lineRule="auto" w:line="240" w:before="0" w:after="180"/>
        <w:ind w:left="0" w:right="0" w:firstLine="1840"/>
        <w:jc w:val="left"/>
        <w:rPr/>
      </w:pPr>
      <w:r>
        <w:rPr>
          <w:rFonts w:ascii="Arial;sans-serif" w:hAnsi="Arial;sans-serif"/>
          <w:b w:val="false"/>
          <w:color w:val="000000"/>
          <w:sz w:val="20"/>
        </w:rPr>
        <w:t>(au)</w:t>
      </w:r>
      <w:r>
        <w:rPr>
          <w:color w:val="000000"/>
        </w:rPr>
        <w:t>“</w:t>
      </w:r>
      <w:r>
        <w:rPr>
          <w:rFonts w:ascii="Arial;sans-serif" w:hAnsi="Arial;sans-serif"/>
          <w:b w:val="false"/>
          <w:color w:val="000000"/>
          <w:sz w:val="20"/>
          <w:u w:val="single"/>
        </w:rPr>
        <w:t>Virtu Financial</w:t>
      </w:r>
      <w:r>
        <w:rPr>
          <w:color w:val="000000"/>
        </w:rPr>
        <w:t xml:space="preserve">” </w:t>
      </w:r>
      <w:r>
        <w:rPr>
          <w:rFonts w:ascii="Arial;sans-serif" w:hAnsi="Arial;sans-serif"/>
          <w:b w:val="false"/>
          <w:color w:val="000000"/>
          <w:sz w:val="20"/>
        </w:rPr>
        <w:t>means Virtu Financial LLC, a Delaware limited liability company, or any successor thereto.</w:t>
      </w:r>
    </w:p>
    <w:p>
      <w:pPr>
        <w:pStyle w:val="TextBody"/>
        <w:bidi w:val="0"/>
        <w:spacing w:lineRule="auto" w:line="240" w:before="0" w:after="180"/>
        <w:jc w:val="center"/>
        <w:rPr>
          <w:rFonts w:ascii="Arial;sans-serif" w:hAnsi="Arial;sans-serif"/>
          <w:b w:val="false"/>
          <w:i/>
          <w:color w:val="000000"/>
          <w:sz w:val="20"/>
        </w:rPr>
      </w:pPr>
      <w:r>
        <w:rPr>
          <w:rFonts w:ascii="Arial;sans-serif" w:hAnsi="Arial;sans-serif"/>
          <w:b w:val="false"/>
          <w:i/>
          <w:color w:val="000000"/>
          <w:sz w:val="20"/>
        </w:rPr>
        <w:t>[Remainder of page intentionally left blank.]</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640"/>
        <w:ind w:left="0" w:right="0" w:firstLine="1220"/>
        <w:jc w:val="left"/>
        <w:rPr/>
      </w:pPr>
      <w:r>
        <w:rPr>
          <w:rFonts w:ascii="Arial;sans-serif" w:hAnsi="Arial;sans-serif"/>
          <w:b w:val="false"/>
          <w:color w:val="000000"/>
          <w:sz w:val="20"/>
        </w:rPr>
        <w:t>IN WITNESS WHEREOF, this Amended and Restated Certificate of Incorporation of Virtu Financial, Inc. has been duly executed by the authorized officer below this 13</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day of June, 2023.</w:t>
      </w:r>
    </w:p>
    <w:p>
      <w:pPr>
        <w:pStyle w:val="TextBody"/>
        <w:bidi w:val="0"/>
        <w:spacing w:lineRule="auto" w:line="240" w:before="0" w:after="1140"/>
        <w:jc w:val="left"/>
        <w:rPr>
          <w:rFonts w:ascii="Arial;sans-serif" w:hAnsi="Arial;sans-serif"/>
          <w:b/>
          <w:color w:val="000000"/>
          <w:sz w:val="20"/>
        </w:rPr>
      </w:pPr>
      <w:r>
        <w:rPr>
          <w:rFonts w:ascii="Arial;sans-serif" w:hAnsi="Arial;sans-serif"/>
          <w:b/>
          <w:color w:val="000000"/>
          <w:sz w:val="20"/>
        </w:rPr>
        <w:t>VIRTU FINANCIAL, INC.</w:t>
      </w:r>
    </w:p>
    <w:p>
      <w:pPr>
        <w:pStyle w:val="TextBody"/>
        <w:bidi w:val="0"/>
        <w:spacing w:lineRule="auto" w:line="240" w:before="0" w:after="240"/>
        <w:jc w:val="left"/>
        <w:rPr/>
      </w:pPr>
      <w:r>
        <w:rPr>
          <w:rFonts w:ascii="Arial;sans-serif" w:hAnsi="Arial;sans-serif"/>
          <w:b w:val="false"/>
          <w:color w:val="000000"/>
          <w:sz w:val="20"/>
        </w:rPr>
        <w:t xml:space="preserve">By: </w:t>
      </w:r>
      <w:r>
        <w:rPr/>
        <w:drawing>
          <wp:inline distT="0" distB="0" distL="0" distR="0">
            <wp:extent cx="1171575" cy="323850"/>
            <wp:effectExtent l="0" t="0" r="0" b="0"/>
            <wp:docPr id="10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 descr=""/>
                    <pic:cNvPicPr>
                      <a:picLocks noChangeAspect="1" noChangeArrowheads="1"/>
                    </pic:cNvPicPr>
                  </pic:nvPicPr>
                  <pic:blipFill>
                    <a:blip r:embed="rId4"/>
                    <a:stretch>
                      <a:fillRect/>
                    </a:stretch>
                  </pic:blipFill>
                  <pic:spPr bwMode="auto">
                    <a:xfrm>
                      <a:off x="0" y="0"/>
                      <a:ext cx="1171575" cy="323850"/>
                    </a:xfrm>
                    <a:prstGeom prst="rect">
                      <a:avLst/>
                    </a:prstGeom>
                  </pic:spPr>
                </pic:pic>
              </a:graphicData>
            </a:graphic>
          </wp:inline>
        </w:drawing>
      </w:r>
    </w:p>
    <w:p>
      <w:pPr>
        <w:pStyle w:val="TextBody"/>
        <w:bidi w:val="0"/>
        <w:spacing w:lineRule="auto" w:line="240" w:before="0" w:after="240"/>
        <w:jc w:val="left"/>
        <w:rPr>
          <w:rFonts w:ascii="Arial;sans-serif" w:hAnsi="Arial;sans-serif"/>
          <w:b w:val="false"/>
          <w:color w:val="000000"/>
          <w:sz w:val="20"/>
        </w:rPr>
      </w:pPr>
      <w:r>
        <w:rPr>
          <w:rFonts w:ascii="Arial;sans-serif" w:hAnsi="Arial;sans-serif"/>
          <w:b w:val="false"/>
          <w:color w:val="000000"/>
          <w:sz w:val="20"/>
        </w:rPr>
        <w:t>Name: Douglas A. Cifu</w:t>
      </w:r>
    </w:p>
    <w:p>
      <w:pPr>
        <w:pStyle w:val="TextBody"/>
        <w:bidi w:val="0"/>
        <w:spacing w:lineRule="auto" w:line="240" w:before="0" w:after="440"/>
        <w:jc w:val="left"/>
        <w:rPr>
          <w:rFonts w:ascii="Arial;sans-serif" w:hAnsi="Arial;sans-serif"/>
          <w:b w:val="false"/>
          <w:color w:val="000000"/>
          <w:sz w:val="20"/>
        </w:rPr>
      </w:pPr>
      <w:r>
        <w:rPr>
          <w:rFonts w:ascii="Arial;sans-serif" w:hAnsi="Arial;sans-serif"/>
          <w:b w:val="false"/>
          <w:color w:val="000000"/>
          <w:sz w:val="20"/>
        </w:rPr>
        <w:t>Title: Chief Executive Officer</w:t>
      </w:r>
    </w:p>
    <w:p>
      <w:pPr>
        <w:pStyle w:val="TextBody"/>
        <w:bidi w:val="0"/>
        <w:spacing w:lineRule="auto" w:line="240"/>
        <w:jc w:val="center"/>
        <w:rPr>
          <w:rFonts w:ascii="Arial;sans-serif" w:hAnsi="Arial;sans-serif"/>
          <w:b w:val="false"/>
          <w:i/>
          <w:color w:val="000000"/>
          <w:sz w:val="20"/>
        </w:rPr>
      </w:pPr>
      <w:r>
        <w:rPr>
          <w:rFonts w:ascii="Arial;sans-serif" w:hAnsi="Arial;sans-serif"/>
          <w:b w:val="false"/>
          <w:i/>
          <w:color w:val="000000"/>
          <w:sz w:val="20"/>
        </w:rPr>
        <w:t>[Signature Page to Amended and Restated Certificate of Incorporation]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CEO CERTIFICATION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302 OF THE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SARBANES — 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Douglas A. Cifu,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ending June 30, 2023 of Virtu Financial, Inc. (the “registrant”) as filed with the Securities and Exchange Commission on the date 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18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603"/>
        <w:gridCol w:w="603"/>
        <w:gridCol w:w="86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28,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A. Cifu</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A. Cifu</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CFO CERTIFICATION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302 OF THE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SARBANES — 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Sean Galvin,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ending June 30, 2023 of Virtu Financial, Inc. (the “registrant”) as filed with the Securities and Exchange Commission on the date 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162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123"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586"/>
        <w:gridCol w:w="586"/>
        <w:gridCol w:w="83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28,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P. Galvin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Galvin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Virtu Financial, Inc. (the “Company”) for the period ended June 30, 2023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pStyle w:val="TextBody"/>
        <w:bidi w:val="0"/>
        <w:spacing w:before="0" w:after="0"/>
        <w:ind w:left="0" w:right="0" w:firstLine="12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ind w:left="0" w:right="0" w:firstLine="1260"/>
        <w:jc w:val="center"/>
        <w:rPr>
          <w:color w:val="000000"/>
        </w:rPr>
      </w:pPr>
      <w:r>
        <w:rPr>
          <w:color w:val="000000"/>
        </w:rPr>
        <w:t> </w:t>
      </w:r>
    </w:p>
    <w:tbl>
      <w:tblPr>
        <w:tblW w:w="2411" w:type="dxa"/>
        <w:jc w:val="left"/>
        <w:tblInd w:w="0" w:type="dxa"/>
        <w:tblLayout w:type="fixed"/>
        <w:tblCellMar>
          <w:top w:w="28" w:type="dxa"/>
          <w:left w:w="28" w:type="dxa"/>
          <w:bottom w:w="28" w:type="dxa"/>
          <w:right w:w="28" w:type="dxa"/>
        </w:tblCellMar>
      </w:tblPr>
      <w:tblGrid>
        <w:gridCol w:w="124"/>
        <w:gridCol w:w="109"/>
        <w:gridCol w:w="109"/>
        <w:gridCol w:w="603"/>
        <w:gridCol w:w="603"/>
        <w:gridCol w:w="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A. Cifu</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A. Cifu</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28, 2023</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Virtu Financial, Inc. (the “Company”) for the period ended June 30, 2023 as filed with the Securities and Exchange Commission on the date hereof (the “Report”), I, Sean P. Galvin, certify, pursuant to 18 U.S.C. Section 1350, as adopted pursuant to Section 906 of the Sarbanes-Oxley Act of 2002, in my capacity as an officer of the Company that, to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352" w:type="dxa"/>
        <w:jc w:val="left"/>
        <w:tblInd w:w="0" w:type="dxa"/>
        <w:tblLayout w:type="fixed"/>
        <w:tblCellMar>
          <w:top w:w="28" w:type="dxa"/>
          <w:left w:w="28" w:type="dxa"/>
          <w:bottom w:w="28" w:type="dxa"/>
          <w:right w:w="28" w:type="dxa"/>
        </w:tblCellMar>
      </w:tblPr>
      <w:tblGrid>
        <w:gridCol w:w="124"/>
        <w:gridCol w:w="109"/>
        <w:gridCol w:w="109"/>
        <w:gridCol w:w="586"/>
        <w:gridCol w:w="586"/>
        <w:gridCol w:w="8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P. Galvin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Galvin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28, 2023</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2386/000110465915042100/a15-8228_1ex3d1.htm" TargetMode="External"/><Relationship Id="rId3" Type="http://schemas.openxmlformats.org/officeDocument/2006/relationships/hyperlink" Target="https://www.sec.gov/Archives/edgar/data/1592386/000110465915042100/a15-8228_1ex3d2.htm" TargetMode="Externa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57198</Words>
  <Characters>315149</Characters>
  <CharactersWithSpaces>369925</CharactersWithSpaces>
  <Paragraphs>6551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