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9971.xml.htm"/>
      <w:bookmarkStart w:id="1" w:name="kswkform4_17833699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Cruger William Frank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VIRTU FINANCIAL,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Virtu Financial, Inc.</w:t>
              </w:r>
            </w:hyperlink>
            <w:r>
              <w:rPr/>
              <w:t xml:space="preserve"> [ </w:t>
            </w:r>
            <w:r>
              <w:rPr>
                <w:rFonts w:ascii="Times;serif" w:hAnsi="Times;serif"/>
                <w:color w:val="0000FF"/>
                <w:sz w:val="24"/>
                <w:shd w:fill="FFFFFF" w:val="clear"/>
              </w:rPr>
              <w:t>VIRT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7"/>
        <w:gridCol w:w="904"/>
        <w:gridCol w:w="773"/>
        <w:gridCol w:w="601"/>
        <w:gridCol w:w="354"/>
        <w:gridCol w:w="863"/>
        <w:gridCol w:w="468"/>
        <w:gridCol w:w="631"/>
        <w:gridCol w:w="1187"/>
        <w:gridCol w:w="1015"/>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3,392</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67,775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34" w:type="dxa"/>
        <w:jc w:val="left"/>
        <w:tblInd w:w="-7" w:type="dxa"/>
        <w:tblLayout w:type="fixed"/>
        <w:tblCellMar>
          <w:top w:w="60" w:type="dxa"/>
          <w:left w:w="60" w:type="dxa"/>
          <w:bottom w:w="60" w:type="dxa"/>
          <w:right w:w="60" w:type="dxa"/>
        </w:tblCellMar>
      </w:tblPr>
      <w:tblGrid>
        <w:gridCol w:w="1100"/>
        <w:gridCol w:w="861"/>
        <w:gridCol w:w="891"/>
        <w:gridCol w:w="771"/>
        <w:gridCol w:w="591"/>
        <w:gridCol w:w="300"/>
        <w:gridCol w:w="606"/>
        <w:gridCol w:w="606"/>
        <w:gridCol w:w="906"/>
        <w:gridCol w:w="801"/>
        <w:gridCol w:w="846"/>
        <w:gridCol w:w="681"/>
        <w:gridCol w:w="801"/>
        <w:gridCol w:w="936"/>
        <w:gridCol w:w="831"/>
        <w:gridCol w:w="906"/>
      </w:tblGrid>
      <w:tr>
        <w:trPr>
          <w:tblHeader w:val="true"/>
        </w:trPr>
        <w:tc>
          <w:tcPr>
            <w:tcW w:w="124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3,392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2,504</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Non-voting common interest units of Virtu Financial LLC</w:t>
            </w:r>
            <w:r>
              <w:rPr>
                <w:rFonts w:ascii="Times;serif" w:hAnsi="Times;serif"/>
                <w:color w:val="008000"/>
                <w:position w:val="7"/>
                <w:sz w:val="16"/>
                <w:sz w:val="20"/>
                <w:shd w:fill="FFFFFF" w:val="clear"/>
              </w:rPr>
              <w:t>(5)</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6,389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(6)</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of Class A common stock issued in settlement of vested restricted stock units ("RSUs") granted under the Issuer's Second Amended and Restated 2015 Management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is granted under the Issuer's Second Amended and Restated 2015 Management Incentive Plan and represents a contingent right to receive one share of Class A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vested on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on July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Pursuant to the terms of the Exchange Agreement, effective as of April 15, 2015, by and among the Issuer, Virtu Financial LLC and the equityholders of Virtu Financial LLC (the "Exchange Agreement"), Virtu Financial Units, together with a corresponding number of shares of Class C common stock, may be exchanged for shares of Class A common stock of the Issuer, which have one vote per share and economic rights (including rights to dividends and distributions upon liquidation), on a one-for-one basis at the discretion of the holder. The exchange rights under the Exchange Agreement do not expire.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By Virtu Employee Holdco LLC, a holding vehicle through which employees and directors of the Issuer hold vested and unvested Virtu Financial Units and shares of Class C common stock. The reporting person disclaims beneficial ownership in such Virtu Financial Units and shares held by Virtu Employee Holdco LLC except to the extent of his pecuniary interest therein. 6,389 Virtu Financial Units held by the reporting person are subject to time-based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Justin Waldie,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1033" TargetMode="External"/><Relationship Id="rId5" Type="http://schemas.openxmlformats.org/officeDocument/2006/relationships/hyperlink" Target="http://www.sec.gov/cgi-bin/browse-edgar?action=getcompany&amp;CIK=0001592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866</Words>
  <Characters>4572</Characters>
  <CharactersWithSpaces>5348</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