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32014d3_defa14a.htm"/>
      <w:bookmarkStart w:id="1" w:name="kstm232014d3_defa14a"/>
      <w:bookmarkEnd w:id="0"/>
      <w:bookmarkEnd w:id="1"/>
      <w:r>
        <w:rPr/>
        <w:t> </w:t>
      </w:r>
    </w:p>
    <w:p>
      <w:pPr>
        <w:pStyle w:val="TextBody"/>
        <w:spacing w:before="0" w:after="60"/>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br/>
        <w:t>the Securities Exchange Act of 1934 (Amendment No. &amp;numsp;&amp;numsp;)</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by a Party other than the Registrant ☐</w:t>
      </w:r>
    </w:p>
    <w:p>
      <w:pPr>
        <w:pStyle w:val="TextBody"/>
        <w:spacing w:before="0" w:after="0"/>
        <w:ind w:left="0" w:right="0" w:hanging="0"/>
        <w:rPr>
          <w:caps w:val="false"/>
          <w:smallCaps w:val="false"/>
        </w:rPr>
      </w:pPr>
      <w:r>
        <w:rPr>
          <w:caps w:val="false"/>
          <w:smallCaps w:val="false"/>
        </w:rPr>
        <w:t> </w:t>
      </w:r>
    </w:p>
    <w:p>
      <w:pPr>
        <w:pStyle w:val="TextBody"/>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rPr/>
      </w:pPr>
      <w:r>
        <w:rPr/>
        <w:t> </w:t>
      </w:r>
    </w:p>
    <w:tbl>
      <w:tblPr>
        <w:tblW w:w="8350" w:type="dxa"/>
        <w:jc w:val="left"/>
        <w:tblInd w:w="0" w:type="dxa"/>
        <w:tblCellMar>
          <w:top w:w="0" w:type="dxa"/>
          <w:left w:w="0" w:type="dxa"/>
          <w:bottom w:w="0" w:type="dxa"/>
          <w:right w:w="0" w:type="dxa"/>
        </w:tblCellMar>
      </w:tblPr>
      <w:tblGrid>
        <w:gridCol w:w="245"/>
        <w:gridCol w:w="8105"/>
      </w:tblGrid>
      <w:tr>
        <w:trPr/>
        <w:tc>
          <w:tcPr>
            <w:tcW w:w="245" w:type="dxa"/>
            <w:tcBorders/>
            <w:shd w:fill="auto" w:val="clear"/>
            <w:vAlign w:val="center"/>
          </w:tcPr>
          <w:p>
            <w:pPr>
              <w:pStyle w:val="TableContents"/>
              <w:spacing w:before="0" w:after="283"/>
              <w:jc w:val="left"/>
              <w:rPr/>
            </w:pPr>
            <w:r>
              <w:rPr/>
              <w:t>☐</w:t>
            </w:r>
          </w:p>
        </w:tc>
        <w:tc>
          <w:tcPr>
            <w:tcW w:w="8105" w:type="dxa"/>
            <w:tcBorders/>
            <w:shd w:fill="auto" w:val="clear"/>
            <w:vAlign w:val="center"/>
          </w:tcPr>
          <w:p>
            <w:pPr>
              <w:pStyle w:val="TableContents"/>
              <w:spacing w:before="0" w:after="283"/>
              <w:jc w:val="both"/>
              <w:rPr/>
            </w:pPr>
            <w:r>
              <w:rPr/>
              <w:t>Preliminary Proxy Statement</w:t>
            </w:r>
          </w:p>
        </w:tc>
      </w:tr>
      <w:tr>
        <w:trPr/>
        <w:tc>
          <w:tcPr>
            <w:tcW w:w="245" w:type="dxa"/>
            <w:tcBorders/>
            <w:shd w:fill="auto" w:val="clear"/>
            <w:vAlign w:val="center"/>
          </w:tcPr>
          <w:p>
            <w:pPr>
              <w:pStyle w:val="TableContents"/>
              <w:spacing w:before="0" w:after="283"/>
              <w:jc w:val="left"/>
              <w:rPr/>
            </w:pPr>
            <w:r>
              <w:rPr/>
              <w:t>☐</w:t>
            </w:r>
          </w:p>
        </w:tc>
        <w:tc>
          <w:tcPr>
            <w:tcW w:w="8105" w:type="dxa"/>
            <w:tcBorders/>
            <w:shd w:fill="auto" w:val="clear"/>
            <w:vAlign w:val="center"/>
          </w:tcPr>
          <w:p>
            <w:pPr>
              <w:pStyle w:val="TableContents"/>
              <w:spacing w:before="0" w:after="283"/>
              <w:jc w:val="both"/>
              <w:rPr>
                <w:b/>
              </w:rPr>
            </w:pPr>
            <w:r>
              <w:rPr>
                <w:b/>
              </w:rPr>
              <w:t>Confidential, for Use of the Commission Only (as permitted by Rule 14a-6(e)(2))</w:t>
            </w:r>
          </w:p>
        </w:tc>
      </w:tr>
      <w:tr>
        <w:trPr/>
        <w:tc>
          <w:tcPr>
            <w:tcW w:w="245" w:type="dxa"/>
            <w:tcBorders/>
            <w:shd w:fill="auto" w:val="clear"/>
            <w:vAlign w:val="center"/>
          </w:tcPr>
          <w:p>
            <w:pPr>
              <w:pStyle w:val="TableContents"/>
              <w:spacing w:before="0" w:after="283"/>
              <w:jc w:val="left"/>
              <w:rPr/>
            </w:pPr>
            <w:r>
              <w:rPr/>
              <w:t>☐</w:t>
            </w:r>
          </w:p>
        </w:tc>
        <w:tc>
          <w:tcPr>
            <w:tcW w:w="8105" w:type="dxa"/>
            <w:tcBorders/>
            <w:shd w:fill="auto" w:val="clear"/>
            <w:vAlign w:val="center"/>
          </w:tcPr>
          <w:p>
            <w:pPr>
              <w:pStyle w:val="TableContents"/>
              <w:spacing w:before="0" w:after="283"/>
              <w:jc w:val="both"/>
              <w:rPr/>
            </w:pPr>
            <w:r>
              <w:rPr/>
              <w:t>Definitive Proxy Statement</w:t>
            </w:r>
          </w:p>
        </w:tc>
      </w:tr>
      <w:tr>
        <w:trPr/>
        <w:tc>
          <w:tcPr>
            <w:tcW w:w="245" w:type="dxa"/>
            <w:tcBorders/>
            <w:shd w:fill="auto" w:val="clear"/>
            <w:vAlign w:val="center"/>
          </w:tcPr>
          <w:p>
            <w:pPr>
              <w:pStyle w:val="TableContents"/>
              <w:spacing w:before="0" w:after="283"/>
              <w:jc w:val="left"/>
              <w:rPr/>
            </w:pPr>
            <w:r>
              <w:rPr/>
              <w:t>☒</w:t>
            </w:r>
          </w:p>
        </w:tc>
        <w:tc>
          <w:tcPr>
            <w:tcW w:w="8105" w:type="dxa"/>
            <w:tcBorders/>
            <w:shd w:fill="auto" w:val="clear"/>
            <w:vAlign w:val="center"/>
          </w:tcPr>
          <w:p>
            <w:pPr>
              <w:pStyle w:val="TableContents"/>
              <w:spacing w:before="0" w:after="283"/>
              <w:jc w:val="both"/>
              <w:rPr/>
            </w:pPr>
            <w:r>
              <w:rPr/>
              <w:t>Definitive Additional Materials</w:t>
            </w:r>
          </w:p>
        </w:tc>
      </w:tr>
      <w:tr>
        <w:trPr/>
        <w:tc>
          <w:tcPr>
            <w:tcW w:w="245" w:type="dxa"/>
            <w:tcBorders/>
            <w:shd w:fill="auto" w:val="clear"/>
            <w:vAlign w:val="center"/>
          </w:tcPr>
          <w:p>
            <w:pPr>
              <w:pStyle w:val="TableContents"/>
              <w:spacing w:before="0" w:after="283"/>
              <w:jc w:val="left"/>
              <w:rPr/>
            </w:pPr>
            <w:r>
              <w:rPr/>
              <w:t>☐</w:t>
            </w:r>
          </w:p>
        </w:tc>
        <w:tc>
          <w:tcPr>
            <w:tcW w:w="8105" w:type="dxa"/>
            <w:tcBorders/>
            <w:shd w:fill="auto" w:val="clear"/>
            <w:vAlign w:val="center"/>
          </w:tcPr>
          <w:p>
            <w:pPr>
              <w:pStyle w:val="TableContents"/>
              <w:spacing w:before="0" w:after="283"/>
              <w:jc w:val="both"/>
              <w:rPr/>
            </w:pPr>
            <w:r>
              <w:rPr/>
              <w:t>Soliciting Material under §240.14a-12</w:t>
            </w:r>
          </w:p>
        </w:tc>
      </w:tr>
    </w:tbl>
    <w:p>
      <w:pPr>
        <w:pStyle w:val="TextBody"/>
        <w:spacing w:before="0" w:after="0"/>
        <w:ind w:left="0" w:right="0" w:hanging="0"/>
        <w:rPr>
          <w:caps w:val="false"/>
          <w:smallCaps w:val="false"/>
        </w:rPr>
      </w:pPr>
      <w:r>
        <w:rPr>
          <w:caps w:val="false"/>
          <w:smallCaps w:val="false"/>
        </w:rPr>
        <w:t> </w:t>
      </w:r>
    </w:p>
    <w:p>
      <w:pPr>
        <w:pStyle w:val="TextBody"/>
        <w:pBdr>
          <w:bottom w:val="single" w:sz="8" w:space="1" w:color="000000"/>
        </w:pBdr>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Virtu Financial, Inc.</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pBdr>
          <w:bottom w:val="single" w:sz="8" w:space="1" w:color="000000"/>
        </w:pBdr>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spacing w:before="0" w:after="0"/>
        <w:ind w:left="0" w:right="0" w:hanging="0"/>
        <w:rPr>
          <w:caps w:val="false"/>
          <w:smallCaps w:val="false"/>
        </w:rPr>
      </w:pPr>
      <w:r>
        <w:rPr>
          <w:caps w:val="false"/>
          <w:smallCaps w:val="false"/>
        </w:rPr>
        <w:t> </w:t>
      </w:r>
    </w:p>
    <w:tbl>
      <w:tblPr>
        <w:tblW w:w="8485" w:type="dxa"/>
        <w:jc w:val="left"/>
        <w:tblInd w:w="0" w:type="dxa"/>
        <w:tblCellMar>
          <w:top w:w="0" w:type="dxa"/>
          <w:left w:w="0" w:type="dxa"/>
          <w:bottom w:w="0" w:type="dxa"/>
          <w:right w:w="0" w:type="dxa"/>
        </w:tblCellMar>
      </w:tblPr>
      <w:tblGrid>
        <w:gridCol w:w="245"/>
        <w:gridCol w:w="8240"/>
      </w:tblGrid>
      <w:tr>
        <w:trPr/>
        <w:tc>
          <w:tcPr>
            <w:tcW w:w="245" w:type="dxa"/>
            <w:tcBorders/>
            <w:shd w:fill="auto" w:val="clear"/>
            <w:vAlign w:val="center"/>
          </w:tcPr>
          <w:p>
            <w:pPr>
              <w:pStyle w:val="TableContents"/>
              <w:spacing w:before="0" w:after="283"/>
              <w:jc w:val="left"/>
              <w:rPr/>
            </w:pPr>
            <w:r>
              <w:rPr/>
              <w:t>☒</w:t>
            </w:r>
          </w:p>
        </w:tc>
        <w:tc>
          <w:tcPr>
            <w:tcW w:w="8240" w:type="dxa"/>
            <w:tcBorders/>
            <w:shd w:fill="auto" w:val="clear"/>
            <w:vAlign w:val="center"/>
          </w:tcPr>
          <w:p>
            <w:pPr>
              <w:pStyle w:val="TableContents"/>
              <w:spacing w:before="0" w:after="283"/>
              <w:jc w:val="both"/>
              <w:rPr/>
            </w:pPr>
            <w:r>
              <w:rPr/>
              <w:t>No fee required.</w:t>
            </w:r>
          </w:p>
        </w:tc>
      </w:tr>
      <w:tr>
        <w:trPr/>
        <w:tc>
          <w:tcPr>
            <w:tcW w:w="245" w:type="dxa"/>
            <w:tcBorders/>
            <w:shd w:fill="auto" w:val="clear"/>
            <w:vAlign w:val="center"/>
          </w:tcPr>
          <w:p>
            <w:pPr>
              <w:pStyle w:val="TableContents"/>
              <w:spacing w:before="0" w:after="283"/>
              <w:jc w:val="left"/>
              <w:rPr/>
            </w:pPr>
            <w:r>
              <w:rPr/>
              <w:t> </w:t>
            </w:r>
          </w:p>
        </w:tc>
        <w:tc>
          <w:tcPr>
            <w:tcW w:w="8240" w:type="dxa"/>
            <w:tcBorders/>
            <w:shd w:fill="auto" w:val="clear"/>
            <w:vAlign w:val="center"/>
          </w:tcPr>
          <w:p>
            <w:pPr>
              <w:pStyle w:val="TableContents"/>
              <w:spacing w:before="0" w:after="283"/>
              <w:jc w:val="both"/>
              <w:rPr/>
            </w:pPr>
            <w:r>
              <w:rPr/>
              <w:t> </w:t>
            </w:r>
          </w:p>
        </w:tc>
      </w:tr>
      <w:tr>
        <w:trPr/>
        <w:tc>
          <w:tcPr>
            <w:tcW w:w="245" w:type="dxa"/>
            <w:tcBorders/>
            <w:shd w:fill="auto" w:val="clear"/>
            <w:vAlign w:val="center"/>
          </w:tcPr>
          <w:p>
            <w:pPr>
              <w:pStyle w:val="TableContents"/>
              <w:spacing w:before="0" w:after="283"/>
              <w:rPr/>
            </w:pPr>
            <w:r>
              <w:rPr/>
              <w:t>☐</w:t>
            </w:r>
          </w:p>
        </w:tc>
        <w:tc>
          <w:tcPr>
            <w:tcW w:w="82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shd w:fill="auto" w:val="clear"/>
            <w:vAlign w:val="center"/>
          </w:tcPr>
          <w:p>
            <w:pPr>
              <w:pStyle w:val="TableContents"/>
              <w:spacing w:before="0" w:after="283"/>
              <w:rPr/>
            </w:pPr>
            <w:r>
              <w:rPr/>
              <w:t> </w:t>
            </w:r>
          </w:p>
        </w:tc>
        <w:tc>
          <w:tcPr>
            <w:tcW w:w="8240" w:type="dxa"/>
            <w:tcBorders/>
            <w:shd w:fill="auto" w:val="clear"/>
            <w:vAlign w:val="center"/>
          </w:tcPr>
          <w:p>
            <w:pPr>
              <w:pStyle w:val="TableContents"/>
              <w:spacing w:before="0" w:after="283"/>
              <w:jc w:val="both"/>
              <w:rPr/>
            </w:pPr>
            <w:r>
              <w:rPr/>
              <w:t> </w:t>
            </w:r>
          </w:p>
        </w:tc>
      </w:tr>
      <w:tr>
        <w:trPr/>
        <w:tc>
          <w:tcPr>
            <w:tcW w:w="245" w:type="dxa"/>
            <w:tcBorders/>
            <w:shd w:fill="auto" w:val="clear"/>
            <w:vAlign w:val="center"/>
          </w:tcPr>
          <w:p>
            <w:pPr>
              <w:pStyle w:val="TableContents"/>
              <w:spacing w:before="0" w:after="283"/>
              <w:rPr/>
            </w:pPr>
            <w:r>
              <w:rPr/>
              <w:t>☐</w:t>
            </w:r>
          </w:p>
        </w:tc>
        <w:tc>
          <w:tcPr>
            <w:tcW w:w="8240" w:type="dxa"/>
            <w:tcBorders/>
            <w:shd w:fill="auto" w:val="clear"/>
            <w:vAlign w:val="center"/>
          </w:tcPr>
          <w:p>
            <w:pPr>
              <w:pStyle w:val="TableContents"/>
              <w:spacing w:before="0" w:after="283"/>
              <w:jc w:val="both"/>
              <w:rPr>
                <w:sz w:val="20"/>
              </w:rPr>
            </w:pPr>
            <w:r>
              <w:rPr>
                <w:sz w:val="20"/>
              </w:rPr>
              <w:t>Fee computed on table in exhibit required by Item 25(b) per Exchange Act Rules 14a6(i)(1) and 0-11.</w:t>
            </w:r>
          </w:p>
        </w:tc>
      </w:tr>
    </w:tbl>
    <w:p>
      <w:pPr>
        <w:pStyle w:val="TextBody"/>
        <w:spacing w:before="0" w:after="0"/>
        <w:ind w:left="0" w:right="0" w:hanging="0"/>
        <w:rPr>
          <w:caps w:val="false"/>
          <w:smallCaps w:val="false"/>
        </w:rPr>
      </w:pPr>
      <w:r>
        <w:rPr>
          <w:caps w:val="false"/>
          <w:smallCaps w:val="false"/>
        </w:rPr>
        <w:t> </w:t>
      </w:r>
    </w:p>
    <w:p>
      <w:pPr>
        <w:pStyle w:val="TextBody"/>
        <w:spacing w:before="60" w:after="283"/>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tbl>
      <w:tblPr>
        <w:tblW w:w="13055" w:type="dxa"/>
        <w:jc w:val="center"/>
        <w:tblInd w:w="0" w:type="dxa"/>
        <w:tblCellMar>
          <w:top w:w="0" w:type="dxa"/>
          <w:left w:w="0" w:type="dxa"/>
          <w:bottom w:w="0" w:type="dxa"/>
          <w:right w:w="0" w:type="dxa"/>
        </w:tblCellMar>
      </w:tblPr>
      <w:tblGrid>
        <w:gridCol w:w="12750"/>
        <w:gridCol w:w="305"/>
      </w:tblGrid>
      <w:tr>
        <w:trPr/>
        <w:tc>
          <w:tcPr>
            <w:tcW w:w="12750" w:type="dxa"/>
            <w:tcBorders/>
            <w:shd w:fill="auto" w:val="clear"/>
          </w:tcPr>
          <w:p>
            <w:pPr>
              <w:pStyle w:val="TableContents"/>
              <w:spacing w:before="0" w:after="0"/>
              <w:ind w:left="0" w:right="0" w:hanging="0"/>
              <w:jc w:val="center"/>
              <w:rPr/>
            </w:pPr>
            <w:r>
              <w:rPr/>
              <w:drawing>
                <wp:inline distT="0" distB="0" distL="0" distR="0">
                  <wp:extent cx="8096250" cy="10477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10477500"/>
                          </a:xfrm>
                          <a:prstGeom prst="rect">
                            <a:avLst/>
                          </a:prstGeom>
                        </pic:spPr>
                      </pic:pic>
                    </a:graphicData>
                  </a:graphic>
                </wp:inline>
              </w:drawing>
            </w:r>
          </w:p>
        </w:tc>
        <w:tc>
          <w:tcPr>
            <w:tcW w:w="30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Your Vote Counts! VIRTU FINANCIAL, INC. 1633 BROADWAY NEW YORK, NY 10019 VIRTU FINANCIAL, INC. 2023 Annual Meeting Vote by June 12, 2023 11:59 PM ET You invested in VIRTU FINANCIAL, INC. and it’s time to vote! You have the right to vote on proposals being presented at the Annual Meeting. This is an important notice regarding the availability of proxy material for the stockholder meeting to be held on June 13, 2023. Vote Virtually at the Meeting* June 13, 2023 9:00 AM EDT Virtually at: www.virtualshareholdermeeting.com/VIRT2023 *Please check the meeting materials for any special requirements for meeting attendance. Smartphone users Point your camera here and vote without entering a control number V1.1 For complete information and to vote, visit www.ProxyVote.com Control # V15473-P93085 Get informed before you vote View the Notice and Proxy Statement and Annual Report online OR you can receive a free paper or email copy of the material(s) by requesting prior to May 29, 2023.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w:t>
            </w:r>
          </w:p>
        </w:tc>
      </w:tr>
    </w:tbl>
    <w:tbl>
      <w:tblPr>
        <w:tblW w:w="13025" w:type="dxa"/>
        <w:jc w:val="center"/>
        <w:tblInd w:w="0" w:type="dxa"/>
        <w:tblCellMar>
          <w:top w:w="0" w:type="dxa"/>
          <w:left w:w="0" w:type="dxa"/>
          <w:bottom w:w="0" w:type="dxa"/>
          <w:right w:w="0" w:type="dxa"/>
        </w:tblCellMar>
      </w:tblPr>
      <w:tblGrid>
        <w:gridCol w:w="12750"/>
        <w:gridCol w:w="275"/>
      </w:tblGrid>
      <w:tr>
        <w:trPr/>
        <w:tc>
          <w:tcPr>
            <w:tcW w:w="12750" w:type="dxa"/>
            <w:tcBorders/>
            <w:shd w:fill="auto" w:val="clear"/>
          </w:tcPr>
          <w:p>
            <w:pPr>
              <w:pStyle w:val="TableContents"/>
              <w:spacing w:before="0" w:after="0"/>
              <w:ind w:left="0" w:right="0" w:hanging="0"/>
              <w:jc w:val="center"/>
              <w:rPr/>
            </w:pPr>
            <w:r>
              <w:rPr/>
              <w:drawing>
                <wp:inline distT="0" distB="0" distL="0" distR="0">
                  <wp:extent cx="8096250" cy="10477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096250" cy="10477500"/>
                          </a:xfrm>
                          <a:prstGeom prst="rect">
                            <a:avLst/>
                          </a:prstGeom>
                        </pic:spPr>
                      </pic:pic>
                    </a:graphicData>
                  </a:graphic>
                </wp:inline>
              </w:drawing>
            </w:r>
          </w:p>
        </w:tc>
        <w:tc>
          <w:tcPr>
            <w:tcW w:w="275" w:type="dxa"/>
            <w:tcBorders/>
            <w:shd w:fill="auto" w:val="clear"/>
            <w:vAlign w:val="center"/>
          </w:tcPr>
          <w:p>
            <w:pPr>
              <w:pStyle w:val="TableContents"/>
              <w:spacing w:before="0" w:after="0"/>
              <w:ind w:left="0" w:right="0" w:hanging="0"/>
              <w:rPr>
                <w:rFonts w:ascii="Arial" w:hAnsi="Arial"/>
                <w:color w:val="FFFFFF"/>
                <w:sz w:val="2"/>
              </w:rPr>
            </w:pPr>
            <w:r>
              <w:rPr>
                <w:rFonts w:ascii="Arial" w:hAnsi="Arial"/>
                <w:color w:val="FFFFFF"/>
                <w:sz w:val="2"/>
              </w:rPr>
              <w:t>THIS IS NOT A VOTABLE BALLOT This is an overview of the proposals being presented at the upcoming stockholder meeting. Please follow the instructions on the reverse side to vote these important matters. Vote at www.ProxyVote.com Prefer to receive an email instead? While voting on www.ProxyVote.com, be sure to click “Delivery Settings”. Voting Items Board Recommends V15474-P93085 01) Douglas A. Cifu 02) Joseph J. Grano, Jr. 03) Joanne M. Minieri 1. Election of Directors Nominees: 2. Advisory Vote to Approve Compensation of Named Executive Officers. 3. Proposal to ratify the appointment of PricewaterhouseCoopers LLP as the Company’s independent registered public accounting firm for fiscal year ending December 31, 2023. 4. Proposal to approve an amendment to the Virtu Financial, Inc. Certificate of Incorporation to reflect new Delaware law provisions regarding officer exculpation. NOTE: In their discretion, the proxies are authorized to vote on such other business as may properly come before the Annual Meeting or any postponement(s) and adjournment(s) thereof. For For For For</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Arial">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516</Words>
  <CharactersWithSpaces>3328</CharactersWithSpaces>
  <Paragraphs>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